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85F46" w14:textId="12434AA5" w:rsidR="00961353" w:rsidRPr="00C67448" w:rsidRDefault="00F11BCB" w:rsidP="00F11BCB">
      <w:pPr>
        <w:pStyle w:val="Heading1"/>
        <w:jc w:val="center"/>
        <w:rPr>
          <w:rFonts w:ascii="Arial" w:hAnsi="Arial" w:cs="Arial"/>
          <w:b/>
          <w:bCs/>
          <w:sz w:val="22"/>
          <w:szCs w:val="22"/>
        </w:rPr>
      </w:pPr>
      <w:r w:rsidRPr="00C67448">
        <w:rPr>
          <w:rFonts w:ascii="Arial" w:hAnsi="Arial" w:cs="Arial"/>
          <w:b/>
          <w:bCs/>
          <w:sz w:val="22"/>
          <w:szCs w:val="22"/>
        </w:rPr>
        <w:t>RBC Risk Analytics Project</w:t>
      </w:r>
    </w:p>
    <w:p w14:paraId="5FA8A667" w14:textId="18B0A4A0" w:rsidR="00A92AD3" w:rsidRPr="00C67448" w:rsidRDefault="00485E04" w:rsidP="00C82205">
      <w:pPr>
        <w:pStyle w:val="Heading1"/>
        <w:spacing w:before="240" w:after="120" w:line="276" w:lineRule="auto"/>
        <w:rPr>
          <w:rFonts w:ascii="Arial" w:hAnsi="Arial" w:cs="Arial"/>
          <w:sz w:val="22"/>
          <w:szCs w:val="22"/>
        </w:rPr>
      </w:pPr>
      <w:r w:rsidRPr="00C67448">
        <w:rPr>
          <w:rFonts w:ascii="Arial" w:hAnsi="Arial" w:cs="Arial"/>
          <w:sz w:val="22"/>
          <w:szCs w:val="22"/>
        </w:rPr>
        <w:t xml:space="preserve">Project </w:t>
      </w:r>
      <w:r w:rsidR="00A92AD3" w:rsidRPr="00C67448">
        <w:rPr>
          <w:rFonts w:ascii="Arial" w:hAnsi="Arial" w:cs="Arial"/>
          <w:sz w:val="22"/>
          <w:szCs w:val="22"/>
        </w:rPr>
        <w:t>Overview</w:t>
      </w:r>
    </w:p>
    <w:p w14:paraId="3C7AB039" w14:textId="544BA8BB" w:rsidR="00A92AD3" w:rsidRPr="00C67448" w:rsidRDefault="00FE4485" w:rsidP="00C82205">
      <w:pPr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C67448"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  <w:t>This project analyzes client demographics and transaction behavior to identify potential financial risk patterns. Using two datasets (Clients and Transactions), a simple risk</w:t>
      </w:r>
      <w:r w:rsidRPr="00C67448">
        <w:rPr>
          <w:rFonts w:ascii="Cambria Math" w:hAnsi="Cambria Math" w:cs="Cambria Math"/>
          <w:color w:val="26221F"/>
          <w:spacing w:val="1"/>
          <w:kern w:val="1"/>
          <w:sz w:val="22"/>
          <w:szCs w:val="22"/>
          <w:lang w:val="en-US"/>
        </w:rPr>
        <w:t>‑</w:t>
      </w:r>
      <w:r w:rsidRPr="00C67448"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  <w:t>scoring model was created to flag high</w:t>
      </w:r>
      <w:r w:rsidRPr="00C67448">
        <w:rPr>
          <w:rFonts w:ascii="Cambria Math" w:hAnsi="Cambria Math" w:cs="Cambria Math"/>
          <w:color w:val="26221F"/>
          <w:spacing w:val="1"/>
          <w:kern w:val="1"/>
          <w:sz w:val="22"/>
          <w:szCs w:val="22"/>
          <w:lang w:val="en-US"/>
        </w:rPr>
        <w:t>‑</w:t>
      </w:r>
      <w:r w:rsidRPr="00C67448"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  <w:t>risk clients, high</w:t>
      </w:r>
      <w:r w:rsidRPr="00C67448">
        <w:rPr>
          <w:rFonts w:ascii="Cambria Math" w:hAnsi="Cambria Math" w:cs="Cambria Math"/>
          <w:color w:val="26221F"/>
          <w:spacing w:val="1"/>
          <w:kern w:val="1"/>
          <w:sz w:val="22"/>
          <w:szCs w:val="22"/>
          <w:lang w:val="en-US"/>
        </w:rPr>
        <w:t>‑</w:t>
      </w:r>
      <w:r w:rsidRPr="00C67448"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  <w:t>risk countries, and high</w:t>
      </w:r>
      <w:r w:rsidRPr="00C67448">
        <w:rPr>
          <w:rFonts w:ascii="Cambria Math" w:hAnsi="Cambria Math" w:cs="Cambria Math"/>
          <w:color w:val="26221F"/>
          <w:spacing w:val="1"/>
          <w:kern w:val="1"/>
          <w:sz w:val="22"/>
          <w:szCs w:val="22"/>
          <w:lang w:val="en-US"/>
        </w:rPr>
        <w:t>‑</w:t>
      </w:r>
      <w:r w:rsidRPr="00C67448"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  <w:t>risk transaction types. The goal is to simulate how a bank’s risk or AML team evaluates unusual activity.</w:t>
      </w:r>
    </w:p>
    <w:p w14:paraId="7F598CA6" w14:textId="4CC2E8D4" w:rsidR="00A92AD3" w:rsidRPr="00C67448" w:rsidRDefault="00A92AD3" w:rsidP="00C82205">
      <w:pPr>
        <w:pStyle w:val="Heading1"/>
        <w:spacing w:before="240" w:after="120" w:line="276" w:lineRule="auto"/>
        <w:rPr>
          <w:rFonts w:ascii="Arial" w:hAnsi="Arial" w:cs="Arial"/>
          <w:sz w:val="22"/>
          <w:szCs w:val="22"/>
        </w:rPr>
      </w:pPr>
      <w:r w:rsidRPr="00C67448">
        <w:rPr>
          <w:rFonts w:ascii="Arial" w:hAnsi="Arial" w:cs="Arial"/>
          <w:sz w:val="22"/>
          <w:szCs w:val="22"/>
        </w:rPr>
        <w:t xml:space="preserve">Methodology (How the Analysis Works) </w:t>
      </w:r>
    </w:p>
    <w:p w14:paraId="01C56A3C" w14:textId="77777777" w:rsidR="000C74BA" w:rsidRPr="00C67448" w:rsidRDefault="00935125" w:rsidP="00C82205">
      <w:pPr>
        <w:spacing w:line="276" w:lineRule="auto"/>
        <w:ind w:left="360"/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</w:pPr>
      <w:r w:rsidRPr="00C67448"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  <w:t>The analysis was performed in Python using Pandas.</w:t>
      </w:r>
    </w:p>
    <w:p w14:paraId="4D53A347" w14:textId="77777777" w:rsidR="000C74BA" w:rsidRPr="00C67448" w:rsidRDefault="000C74BA" w:rsidP="00C82205">
      <w:pPr>
        <w:spacing w:line="276" w:lineRule="auto"/>
        <w:ind w:left="360"/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</w:pPr>
      <w:r w:rsidRPr="00C67448">
        <w:rPr>
          <w:rFonts w:ascii="Arial" w:hAnsi="Arial" w:cs="Arial"/>
          <w:kern w:val="0"/>
          <w:sz w:val="22"/>
          <w:szCs w:val="22"/>
          <w:lang w:val="en-US"/>
        </w:rPr>
        <w:t>Steps included:</w:t>
      </w:r>
    </w:p>
    <w:p w14:paraId="277317C9" w14:textId="77777777" w:rsidR="000C74BA" w:rsidRPr="00C67448" w:rsidRDefault="000C74BA" w:rsidP="00C82205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</w:pPr>
      <w:r w:rsidRPr="00C67448">
        <w:rPr>
          <w:rFonts w:ascii="Arial" w:hAnsi="Arial" w:cs="Arial"/>
          <w:kern w:val="0"/>
          <w:sz w:val="22"/>
          <w:szCs w:val="22"/>
          <w:lang w:val="en-US"/>
        </w:rPr>
        <w:t>Loading the Clients and Transactions datasets</w:t>
      </w:r>
    </w:p>
    <w:p w14:paraId="194F7CA2" w14:textId="77777777" w:rsidR="000C74BA" w:rsidRPr="00C67448" w:rsidRDefault="000C74BA" w:rsidP="00C82205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</w:pPr>
      <w:r w:rsidRPr="00C67448">
        <w:rPr>
          <w:rFonts w:ascii="Arial" w:hAnsi="Arial" w:cs="Arial"/>
          <w:kern w:val="0"/>
          <w:sz w:val="22"/>
          <w:szCs w:val="22"/>
          <w:lang w:val="en-US"/>
        </w:rPr>
        <w:t>Merging both datasets on client_id</w:t>
      </w:r>
    </w:p>
    <w:p w14:paraId="69F47DB0" w14:textId="77777777" w:rsidR="00A4698D" w:rsidRPr="00C67448" w:rsidRDefault="000C74BA" w:rsidP="00C82205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</w:pPr>
      <w:r w:rsidRPr="00C67448">
        <w:rPr>
          <w:rFonts w:ascii="Arial" w:hAnsi="Arial" w:cs="Arial"/>
          <w:kern w:val="0"/>
          <w:sz w:val="22"/>
          <w:szCs w:val="22"/>
          <w:lang w:val="en-US"/>
        </w:rPr>
        <w:t>Creating a risk-scoring model based on:</w:t>
      </w:r>
    </w:p>
    <w:p w14:paraId="329B0978" w14:textId="399E6D62" w:rsidR="00A4698D" w:rsidRPr="00C67448" w:rsidRDefault="000C02A9" w:rsidP="00C82205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</w:pPr>
      <w:r w:rsidRPr="00C67448"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  <w:t>High</w:t>
      </w:r>
      <w:r w:rsidRPr="00C67448">
        <w:rPr>
          <w:rFonts w:ascii="Cambria Math" w:hAnsi="Cambria Math" w:cs="Cambria Math"/>
          <w:color w:val="26221F"/>
          <w:spacing w:val="1"/>
          <w:kern w:val="1"/>
          <w:sz w:val="22"/>
          <w:szCs w:val="22"/>
          <w:lang w:val="en-US"/>
        </w:rPr>
        <w:t>‑</w:t>
      </w:r>
      <w:r w:rsidRPr="00C67448"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  <w:t>value transfers</w:t>
      </w:r>
    </w:p>
    <w:p w14:paraId="7DC99205" w14:textId="7C186DDF" w:rsidR="000C02A9" w:rsidRPr="00C67448" w:rsidRDefault="000C02A9" w:rsidP="00C82205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</w:pPr>
      <w:r w:rsidRPr="00C67448"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  <w:t>International transactions</w:t>
      </w:r>
    </w:p>
    <w:p w14:paraId="7BF95456" w14:textId="5DA8987F" w:rsidR="000C02A9" w:rsidRPr="00C67448" w:rsidRDefault="000C02A9" w:rsidP="00C82205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</w:pPr>
      <w:r w:rsidRPr="00C67448"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  <w:t>ATM withdrawals</w:t>
      </w:r>
    </w:p>
    <w:p w14:paraId="308EB2A0" w14:textId="77777777" w:rsidR="00A4698D" w:rsidRPr="00C67448" w:rsidRDefault="000C74BA" w:rsidP="00C82205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</w:pPr>
      <w:r w:rsidRPr="00C67448">
        <w:rPr>
          <w:rFonts w:ascii="Calibri" w:hAnsi="Calibri" w:cs="Calibri"/>
          <w:kern w:val="0"/>
          <w:sz w:val="22"/>
          <w:szCs w:val="22"/>
          <w:lang w:val="en-US"/>
        </w:rPr>
        <w:t>﻿﻿</w:t>
      </w:r>
      <w:r w:rsidRPr="00C67448">
        <w:rPr>
          <w:rFonts w:ascii="Arial" w:hAnsi="Arial" w:cs="Arial"/>
          <w:kern w:val="0"/>
          <w:sz w:val="22"/>
          <w:szCs w:val="22"/>
          <w:lang w:val="en-US"/>
        </w:rPr>
        <w:t>Aggregating total risk per client</w:t>
      </w:r>
    </w:p>
    <w:p w14:paraId="49BD59A8" w14:textId="1C602C42" w:rsidR="000C74BA" w:rsidRPr="00C67448" w:rsidRDefault="000C74BA" w:rsidP="00C82205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</w:pPr>
      <w:r w:rsidRPr="00C67448">
        <w:rPr>
          <w:rFonts w:ascii="Arial" w:hAnsi="Arial" w:cs="Arial"/>
          <w:kern w:val="0"/>
          <w:sz w:val="22"/>
          <w:szCs w:val="22"/>
          <w:lang w:val="en-US"/>
        </w:rPr>
        <w:t>Summarizing risk by country and transaction type</w:t>
      </w:r>
    </w:p>
    <w:p w14:paraId="5C552F29" w14:textId="7594F88E" w:rsidR="00A92AD3" w:rsidRPr="00C67448" w:rsidRDefault="000C74BA" w:rsidP="00C82205">
      <w:pPr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C67448">
        <w:rPr>
          <w:rFonts w:ascii="Arial" w:hAnsi="Arial" w:cs="Arial"/>
          <w:kern w:val="0"/>
          <w:sz w:val="22"/>
          <w:szCs w:val="22"/>
          <w:lang w:val="en-US"/>
        </w:rPr>
        <w:t>This produced a ranked list of high-risk clients and patterns across regions and transaction types.</w:t>
      </w:r>
    </w:p>
    <w:p w14:paraId="37E4D91F" w14:textId="508183FC" w:rsidR="00A92AD3" w:rsidRPr="00C67448" w:rsidRDefault="00DD6E07" w:rsidP="00C82205">
      <w:pPr>
        <w:pStyle w:val="Heading1"/>
        <w:spacing w:before="240" w:after="120" w:line="276" w:lineRule="auto"/>
        <w:rPr>
          <w:rFonts w:ascii="Arial" w:hAnsi="Arial" w:cs="Arial"/>
          <w:sz w:val="22"/>
          <w:szCs w:val="22"/>
        </w:rPr>
      </w:pPr>
      <w:r w:rsidRPr="00C67448">
        <w:rPr>
          <w:rFonts w:ascii="Arial" w:hAnsi="Arial" w:cs="Arial"/>
          <w:sz w:val="22"/>
          <w:szCs w:val="22"/>
        </w:rPr>
        <w:t xml:space="preserve">Key Insights &amp; Finding </w:t>
      </w:r>
    </w:p>
    <w:p w14:paraId="1E4E3E37" w14:textId="77777777" w:rsidR="00C831A7" w:rsidRPr="00C67448" w:rsidRDefault="00C831A7" w:rsidP="00C82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ind w:left="360"/>
        <w:rPr>
          <w:rFonts w:ascii="Arial" w:hAnsi="Arial" w:cs="Arial"/>
          <w:b/>
          <w:bCs/>
          <w:kern w:val="0"/>
          <w:sz w:val="22"/>
          <w:szCs w:val="22"/>
          <w:lang w:val="en-US"/>
        </w:rPr>
      </w:pPr>
      <w:r w:rsidRPr="00C67448">
        <w:rPr>
          <w:rFonts w:ascii="Arial" w:hAnsi="Arial" w:cs="Arial"/>
          <w:b/>
          <w:bCs/>
          <w:kern w:val="0"/>
          <w:sz w:val="22"/>
          <w:szCs w:val="22"/>
          <w:lang w:val="en-US"/>
        </w:rPr>
        <w:t>Top High-Risk Clients:</w:t>
      </w:r>
    </w:p>
    <w:p w14:paraId="3AB57E5A" w14:textId="77777777" w:rsidR="00C831A7" w:rsidRPr="00C67448" w:rsidRDefault="00C831A7" w:rsidP="00C82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ind w:left="360"/>
        <w:rPr>
          <w:rFonts w:ascii="Arial" w:hAnsi="Arial" w:cs="Arial"/>
          <w:kern w:val="0"/>
          <w:sz w:val="22"/>
          <w:szCs w:val="22"/>
          <w:lang w:val="en-US"/>
        </w:rPr>
      </w:pPr>
      <w:r w:rsidRPr="00C67448">
        <w:rPr>
          <w:rFonts w:ascii="Arial" w:hAnsi="Arial" w:cs="Arial"/>
          <w:kern w:val="0"/>
          <w:sz w:val="22"/>
          <w:szCs w:val="22"/>
          <w:lang w:val="en-US"/>
        </w:rPr>
        <w:t>Clients 14, 12, 3, 45, 38, and 10 show the highest total risk scores.</w:t>
      </w:r>
    </w:p>
    <w:p w14:paraId="2B69D50C" w14:textId="77777777" w:rsidR="00166B55" w:rsidRPr="00C67448" w:rsidRDefault="00166B55" w:rsidP="00C82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ind w:left="360"/>
        <w:rPr>
          <w:rFonts w:ascii="Arial" w:hAnsi="Arial" w:cs="Arial"/>
          <w:kern w:val="0"/>
          <w:sz w:val="22"/>
          <w:szCs w:val="22"/>
          <w:lang w:val="en-US"/>
        </w:rPr>
      </w:pPr>
    </w:p>
    <w:p w14:paraId="5FBD0947" w14:textId="77777777" w:rsidR="00C831A7" w:rsidRPr="00C67448" w:rsidRDefault="00C831A7" w:rsidP="00C82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ind w:left="360"/>
        <w:rPr>
          <w:rFonts w:ascii="Arial" w:hAnsi="Arial" w:cs="Arial"/>
          <w:b/>
          <w:bCs/>
          <w:kern w:val="0"/>
          <w:sz w:val="22"/>
          <w:szCs w:val="22"/>
          <w:lang w:val="en-US"/>
        </w:rPr>
      </w:pPr>
      <w:r w:rsidRPr="00C67448">
        <w:rPr>
          <w:rFonts w:ascii="Arial" w:hAnsi="Arial" w:cs="Arial"/>
          <w:b/>
          <w:bCs/>
          <w:kern w:val="0"/>
          <w:sz w:val="22"/>
          <w:szCs w:val="22"/>
          <w:lang w:val="en-US"/>
        </w:rPr>
        <w:t>Risk by Country:</w:t>
      </w:r>
    </w:p>
    <w:p w14:paraId="7219C6AD" w14:textId="77777777" w:rsidR="00C831A7" w:rsidRPr="00C67448" w:rsidRDefault="00C831A7" w:rsidP="00C82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ind w:left="360"/>
        <w:rPr>
          <w:rFonts w:ascii="Arial" w:hAnsi="Arial" w:cs="Arial"/>
          <w:kern w:val="0"/>
          <w:sz w:val="22"/>
          <w:szCs w:val="22"/>
          <w:lang w:val="en-US"/>
        </w:rPr>
      </w:pPr>
      <w:r w:rsidRPr="00C67448">
        <w:rPr>
          <w:rFonts w:ascii="Arial" w:hAnsi="Arial" w:cs="Arial"/>
          <w:kern w:val="0"/>
          <w:sz w:val="22"/>
          <w:szCs w:val="22"/>
          <w:lang w:val="en-US"/>
        </w:rPr>
        <w:t>USA shows the highest risk exposure, followed by India and the UK.</w:t>
      </w:r>
    </w:p>
    <w:p w14:paraId="3AF49449" w14:textId="77777777" w:rsidR="00166B55" w:rsidRPr="00C67448" w:rsidRDefault="00166B55" w:rsidP="00C82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ind w:left="360"/>
        <w:rPr>
          <w:rFonts w:ascii="Arial" w:hAnsi="Arial" w:cs="Arial"/>
          <w:kern w:val="0"/>
          <w:sz w:val="22"/>
          <w:szCs w:val="22"/>
          <w:lang w:val="en-US"/>
        </w:rPr>
      </w:pPr>
    </w:p>
    <w:p w14:paraId="61E7CB8A" w14:textId="77777777" w:rsidR="00C831A7" w:rsidRPr="00C67448" w:rsidRDefault="00C831A7" w:rsidP="00C82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ind w:left="360"/>
        <w:rPr>
          <w:rFonts w:ascii="Arial" w:hAnsi="Arial" w:cs="Arial"/>
          <w:b/>
          <w:bCs/>
          <w:kern w:val="0"/>
          <w:sz w:val="22"/>
          <w:szCs w:val="22"/>
          <w:lang w:val="en-US"/>
        </w:rPr>
      </w:pPr>
      <w:r w:rsidRPr="00C67448">
        <w:rPr>
          <w:rFonts w:ascii="Arial" w:hAnsi="Arial" w:cs="Arial"/>
          <w:b/>
          <w:bCs/>
          <w:kern w:val="0"/>
          <w:sz w:val="22"/>
          <w:szCs w:val="22"/>
          <w:lang w:val="en-US"/>
        </w:rPr>
        <w:t>Risk by Transaction Type:</w:t>
      </w:r>
    </w:p>
    <w:p w14:paraId="14784E2B" w14:textId="77777777" w:rsidR="00C831A7" w:rsidRPr="00C67448" w:rsidRDefault="00C831A7" w:rsidP="00C82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ind w:left="360"/>
        <w:rPr>
          <w:rFonts w:ascii="Arial" w:hAnsi="Arial" w:cs="Arial"/>
          <w:kern w:val="0"/>
          <w:sz w:val="22"/>
          <w:szCs w:val="22"/>
          <w:lang w:val="en-US"/>
        </w:rPr>
      </w:pPr>
      <w:r w:rsidRPr="00C67448">
        <w:rPr>
          <w:rFonts w:ascii="Arial" w:hAnsi="Arial" w:cs="Arial"/>
          <w:kern w:val="0"/>
          <w:sz w:val="22"/>
          <w:szCs w:val="22"/>
          <w:lang w:val="en-US"/>
        </w:rPr>
        <w:t>Transfers contribute the most to overall risk, followed by ATM withdrawals.</w:t>
      </w:r>
    </w:p>
    <w:p w14:paraId="004171C3" w14:textId="77777777" w:rsidR="00027DB7" w:rsidRPr="00C67448" w:rsidRDefault="00027DB7" w:rsidP="00C822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ind w:left="360"/>
        <w:rPr>
          <w:rFonts w:ascii="Arial" w:hAnsi="Arial" w:cs="Arial"/>
          <w:kern w:val="0"/>
          <w:sz w:val="22"/>
          <w:szCs w:val="22"/>
          <w:lang w:val="en-US"/>
        </w:rPr>
      </w:pPr>
    </w:p>
    <w:p w14:paraId="08FA84C7" w14:textId="51EB3953" w:rsidR="00F11BCB" w:rsidRDefault="00C831A7" w:rsidP="00174C24">
      <w:pPr>
        <w:spacing w:line="276" w:lineRule="auto"/>
        <w:ind w:left="360"/>
        <w:rPr>
          <w:rFonts w:ascii="Arial" w:hAnsi="Arial" w:cs="Arial"/>
          <w:kern w:val="0"/>
          <w:sz w:val="22"/>
          <w:szCs w:val="22"/>
          <w:lang w:val="en-US"/>
        </w:rPr>
      </w:pPr>
      <w:r w:rsidRPr="00C67448">
        <w:rPr>
          <w:rFonts w:ascii="Arial" w:hAnsi="Arial" w:cs="Arial"/>
          <w:kern w:val="0"/>
          <w:sz w:val="22"/>
          <w:szCs w:val="22"/>
          <w:lang w:val="en-US"/>
        </w:rPr>
        <w:t>These patterns indicate that high-value international transfers are the primary drivers of risk in this dataset</w:t>
      </w:r>
      <w:r w:rsidR="00174C24">
        <w:rPr>
          <w:rFonts w:ascii="Arial" w:hAnsi="Arial" w:cs="Arial"/>
          <w:kern w:val="0"/>
          <w:sz w:val="22"/>
          <w:szCs w:val="22"/>
          <w:lang w:val="en-US"/>
        </w:rPr>
        <w:t xml:space="preserve">. </w:t>
      </w:r>
    </w:p>
    <w:p w14:paraId="39F0FA6C" w14:textId="77777777" w:rsidR="00174C24" w:rsidRDefault="00174C24" w:rsidP="00174C24">
      <w:pPr>
        <w:spacing w:line="276" w:lineRule="auto"/>
        <w:ind w:left="360"/>
        <w:rPr>
          <w:rFonts w:ascii="Arial" w:hAnsi="Arial" w:cs="Arial"/>
          <w:kern w:val="0"/>
          <w:sz w:val="22"/>
          <w:szCs w:val="22"/>
          <w:lang w:val="en-US"/>
        </w:rPr>
      </w:pPr>
    </w:p>
    <w:p w14:paraId="31BAEDF0" w14:textId="77777777" w:rsidR="00174C24" w:rsidRPr="00C67448" w:rsidRDefault="00174C24" w:rsidP="00174C24">
      <w:pPr>
        <w:spacing w:line="276" w:lineRule="auto"/>
        <w:ind w:left="360"/>
        <w:rPr>
          <w:rFonts w:ascii="Arial" w:hAnsi="Arial" w:cs="Arial"/>
          <w:kern w:val="0"/>
          <w:sz w:val="22"/>
          <w:szCs w:val="22"/>
          <w:lang w:val="en-US"/>
        </w:rPr>
      </w:pPr>
    </w:p>
    <w:p w14:paraId="45A2CAB0" w14:textId="77777777" w:rsidR="00F11BCB" w:rsidRPr="00C67448" w:rsidRDefault="00F11BCB" w:rsidP="00C82205">
      <w:pPr>
        <w:spacing w:line="276" w:lineRule="auto"/>
        <w:ind w:left="360"/>
        <w:rPr>
          <w:rFonts w:ascii="Arial" w:hAnsi="Arial" w:cs="Arial"/>
          <w:kern w:val="0"/>
          <w:sz w:val="22"/>
          <w:szCs w:val="22"/>
          <w:lang w:val="en-US"/>
        </w:rPr>
      </w:pPr>
    </w:p>
    <w:p w14:paraId="3BDC8936" w14:textId="772F1788" w:rsidR="00A65D8F" w:rsidRPr="00C67448" w:rsidRDefault="006018DF" w:rsidP="00C82205">
      <w:pPr>
        <w:pStyle w:val="Heading1"/>
        <w:spacing w:before="240" w:after="120" w:line="276" w:lineRule="auto"/>
        <w:rPr>
          <w:rFonts w:ascii="Arial" w:hAnsi="Arial" w:cs="Arial"/>
          <w:sz w:val="22"/>
          <w:szCs w:val="22"/>
        </w:rPr>
      </w:pPr>
      <w:r w:rsidRPr="00C67448">
        <w:rPr>
          <w:rFonts w:ascii="Arial" w:hAnsi="Arial" w:cs="Arial"/>
          <w:sz w:val="22"/>
          <w:szCs w:val="22"/>
        </w:rPr>
        <w:lastRenderedPageBreak/>
        <w:t>Visual</w:t>
      </w:r>
      <w:r w:rsidR="00A65D8F" w:rsidRPr="00C67448">
        <w:rPr>
          <w:rFonts w:ascii="Arial" w:hAnsi="Arial" w:cs="Arial"/>
          <w:sz w:val="22"/>
          <w:szCs w:val="22"/>
        </w:rPr>
        <w:t xml:space="preserve">s of Output </w:t>
      </w:r>
    </w:p>
    <w:p w14:paraId="22250CDB" w14:textId="77777777" w:rsidR="00A65D8F" w:rsidRPr="00C67448" w:rsidRDefault="00A65D8F" w:rsidP="00C82205">
      <w:pPr>
        <w:pStyle w:val="ListParagraph"/>
        <w:spacing w:line="276" w:lineRule="auto"/>
        <w:rPr>
          <w:rFonts w:ascii="Arial" w:hAnsi="Arial" w:cs="Arial"/>
          <w:sz w:val="22"/>
          <w:szCs w:val="22"/>
        </w:rPr>
      </w:pPr>
    </w:p>
    <w:p w14:paraId="11CAB8FB" w14:textId="1CC49C88" w:rsidR="006D05B3" w:rsidRPr="00C67448" w:rsidRDefault="00B47F54" w:rsidP="00C82205">
      <w:pPr>
        <w:pStyle w:val="ListParagraph"/>
        <w:spacing w:line="276" w:lineRule="auto"/>
        <w:rPr>
          <w:rFonts w:ascii="Arial" w:hAnsi="Arial" w:cs="Arial"/>
          <w:sz w:val="22"/>
          <w:szCs w:val="22"/>
        </w:rPr>
      </w:pPr>
      <w:r w:rsidRPr="00C67448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F906AE2" wp14:editId="667C1A37">
            <wp:extent cx="2832100" cy="2209800"/>
            <wp:effectExtent l="0" t="0" r="0" b="0"/>
            <wp:docPr id="721178708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78708" name="Picture 4" descr="A screenshot of a graph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56E4" w14:textId="77777777" w:rsidR="006D05B3" w:rsidRPr="00C67448" w:rsidRDefault="006D05B3" w:rsidP="00C82205">
      <w:pPr>
        <w:pStyle w:val="ListParagraph"/>
        <w:spacing w:line="276" w:lineRule="auto"/>
        <w:rPr>
          <w:rFonts w:ascii="Arial" w:hAnsi="Arial" w:cs="Arial"/>
          <w:sz w:val="22"/>
          <w:szCs w:val="22"/>
        </w:rPr>
      </w:pPr>
    </w:p>
    <w:p w14:paraId="664B54DD" w14:textId="724BA9D1" w:rsidR="006D05B3" w:rsidRPr="00C67448" w:rsidRDefault="006D05B3" w:rsidP="00C82205">
      <w:pPr>
        <w:pStyle w:val="ListParagraph"/>
        <w:spacing w:line="276" w:lineRule="auto"/>
        <w:rPr>
          <w:rFonts w:ascii="Arial" w:hAnsi="Arial" w:cs="Arial"/>
          <w:sz w:val="22"/>
          <w:szCs w:val="22"/>
        </w:rPr>
      </w:pPr>
      <w:r w:rsidRPr="00C67448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C52B803" wp14:editId="39F4365C">
            <wp:extent cx="2146300" cy="1130300"/>
            <wp:effectExtent l="0" t="0" r="0" b="0"/>
            <wp:docPr id="1512676487" name="Picture 5" descr="A close-up of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76487" name="Picture 5" descr="A close-up of blu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FEC9" w14:textId="608315A7" w:rsidR="006D05B3" w:rsidRPr="00C67448" w:rsidRDefault="006D05B3" w:rsidP="00C82205">
      <w:pPr>
        <w:pStyle w:val="ListParagraph"/>
        <w:spacing w:line="276" w:lineRule="auto"/>
        <w:rPr>
          <w:rFonts w:ascii="Arial" w:hAnsi="Arial" w:cs="Arial"/>
          <w:sz w:val="22"/>
          <w:szCs w:val="22"/>
        </w:rPr>
      </w:pPr>
      <w:r w:rsidRPr="00C67448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FE2A2A1" wp14:editId="72AFCCC2">
            <wp:extent cx="2501900" cy="1041400"/>
            <wp:effectExtent l="0" t="0" r="0" b="0"/>
            <wp:docPr id="716867862" name="Picture 6" descr="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67862" name="Picture 6" descr="Blue text on a white backgroun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C8BA" w14:textId="77777777" w:rsidR="00C82205" w:rsidRPr="00C67448" w:rsidRDefault="00C82205" w:rsidP="00C82205">
      <w:pPr>
        <w:pStyle w:val="ListParagraph"/>
        <w:spacing w:line="276" w:lineRule="auto"/>
        <w:rPr>
          <w:rFonts w:ascii="Arial" w:hAnsi="Arial" w:cs="Arial"/>
          <w:sz w:val="22"/>
          <w:szCs w:val="22"/>
        </w:rPr>
      </w:pPr>
    </w:p>
    <w:p w14:paraId="72C1C988" w14:textId="6704E5F5" w:rsidR="00C82205" w:rsidRPr="00C67448" w:rsidRDefault="00C82205" w:rsidP="00C82205">
      <w:pPr>
        <w:pStyle w:val="Heading1"/>
        <w:spacing w:before="240" w:after="120" w:line="276" w:lineRule="auto"/>
        <w:rPr>
          <w:rFonts w:ascii="Arial" w:hAnsi="Arial" w:cs="Arial"/>
          <w:sz w:val="22"/>
          <w:szCs w:val="22"/>
        </w:rPr>
      </w:pPr>
      <w:r w:rsidRPr="00C67448">
        <w:rPr>
          <w:rFonts w:ascii="Arial" w:hAnsi="Arial" w:cs="Arial"/>
          <w:sz w:val="22"/>
          <w:szCs w:val="22"/>
        </w:rPr>
        <w:t>Conclusion</w:t>
      </w:r>
    </w:p>
    <w:p w14:paraId="35292E1A" w14:textId="1DA07A55" w:rsidR="00C82205" w:rsidRPr="00C67448" w:rsidRDefault="00C82205" w:rsidP="00C82205">
      <w:pPr>
        <w:spacing w:line="276" w:lineRule="auto"/>
        <w:ind w:left="360"/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</w:pPr>
      <w:r w:rsidRPr="00C67448"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  <w:t>This analysis demonstrates how a simple risk</w:t>
      </w:r>
      <w:r w:rsidRPr="00C67448">
        <w:rPr>
          <w:rFonts w:ascii="Cambria Math" w:hAnsi="Cambria Math" w:cs="Cambria Math"/>
          <w:color w:val="26221F"/>
          <w:spacing w:val="1"/>
          <w:kern w:val="1"/>
          <w:sz w:val="22"/>
          <w:szCs w:val="22"/>
          <w:lang w:val="en-US"/>
        </w:rPr>
        <w:t>‑</w:t>
      </w:r>
      <w:r w:rsidRPr="00C67448"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  <w:t>scoring model can highlight unusual client behavior and potential financial risk patterns. By combining demographic data with transaction activity, the model identifies high</w:t>
      </w:r>
      <w:r w:rsidRPr="00C67448">
        <w:rPr>
          <w:rFonts w:ascii="Cambria Math" w:hAnsi="Cambria Math" w:cs="Cambria Math"/>
          <w:color w:val="26221F"/>
          <w:spacing w:val="1"/>
          <w:kern w:val="1"/>
          <w:sz w:val="22"/>
          <w:szCs w:val="22"/>
          <w:lang w:val="en-US"/>
        </w:rPr>
        <w:t>‑</w:t>
      </w:r>
      <w:r w:rsidRPr="00C67448"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  <w:t>risk clients, high</w:t>
      </w:r>
      <w:r w:rsidRPr="00C67448">
        <w:rPr>
          <w:rFonts w:ascii="Cambria Math" w:hAnsi="Cambria Math" w:cs="Cambria Math"/>
          <w:color w:val="26221F"/>
          <w:spacing w:val="1"/>
          <w:kern w:val="1"/>
          <w:sz w:val="22"/>
          <w:szCs w:val="22"/>
          <w:lang w:val="en-US"/>
        </w:rPr>
        <w:t>‑</w:t>
      </w:r>
      <w:r w:rsidRPr="00C67448"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  <w:t>risk countries, and high</w:t>
      </w:r>
      <w:r w:rsidRPr="00C67448">
        <w:rPr>
          <w:rFonts w:ascii="Cambria Math" w:hAnsi="Cambria Math" w:cs="Cambria Math"/>
          <w:color w:val="26221F"/>
          <w:spacing w:val="1"/>
          <w:kern w:val="1"/>
          <w:sz w:val="22"/>
          <w:szCs w:val="22"/>
          <w:lang w:val="en-US"/>
        </w:rPr>
        <w:t>‑</w:t>
      </w:r>
      <w:r w:rsidRPr="00C67448"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  <w:t>risk transaction types. These insights can support early detection of suspicious activity and help guide further investigation by risk or AML teams.</w:t>
      </w:r>
    </w:p>
    <w:p w14:paraId="4BAE0D15" w14:textId="77777777" w:rsidR="00C82205" w:rsidRPr="00C67448" w:rsidRDefault="00C82205" w:rsidP="00C82205">
      <w:pPr>
        <w:spacing w:line="276" w:lineRule="auto"/>
        <w:ind w:left="360"/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</w:pPr>
    </w:p>
    <w:p w14:paraId="70F7E382" w14:textId="2E5E2C63" w:rsidR="00C82205" w:rsidRPr="00C67448" w:rsidRDefault="00C82205" w:rsidP="00C82205">
      <w:pPr>
        <w:pStyle w:val="Heading1"/>
        <w:spacing w:before="240" w:after="120" w:line="276" w:lineRule="auto"/>
        <w:rPr>
          <w:rFonts w:ascii="Arial" w:hAnsi="Arial" w:cs="Arial"/>
          <w:sz w:val="22"/>
          <w:szCs w:val="22"/>
        </w:rPr>
      </w:pPr>
      <w:r w:rsidRPr="00C67448">
        <w:rPr>
          <w:rFonts w:ascii="Arial" w:hAnsi="Arial" w:cs="Arial"/>
          <w:sz w:val="22"/>
          <w:szCs w:val="22"/>
        </w:rPr>
        <w:t>Next Steps/Future Work</w:t>
      </w:r>
    </w:p>
    <w:p w14:paraId="2255B164" w14:textId="7758CF61" w:rsidR="00C82205" w:rsidRPr="00C67448" w:rsidRDefault="00C82205" w:rsidP="00C82205">
      <w:pPr>
        <w:pStyle w:val="ListParagraph"/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</w:pPr>
      <w:r w:rsidRPr="00C67448"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  <w:t>Add visual dashboards to better communicate risk patterns</w:t>
      </w:r>
    </w:p>
    <w:p w14:paraId="4C82FB88" w14:textId="2A2F6595" w:rsidR="00C82205" w:rsidRPr="00C67448" w:rsidRDefault="00C82205" w:rsidP="00C82205">
      <w:pPr>
        <w:pStyle w:val="ListParagraph"/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</w:pPr>
      <w:r w:rsidRPr="00C67448"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  <w:t>Incorporate more features such as transaction frequency, velocity, and device data</w:t>
      </w:r>
    </w:p>
    <w:p w14:paraId="57F85EB5" w14:textId="7400384E" w:rsidR="00C82205" w:rsidRPr="00C67448" w:rsidRDefault="00C82205" w:rsidP="00C82205">
      <w:pPr>
        <w:pStyle w:val="ListParagraph"/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</w:pPr>
      <w:r w:rsidRPr="00C67448"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  <w:t>Apply machine learning models (e.g., anomaly detection) for deeper insights</w:t>
      </w:r>
    </w:p>
    <w:p w14:paraId="6E561879" w14:textId="477D0012" w:rsidR="00C82205" w:rsidRPr="00C67448" w:rsidRDefault="00C82205" w:rsidP="00C82205">
      <w:pPr>
        <w:pStyle w:val="ListParagraph"/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</w:pPr>
      <w:r w:rsidRPr="00C67448"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  <w:t>Build an interactive interface for real</w:t>
      </w:r>
      <w:r w:rsidRPr="00C67448">
        <w:rPr>
          <w:rFonts w:ascii="Cambria Math" w:hAnsi="Cambria Math" w:cs="Cambria Math"/>
          <w:color w:val="26221F"/>
          <w:spacing w:val="1"/>
          <w:kern w:val="1"/>
          <w:sz w:val="22"/>
          <w:szCs w:val="22"/>
          <w:lang w:val="en-US"/>
        </w:rPr>
        <w:t>‑</w:t>
      </w:r>
      <w:r w:rsidRPr="00C67448"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  <w:t>time risk scoring</w:t>
      </w:r>
    </w:p>
    <w:p w14:paraId="6A3A7BF8" w14:textId="59A90060" w:rsidR="00C82205" w:rsidRPr="00C67448" w:rsidRDefault="00C82205" w:rsidP="00F11BCB">
      <w:pPr>
        <w:pStyle w:val="ListParagraph"/>
        <w:numPr>
          <w:ilvl w:val="0"/>
          <w:numId w:val="10"/>
        </w:numPr>
        <w:spacing w:line="276" w:lineRule="auto"/>
        <w:rPr>
          <w:rFonts w:ascii="Arial" w:hAnsi="Arial" w:cs="Arial"/>
          <w:sz w:val="22"/>
          <w:szCs w:val="22"/>
        </w:rPr>
      </w:pPr>
      <w:r w:rsidRPr="00C67448"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  <w:t>Integrate alerts for high</w:t>
      </w:r>
      <w:r w:rsidRPr="00C67448">
        <w:rPr>
          <w:rFonts w:ascii="Cambria Math" w:hAnsi="Cambria Math" w:cs="Cambria Math"/>
          <w:color w:val="26221F"/>
          <w:spacing w:val="1"/>
          <w:kern w:val="1"/>
          <w:sz w:val="22"/>
          <w:szCs w:val="22"/>
          <w:lang w:val="en-US"/>
        </w:rPr>
        <w:t>‑</w:t>
      </w:r>
      <w:r w:rsidRPr="00C67448">
        <w:rPr>
          <w:rFonts w:ascii="Arial" w:hAnsi="Arial" w:cs="Arial"/>
          <w:color w:val="26221F"/>
          <w:spacing w:val="1"/>
          <w:kern w:val="1"/>
          <w:sz w:val="22"/>
          <w:szCs w:val="22"/>
          <w:lang w:val="en-US"/>
        </w:rPr>
        <w:t>risk clients or transactions</w:t>
      </w:r>
    </w:p>
    <w:p w14:paraId="453E6C6A" w14:textId="5DB4EE0B" w:rsidR="00C67448" w:rsidRDefault="00C67448" w:rsidP="00C67448">
      <w:pPr>
        <w:pStyle w:val="Heading1"/>
        <w:spacing w:before="240" w:after="120" w:line="276" w:lineRule="auto"/>
        <w:rPr>
          <w:rFonts w:ascii="Arial" w:hAnsi="Arial" w:cs="Arial"/>
          <w:sz w:val="22"/>
          <w:szCs w:val="22"/>
        </w:rPr>
      </w:pPr>
      <w:r w:rsidRPr="00C67448">
        <w:rPr>
          <w:rFonts w:ascii="Arial" w:hAnsi="Arial" w:cs="Arial"/>
          <w:sz w:val="22"/>
          <w:szCs w:val="22"/>
        </w:rPr>
        <w:lastRenderedPageBreak/>
        <w:t>Visual Dashboard</w:t>
      </w:r>
    </w:p>
    <w:p w14:paraId="55B024F6" w14:textId="35F13FEF" w:rsidR="00174C24" w:rsidRPr="00174C24" w:rsidRDefault="00174C24" w:rsidP="00174C24">
      <w:pPr>
        <w:rPr>
          <w:rFonts w:ascii="Arial" w:hAnsi="Arial" w:cs="Arial"/>
          <w:sz w:val="22"/>
          <w:szCs w:val="22"/>
        </w:rPr>
      </w:pPr>
      <w:r w:rsidRPr="00C67448">
        <w:rPr>
          <w:rFonts w:ascii="Arial" w:hAnsi="Arial" w:cs="Arial"/>
          <w:sz w:val="22"/>
          <w:szCs w:val="22"/>
        </w:rPr>
        <w:t xml:space="preserve">Figure 1 </w:t>
      </w:r>
      <w:r w:rsidRPr="00C67448">
        <w:rPr>
          <w:rFonts w:ascii="Arial" w:hAnsi="Arial" w:cs="Arial"/>
          <w:sz w:val="22"/>
          <w:szCs w:val="22"/>
        </w:rPr>
        <w:t>– Risk</w:t>
      </w:r>
      <w:r w:rsidRPr="00C67448">
        <w:rPr>
          <w:rFonts w:ascii="Arial" w:hAnsi="Arial" w:cs="Arial"/>
          <w:sz w:val="22"/>
          <w:szCs w:val="22"/>
        </w:rPr>
        <w:t xml:space="preserve"> Score by Country</w:t>
      </w:r>
    </w:p>
    <w:p w14:paraId="02B67E05" w14:textId="4EC2E83E" w:rsidR="00C67448" w:rsidRDefault="00C67448" w:rsidP="00C67448">
      <w:pPr>
        <w:rPr>
          <w:rFonts w:ascii="Arial" w:hAnsi="Arial" w:cs="Arial"/>
          <w:sz w:val="22"/>
          <w:szCs w:val="22"/>
        </w:rPr>
      </w:pPr>
      <w:r w:rsidRPr="00C67448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654835E" wp14:editId="41CA856B">
            <wp:extent cx="5356478" cy="3383280"/>
            <wp:effectExtent l="0" t="0" r="3175" b="0"/>
            <wp:docPr id="150753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38052" name="Picture 15075380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520" cy="34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E230" w14:textId="1171724F" w:rsidR="00174C24" w:rsidRPr="00C67448" w:rsidRDefault="00174C24" w:rsidP="00C67448">
      <w:pPr>
        <w:rPr>
          <w:rFonts w:ascii="Arial" w:hAnsi="Arial" w:cs="Arial"/>
          <w:sz w:val="22"/>
          <w:szCs w:val="22"/>
        </w:rPr>
      </w:pPr>
      <w:r w:rsidRPr="00C67448">
        <w:rPr>
          <w:rFonts w:ascii="Arial" w:hAnsi="Arial" w:cs="Arial"/>
          <w:sz w:val="22"/>
          <w:szCs w:val="22"/>
        </w:rPr>
        <w:t>Figure 2 – Risk Score by Transaction Type</w:t>
      </w:r>
    </w:p>
    <w:p w14:paraId="2EF3ADBA" w14:textId="42497CD5" w:rsidR="00C67448" w:rsidRPr="00C67448" w:rsidRDefault="00C67448" w:rsidP="00C67448">
      <w:r w:rsidRPr="00C67448">
        <w:rPr>
          <w:noProof/>
        </w:rPr>
        <w:drawing>
          <wp:inline distT="0" distB="0" distL="0" distR="0" wp14:anchorId="1846C47C" wp14:editId="16A48D39">
            <wp:extent cx="5444836" cy="3385571"/>
            <wp:effectExtent l="0" t="0" r="3810" b="5715"/>
            <wp:docPr id="259375889" name="Picture 2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75889" name="Picture 2" descr="A graph of a bar graph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309" cy="340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601B" w14:textId="77777777" w:rsidR="00174C24" w:rsidRDefault="00174C24" w:rsidP="00174C24">
      <w:pPr>
        <w:rPr>
          <w:rFonts w:ascii="Arial" w:hAnsi="Arial" w:cs="Arial"/>
          <w:sz w:val="22"/>
          <w:szCs w:val="22"/>
        </w:rPr>
      </w:pPr>
    </w:p>
    <w:p w14:paraId="14E8DAF1" w14:textId="032E7DA2" w:rsidR="00174C24" w:rsidRPr="00C67448" w:rsidRDefault="00174C24" w:rsidP="00174C24">
      <w:pPr>
        <w:rPr>
          <w:rFonts w:ascii="Arial" w:hAnsi="Arial" w:cs="Arial"/>
          <w:sz w:val="22"/>
          <w:szCs w:val="22"/>
        </w:rPr>
      </w:pPr>
      <w:r w:rsidRPr="00C67448">
        <w:rPr>
          <w:rFonts w:ascii="Arial" w:hAnsi="Arial" w:cs="Arial"/>
          <w:sz w:val="22"/>
          <w:szCs w:val="22"/>
        </w:rPr>
        <w:lastRenderedPageBreak/>
        <w:t>Figure 3 - Top 10 High</w:t>
      </w:r>
      <w:r w:rsidRPr="00C67448">
        <w:rPr>
          <w:rFonts w:ascii="Cambria Math" w:hAnsi="Cambria Math" w:cs="Cambria Math"/>
          <w:sz w:val="22"/>
          <w:szCs w:val="22"/>
        </w:rPr>
        <w:t>‑</w:t>
      </w:r>
      <w:r w:rsidRPr="00C67448">
        <w:rPr>
          <w:rFonts w:ascii="Arial" w:hAnsi="Arial" w:cs="Arial"/>
          <w:sz w:val="22"/>
          <w:szCs w:val="22"/>
        </w:rPr>
        <w:t>Risk Clients</w:t>
      </w:r>
    </w:p>
    <w:p w14:paraId="5038D150" w14:textId="626DB14A" w:rsidR="00C67448" w:rsidRPr="00C67448" w:rsidRDefault="00C67448" w:rsidP="00C67448">
      <w:pPr>
        <w:rPr>
          <w:rFonts w:ascii="Arial" w:hAnsi="Arial" w:cs="Arial"/>
          <w:sz w:val="22"/>
          <w:szCs w:val="22"/>
        </w:rPr>
      </w:pPr>
      <w:r w:rsidRPr="00C67448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537430B" wp14:editId="6B46CFF3">
            <wp:extent cx="5943600" cy="2881630"/>
            <wp:effectExtent l="0" t="0" r="0" b="1270"/>
            <wp:docPr id="894698630" name="Picture 3" descr="A graph of a high-risk cli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98630" name="Picture 3" descr="A graph of a high-risk clien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448" w:rsidRPr="00C6744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FEA7A" w14:textId="77777777" w:rsidR="006E7A47" w:rsidRDefault="006E7A47" w:rsidP="00C67448">
      <w:pPr>
        <w:spacing w:after="0" w:line="240" w:lineRule="auto"/>
      </w:pPr>
      <w:r>
        <w:separator/>
      </w:r>
    </w:p>
  </w:endnote>
  <w:endnote w:type="continuationSeparator" w:id="0">
    <w:p w14:paraId="4ACB61B3" w14:textId="77777777" w:rsidR="006E7A47" w:rsidRDefault="006E7A47" w:rsidP="00C67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283F7" w14:textId="77777777" w:rsidR="00C67448" w:rsidRDefault="00C674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E428A" w14:textId="77777777" w:rsidR="00C67448" w:rsidRDefault="00C674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8DD93" w14:textId="77777777" w:rsidR="00C67448" w:rsidRDefault="00C674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58709" w14:textId="77777777" w:rsidR="006E7A47" w:rsidRDefault="006E7A47" w:rsidP="00C67448">
      <w:pPr>
        <w:spacing w:after="0" w:line="240" w:lineRule="auto"/>
      </w:pPr>
      <w:r>
        <w:separator/>
      </w:r>
    </w:p>
  </w:footnote>
  <w:footnote w:type="continuationSeparator" w:id="0">
    <w:p w14:paraId="42B67A53" w14:textId="77777777" w:rsidR="006E7A47" w:rsidRDefault="006E7A47" w:rsidP="00C674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B6B97" w14:textId="77777777" w:rsidR="00C67448" w:rsidRDefault="00C674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9D883" w14:textId="77777777" w:rsidR="00C67448" w:rsidRDefault="00C6744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97216" w14:textId="77777777" w:rsidR="00C67448" w:rsidRDefault="00C674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A605B7"/>
    <w:multiLevelType w:val="hybridMultilevel"/>
    <w:tmpl w:val="E1483EF2"/>
    <w:lvl w:ilvl="0" w:tplc="00000001">
      <w:start w:val="1"/>
      <w:numFmt w:val="bullet"/>
      <w:lvlText w:val="◦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050659"/>
    <w:multiLevelType w:val="hybridMultilevel"/>
    <w:tmpl w:val="6A4C881E"/>
    <w:lvl w:ilvl="0" w:tplc="00000065">
      <w:start w:val="1"/>
      <w:numFmt w:val="bullet"/>
      <w:lvlText w:val="⁃"/>
      <w:lvlJc w:val="left"/>
      <w:pPr>
        <w:ind w:left="1800" w:hanging="360"/>
      </w:p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8017650"/>
    <w:multiLevelType w:val="hybridMultilevel"/>
    <w:tmpl w:val="6FD842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ADC5405"/>
    <w:multiLevelType w:val="hybridMultilevel"/>
    <w:tmpl w:val="067E73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29514E9"/>
    <w:multiLevelType w:val="hybridMultilevel"/>
    <w:tmpl w:val="F5FE94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D66A33"/>
    <w:multiLevelType w:val="hybridMultilevel"/>
    <w:tmpl w:val="4730588A"/>
    <w:lvl w:ilvl="0" w:tplc="00000001">
      <w:start w:val="1"/>
      <w:numFmt w:val="bullet"/>
      <w:lvlText w:val="◦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52805B1"/>
    <w:multiLevelType w:val="hybridMultilevel"/>
    <w:tmpl w:val="735AD4EA"/>
    <w:lvl w:ilvl="0" w:tplc="00000065">
      <w:start w:val="1"/>
      <w:numFmt w:val="bullet"/>
      <w:lvlText w:val="⁃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05593396">
    <w:abstractNumId w:val="7"/>
  </w:num>
  <w:num w:numId="2" w16cid:durableId="1512599425">
    <w:abstractNumId w:val="0"/>
  </w:num>
  <w:num w:numId="3" w16cid:durableId="86578665">
    <w:abstractNumId w:val="1"/>
  </w:num>
  <w:num w:numId="4" w16cid:durableId="1041637296">
    <w:abstractNumId w:val="2"/>
  </w:num>
  <w:num w:numId="5" w16cid:durableId="1146817997">
    <w:abstractNumId w:val="5"/>
  </w:num>
  <w:num w:numId="6" w16cid:durableId="1921450154">
    <w:abstractNumId w:val="8"/>
  </w:num>
  <w:num w:numId="7" w16cid:durableId="72822134">
    <w:abstractNumId w:val="9"/>
  </w:num>
  <w:num w:numId="8" w16cid:durableId="2062749209">
    <w:abstractNumId w:val="4"/>
  </w:num>
  <w:num w:numId="9" w16cid:durableId="1301809343">
    <w:abstractNumId w:val="6"/>
  </w:num>
  <w:num w:numId="10" w16cid:durableId="17256429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679"/>
    <w:rsid w:val="00027DB7"/>
    <w:rsid w:val="000948FC"/>
    <w:rsid w:val="000C02A9"/>
    <w:rsid w:val="000C74BA"/>
    <w:rsid w:val="000E497B"/>
    <w:rsid w:val="00166B55"/>
    <w:rsid w:val="00174C24"/>
    <w:rsid w:val="00485E04"/>
    <w:rsid w:val="005C297B"/>
    <w:rsid w:val="006018DF"/>
    <w:rsid w:val="00620AF1"/>
    <w:rsid w:val="006B6561"/>
    <w:rsid w:val="006D05B3"/>
    <w:rsid w:val="006E7A47"/>
    <w:rsid w:val="006F5CC1"/>
    <w:rsid w:val="008C407D"/>
    <w:rsid w:val="008D12A3"/>
    <w:rsid w:val="00901679"/>
    <w:rsid w:val="00935125"/>
    <w:rsid w:val="00961353"/>
    <w:rsid w:val="00A4698D"/>
    <w:rsid w:val="00A65D8F"/>
    <w:rsid w:val="00A92AD3"/>
    <w:rsid w:val="00B47F54"/>
    <w:rsid w:val="00C67448"/>
    <w:rsid w:val="00C82205"/>
    <w:rsid w:val="00C831A7"/>
    <w:rsid w:val="00D66AF4"/>
    <w:rsid w:val="00DB71A3"/>
    <w:rsid w:val="00DD6E07"/>
    <w:rsid w:val="00E014F2"/>
    <w:rsid w:val="00EB0918"/>
    <w:rsid w:val="00F11BCB"/>
    <w:rsid w:val="00FE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A7822"/>
  <w15:chartTrackingRefBased/>
  <w15:docId w15:val="{73F4202B-708A-2F4A-BFF6-E07C31CC1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6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74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448"/>
  </w:style>
  <w:style w:type="paragraph" w:styleId="Footer">
    <w:name w:val="footer"/>
    <w:basedOn w:val="Normal"/>
    <w:link w:val="FooterChar"/>
    <w:uiPriority w:val="99"/>
    <w:unhideWhenUsed/>
    <w:rsid w:val="00C674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8aac226-2f03-4b4d-9037-b46d56c55210}" enabled="0" method="" siteId="{78aac226-2f03-4b4d-9037-b46d56c552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Divija Jindal</dc:creator>
  <cp:keywords/>
  <dc:description/>
  <cp:lastModifiedBy>Divija Jindal</cp:lastModifiedBy>
  <cp:revision>4</cp:revision>
  <dcterms:created xsi:type="dcterms:W3CDTF">2026-05-12T15:09:00Z</dcterms:created>
  <dcterms:modified xsi:type="dcterms:W3CDTF">2026-05-12T16:15:00Z</dcterms:modified>
</cp:coreProperties>
</file>