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AI Revenue Recovery Agent</w:t>
      </w:r>
    </w:p>
    <w:p>
      <w:pPr>
        <w:spacing w:after="60"/>
        <w:jc w:val="center"/>
      </w:pPr>
      <w:r>
        <w:rPr>
          <w:b/>
          <w:bCs/>
          <w:color w:val="1F3864"/>
          <w:sz w:val="28"/>
          <w:szCs w:val="28"/>
        </w:rPr>
        <w:t xml:space="preserve">Solution Overview</w:t>
      </w:r>
    </w:p>
    <w:p>
      <w:pPr>
        <w:spacing w:after="400"/>
        <w:jc w:val="center"/>
      </w:pPr>
      <w:r>
        <w:rPr>
          <w:i/>
          <w:iCs/>
          <w:sz w:val="22"/>
          <w:szCs w:val="22"/>
        </w:rPr>
        <w:t xml:space="preserve">Razorpay Buildathon — Track 03: AI Revenue Recovery</w:t>
      </w:r>
    </w:p>
    <w:p>
      <w:pPr>
        <w:pStyle w:val="Heading1"/>
        <w:spacing w:after="150" w:before="300"/>
      </w:pPr>
      <w:r>
        <w:t xml:space="preserve">1. Problem Statement</w:t>
      </w:r>
    </w:p>
    <w:p>
      <w:pPr>
        <w:spacing w:after="160"/>
      </w:pPr>
      <w:r>
        <w:t xml:space="preserve">Revenue loss in a payments business does not happen through a single failure point. It happens through several distinct and unrelated events, each of which is usually handled by a separate, disconnected tool:</w:t>
      </w:r>
    </w:p>
    <w:p>
      <w:pPr>
        <w:pStyle w:val="ListParagraph"/>
        <w:numPr>
          <w:ilvl w:val="0"/>
          <w:numId w:val="2"/>
        </w:numPr>
        <w:spacing w:after="80"/>
      </w:pPr>
      <w:r>
        <w:t xml:space="preserve">A payment fails — due to a declined card, insufficient funds, a bank-side technical error, or an OTP failure.</w:t>
      </w:r>
    </w:p>
    <w:p>
      <w:pPr>
        <w:pStyle w:val="ListParagraph"/>
        <w:numPr>
          <w:ilvl w:val="0"/>
          <w:numId w:val="2"/>
        </w:numPr>
        <w:spacing w:after="80"/>
      </w:pPr>
      <w:r>
        <w:t xml:space="preserve">A customer abandons checkout — starts the payment process and exits before completing it.</w:t>
      </w:r>
    </w:p>
    <w:p>
      <w:pPr>
        <w:pStyle w:val="ListParagraph"/>
        <w:numPr>
          <w:ilvl w:val="0"/>
          <w:numId w:val="2"/>
        </w:numPr>
        <w:spacing w:after="80"/>
      </w:pPr>
      <w:r>
        <w:t xml:space="preserve">A subscription lapses silently — because a renewal payment failed and no one noticed.</w:t>
      </w:r>
    </w:p>
    <w:p>
      <w:pPr>
        <w:pStyle w:val="ListParagraph"/>
        <w:numPr>
          <w:ilvl w:val="0"/>
          <w:numId w:val="2"/>
        </w:numPr>
        <w:spacing w:after="80"/>
      </w:pPr>
      <w:r>
        <w:t xml:space="preserve">A B2B invoice goes overdue — and is not followed up on in time.</w:t>
      </w:r>
    </w:p>
    <w:p>
      <w:pPr>
        <w:spacing w:after="160"/>
      </w:pPr>
      <w:r>
        <w:t xml:space="preserve">In most businesses, each of these is handled independently: a retry script for payments, a marketing email for abandoned carts, and a finance team manually tracking overdue invoices in a spreadsheet.</w:t>
      </w:r>
    </w:p>
    <w:p>
      <w:pPr>
        <w:spacing w:after="160"/>
      </w:pPr>
      <w:r>
        <w:t xml:space="preserve">The brief for this track asked for a single agent that can watch for all four leak types, determine the underlying cause of each event, choose an appropriate recovery action, carry out that action, and report measurable results. Specifically, the brief required demonstrated money recovered, compliant escalation to a human when required, defined stopping rules, and a full audit trail.</w:t>
      </w:r>
    </w:p>
    <w:p>
      <w:pPr>
        <w:pStyle w:val="Heading1"/>
        <w:spacing w:after="150" w:before="300"/>
      </w:pPr>
      <w:r>
        <w:t xml:space="preserve">2. Review of Existing Solutions</w:t>
      </w:r>
    </w:p>
    <w:p>
      <w:pPr>
        <w:spacing w:after="160"/>
      </w:pPr>
      <w:r>
        <w:t xml:space="preserve">Before designing this solution, Razorpay's own Agent Studio (razorpay.com/agent-studio) was reviewed. It is built on Anthropic's Claude Agent SDK and is currently in beta.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300"/>
        <w:gridCol w:w="5400"/>
      </w:tblGrid>
      <w:tr>
        <w:trPr>
          <w:tblHeader/>
        </w:trPr>
        <w:tc>
          <w:tcPr>
            <w:tcW w:type="dxa" w:w="4300"/>
            <w:shd w:fill="1F3864" w:val="clear"/>
            <w:tcMar>
              <w:top w:type="dxa" w:w="100"/>
              <w:left w:type="dxa" w:w="120"/>
              <w:bottom w:type="dxa" w:w="100"/>
              <w:right w:type="dxa" w:w="120"/>
            </w:tcMar>
          </w:tcPr>
          <w:p>
            <w:r>
              <w:rPr>
                <w:b/>
                <w:bCs/>
                <w:color w:val="FFFFFF"/>
                <w:sz w:val="21"/>
                <w:szCs w:val="21"/>
              </w:rPr>
              <w:t xml:space="preserve">Existing Agent</w:t>
            </w:r>
          </w:p>
        </w:tc>
        <w:tc>
          <w:tcPr>
            <w:tcW w:type="dxa" w:w="5400"/>
            <w:shd w:fill="1F3864" w:val="clear"/>
            <w:tcMar>
              <w:top w:type="dxa" w:w="100"/>
              <w:left w:type="dxa" w:w="120"/>
              <w:bottom w:type="dxa" w:w="100"/>
              <w:right w:type="dxa" w:w="120"/>
            </w:tcMar>
          </w:tcPr>
          <w:p>
            <w:r>
              <w:rPr>
                <w:b/>
                <w:bCs/>
                <w:color w:val="FFFFFF"/>
                <w:sz w:val="21"/>
                <w:szCs w:val="21"/>
              </w:rPr>
              <w:t xml:space="preserve">Function</w:t>
            </w:r>
          </w:p>
        </w:tc>
      </w:tr>
      <w:tr>
        <w:tc>
          <w:tcPr>
            <w:tcW w:type="dxa" w:w="4300"/>
            <w:tcMar>
              <w:top w:type="dxa" w:w="100"/>
              <w:left w:type="dxa" w:w="120"/>
              <w:bottom w:type="dxa" w:w="100"/>
              <w:right w:type="dxa" w:w="120"/>
            </w:tcMar>
          </w:tcPr>
          <w:p>
            <w:r>
              <w:rPr>
                <w:b w:val="false"/>
                <w:bCs w:val="false"/>
                <w:sz w:val="21"/>
                <w:szCs w:val="21"/>
              </w:rPr>
              <w:t xml:space="preserve">Subscription Recovery</w:t>
            </w:r>
          </w:p>
        </w:tc>
        <w:tc>
          <w:tcPr>
            <w:tcW w:type="dxa" w:w="5400"/>
            <w:tcMar>
              <w:top w:type="dxa" w:w="100"/>
              <w:left w:type="dxa" w:w="120"/>
              <w:bottom w:type="dxa" w:w="100"/>
              <w:right w:type="dxa" w:w="120"/>
            </w:tcMar>
          </w:tcPr>
          <w:p>
            <w:r>
              <w:rPr>
                <w:b w:val="false"/>
                <w:bCs w:val="false"/>
                <w:sz w:val="21"/>
                <w:szCs w:val="21"/>
              </w:rPr>
              <w:t xml:space="preserve">Analyzes failed subscription payments, retries them, and sends nudges.</w:t>
            </w:r>
          </w:p>
        </w:tc>
      </w:tr>
      <w:tr>
        <w:tc>
          <w:tcPr>
            <w:tcW w:type="dxa" w:w="4300"/>
            <w:tcMar>
              <w:top w:type="dxa" w:w="100"/>
              <w:left w:type="dxa" w:w="120"/>
              <w:bottom w:type="dxa" w:w="100"/>
              <w:right w:type="dxa" w:w="120"/>
            </w:tcMar>
          </w:tcPr>
          <w:p>
            <w:r>
              <w:rPr>
                <w:b w:val="false"/>
                <w:bCs w:val="false"/>
                <w:sz w:val="21"/>
                <w:szCs w:val="21"/>
              </w:rPr>
              <w:t xml:space="preserve">Abandoned Cart Conversion</w:t>
            </w:r>
          </w:p>
        </w:tc>
        <w:tc>
          <w:tcPr>
            <w:tcW w:type="dxa" w:w="5400"/>
            <w:tcMar>
              <w:top w:type="dxa" w:w="100"/>
              <w:left w:type="dxa" w:w="120"/>
              <w:bottom w:type="dxa" w:w="100"/>
              <w:right w:type="dxa" w:w="120"/>
            </w:tcMar>
          </w:tcPr>
          <w:p>
            <w:r>
              <w:rPr>
                <w:b w:val="false"/>
                <w:bCs w:val="false"/>
                <w:sz w:val="21"/>
                <w:szCs w:val="21"/>
              </w:rPr>
              <w:t xml:space="preserve">Detects abandoned carts and re-engages customers via WhatsApp or email.</w:t>
            </w:r>
          </w:p>
        </w:tc>
      </w:tr>
      <w:tr>
        <w:tc>
          <w:tcPr>
            <w:tcW w:type="dxa" w:w="4300"/>
            <w:tcMar>
              <w:top w:type="dxa" w:w="100"/>
              <w:left w:type="dxa" w:w="120"/>
              <w:bottom w:type="dxa" w:w="100"/>
              <w:right w:type="dxa" w:w="120"/>
            </w:tcMar>
          </w:tcPr>
          <w:p>
            <w:r>
              <w:rPr>
                <w:b w:val="false"/>
                <w:bCs w:val="false"/>
                <w:sz w:val="21"/>
                <w:szCs w:val="21"/>
              </w:rPr>
              <w:t xml:space="preserve">Dispute Responder</w:t>
            </w:r>
          </w:p>
        </w:tc>
        <w:tc>
          <w:tcPr>
            <w:tcW w:type="dxa" w:w="5400"/>
            <w:tcMar>
              <w:top w:type="dxa" w:w="100"/>
              <w:left w:type="dxa" w:w="120"/>
              <w:bottom w:type="dxa" w:w="100"/>
              <w:right w:type="dxa" w:w="120"/>
            </w:tcMar>
          </w:tcPr>
          <w:p>
            <w:r>
              <w:rPr>
                <w:b w:val="false"/>
                <w:bCs w:val="false"/>
                <w:sz w:val="21"/>
                <w:szCs w:val="21"/>
              </w:rPr>
              <w:t xml:space="preserve">Automatically responds to chargebacks with optimized evidence.</w:t>
            </w:r>
          </w:p>
        </w:tc>
      </w:tr>
      <w:tr>
        <w:tc>
          <w:tcPr>
            <w:tcW w:type="dxa" w:w="4300"/>
            <w:tcMar>
              <w:top w:type="dxa" w:w="100"/>
              <w:left w:type="dxa" w:w="120"/>
              <w:bottom w:type="dxa" w:w="100"/>
              <w:right w:type="dxa" w:w="120"/>
            </w:tcMar>
          </w:tcPr>
          <w:p>
            <w:r>
              <w:rPr>
                <w:b w:val="false"/>
                <w:bCs w:val="false"/>
                <w:sz w:val="21"/>
                <w:szCs w:val="21"/>
              </w:rPr>
              <w:t xml:space="preserve">RTO Shield</w:t>
            </w:r>
          </w:p>
        </w:tc>
        <w:tc>
          <w:tcPr>
            <w:tcW w:type="dxa" w:w="5400"/>
            <w:tcMar>
              <w:top w:type="dxa" w:w="100"/>
              <w:left w:type="dxa" w:w="120"/>
              <w:bottom w:type="dxa" w:w="100"/>
              <w:right w:type="dxa" w:w="120"/>
            </w:tcMar>
          </w:tcPr>
          <w:p>
            <w:r>
              <w:rPr>
                <w:b w:val="false"/>
                <w:bCs w:val="false"/>
                <w:sz w:val="21"/>
                <w:szCs w:val="21"/>
              </w:rPr>
              <w:t xml:space="preserve">Flags high-risk Cash-on-Delivery orders before dispatch.</w:t>
            </w:r>
          </w:p>
        </w:tc>
      </w:tr>
      <w:tr>
        <w:tc>
          <w:tcPr>
            <w:tcW w:type="dxa" w:w="4300"/>
            <w:tcMar>
              <w:top w:type="dxa" w:w="100"/>
              <w:left w:type="dxa" w:w="120"/>
              <w:bottom w:type="dxa" w:w="100"/>
              <w:right w:type="dxa" w:w="120"/>
            </w:tcMar>
          </w:tcPr>
          <w:p>
            <w:r>
              <w:rPr>
                <w:b w:val="false"/>
                <w:bCs w:val="false"/>
                <w:sz w:val="21"/>
                <w:szCs w:val="21"/>
              </w:rPr>
              <w:t xml:space="preserve">RTO Insights</w:t>
            </w:r>
          </w:p>
        </w:tc>
        <w:tc>
          <w:tcPr>
            <w:tcW w:type="dxa" w:w="5400"/>
            <w:tcMar>
              <w:top w:type="dxa" w:w="100"/>
              <w:left w:type="dxa" w:w="120"/>
              <w:bottom w:type="dxa" w:w="100"/>
              <w:right w:type="dxa" w:w="120"/>
            </w:tcMar>
          </w:tcPr>
          <w:p>
            <w:r>
              <w:rPr>
                <w:b w:val="false"/>
                <w:bCs w:val="false"/>
                <w:sz w:val="21"/>
                <w:szCs w:val="21"/>
              </w:rPr>
              <w:t xml:space="preserve">Analyzes return patterns.</w:t>
            </w:r>
          </w:p>
        </w:tc>
      </w:tr>
      <w:tr>
        <w:tc>
          <w:tcPr>
            <w:tcW w:type="dxa" w:w="4300"/>
            <w:tcMar>
              <w:top w:type="dxa" w:w="100"/>
              <w:left w:type="dxa" w:w="120"/>
              <w:bottom w:type="dxa" w:w="100"/>
              <w:right w:type="dxa" w:w="120"/>
            </w:tcMar>
          </w:tcPr>
          <w:p>
            <w:r>
              <w:rPr>
                <w:b w:val="false"/>
                <w:bCs w:val="false"/>
                <w:sz w:val="21"/>
                <w:szCs w:val="21"/>
              </w:rPr>
              <w:t xml:space="preserve">Settlement Insights</w:t>
            </w:r>
          </w:p>
        </w:tc>
        <w:tc>
          <w:tcPr>
            <w:tcW w:type="dxa" w:w="5400"/>
            <w:tcMar>
              <w:top w:type="dxa" w:w="100"/>
              <w:left w:type="dxa" w:w="120"/>
              <w:bottom w:type="dxa" w:w="100"/>
              <w:right w:type="dxa" w:w="120"/>
            </w:tcMar>
          </w:tcPr>
          <w:p>
            <w:r>
              <w:rPr>
                <w:b w:val="false"/>
                <w:bCs w:val="false"/>
                <w:sz w:val="21"/>
                <w:szCs w:val="21"/>
              </w:rPr>
              <w:t xml:space="preserve">Sends a daily settlement summary via WhatsApp.</w:t>
            </w:r>
          </w:p>
        </w:tc>
      </w:tr>
      <w:tr>
        <w:tc>
          <w:tcPr>
            <w:tcW w:type="dxa" w:w="4300"/>
            <w:tcMar>
              <w:top w:type="dxa" w:w="100"/>
              <w:left w:type="dxa" w:w="120"/>
              <w:bottom w:type="dxa" w:w="100"/>
              <w:right w:type="dxa" w:w="120"/>
            </w:tcMar>
          </w:tcPr>
          <w:p>
            <w:r>
              <w:rPr>
                <w:b w:val="false"/>
                <w:bCs w:val="false"/>
                <w:sz w:val="21"/>
                <w:szCs w:val="21"/>
              </w:rPr>
              <w:t xml:space="preserve">Cashflow Forecaster</w:t>
            </w:r>
          </w:p>
        </w:tc>
        <w:tc>
          <w:tcPr>
            <w:tcW w:type="dxa" w:w="5400"/>
            <w:tcMar>
              <w:top w:type="dxa" w:w="100"/>
              <w:left w:type="dxa" w:w="120"/>
              <w:bottom w:type="dxa" w:w="100"/>
              <w:right w:type="dxa" w:w="120"/>
            </w:tcMar>
          </w:tcPr>
          <w:p>
            <w:r>
              <w:rPr>
                <w:b w:val="false"/>
                <w:bCs w:val="false"/>
                <w:sz w:val="21"/>
                <w:szCs w:val="21"/>
              </w:rPr>
              <w:t xml:space="preserve">Predicts cash position three to seven days ahead.</w:t>
            </w:r>
          </w:p>
        </w:tc>
      </w:tr>
    </w:tbl>
    <w:p>
      <w:pPr>
        <w:spacing w:after="160"/>
      </w:pPr>
    </w:p>
    <w:p>
      <w:pPr>
        <w:spacing w:after="160"/>
      </w:pPr>
      <w:r>
        <w:t xml:space="preserve">These existing agents are separate, single-purpose products. Each one addresses only one type of revenue leak, and every one of them is reactive — it acts only after a problem has already occurred. None of them address the customer's side of the interaction, none explain the reasoning behind a decision, and receivables or invoice-chasing is mentioned only as a category, without a corresponding built product.</w:t>
      </w:r>
    </w:p>
    <w:p>
      <w:pPr>
        <w:spacing w:after="160"/>
      </w:pPr>
      <w:r>
        <w:t xml:space="preserve">This gap defines the direction for this solution: rather than inventing a new leak type, the goal is to build the layer of maturity that the current public offering does not show — explainability, unification across leak types, prediction ahead of failure, cost discipline, self-improvement, and customer-facing trust.</w:t>
      </w:r>
    </w:p>
    <w:p>
      <w:pPr>
        <w:pStyle w:val="Heading1"/>
        <w:spacing w:after="150" w:before="300"/>
      </w:pPr>
      <w:r>
        <w:t xml:space="preserve">3. Solution Components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400"/>
      </w:tblGrid>
      <w:tr>
        <w:trPr>
          <w:tblHeader/>
        </w:trPr>
        <w:tc>
          <w:tcPr>
            <w:tcW w:type="dxa" w:w="2600"/>
            <w:shd w:fill="1F3864" w:val="clear"/>
            <w:tcMar>
              <w:top w:type="dxa" w:w="100"/>
              <w:left w:type="dxa" w:w="120"/>
              <w:bottom w:type="dxa" w:w="100"/>
              <w:right w:type="dxa" w:w="120"/>
            </w:tcMar>
          </w:tcPr>
          <w:p>
            <w:r>
              <w:rPr>
                <w:b/>
                <w:bCs/>
                <w:color w:val="FFFFFF"/>
                <w:sz w:val="21"/>
                <w:szCs w:val="21"/>
              </w:rPr>
              <w:t xml:space="preserve">Component</w:t>
            </w:r>
          </w:p>
        </w:tc>
        <w:tc>
          <w:tcPr>
            <w:tcW w:type="dxa" w:w="3700"/>
            <w:shd w:fill="1F3864" w:val="clear"/>
            <w:tcMar>
              <w:top w:type="dxa" w:w="100"/>
              <w:left w:type="dxa" w:w="120"/>
              <w:bottom w:type="dxa" w:w="100"/>
              <w:right w:type="dxa" w:w="120"/>
            </w:tcMar>
          </w:tcPr>
          <w:p>
            <w:r>
              <w:rPr>
                <w:b/>
                <w:bCs/>
                <w:color w:val="FFFFFF"/>
                <w:sz w:val="21"/>
                <w:szCs w:val="21"/>
              </w:rPr>
              <w:t xml:space="preserve">Function</w:t>
            </w:r>
          </w:p>
        </w:tc>
        <w:tc>
          <w:tcPr>
            <w:tcW w:type="dxa" w:w="3400"/>
            <w:shd w:fill="1F3864" w:val="clear"/>
            <w:tcMar>
              <w:top w:type="dxa" w:w="100"/>
              <w:left w:type="dxa" w:w="120"/>
              <w:bottom w:type="dxa" w:w="100"/>
              <w:right w:type="dxa" w:w="120"/>
            </w:tcMar>
          </w:tcPr>
          <w:p>
            <w:r>
              <w:rPr>
                <w:b/>
                <w:bCs/>
                <w:color w:val="FFFFFF"/>
                <w:sz w:val="21"/>
                <w:szCs w:val="21"/>
              </w:rPr>
              <w:t xml:space="preserve">Purpose</w:t>
            </w:r>
          </w:p>
        </w:tc>
      </w:tr>
      <w:tr>
        <w:tc>
          <w:tcPr>
            <w:tcW w:type="dxa" w:w="2600"/>
            <w:tcMar>
              <w:top w:type="dxa" w:w="100"/>
              <w:left w:type="dxa" w:w="120"/>
              <w:bottom w:type="dxa" w:w="100"/>
              <w:right w:type="dxa" w:w="120"/>
            </w:tcMar>
          </w:tcPr>
          <w:p>
            <w:r>
              <w:rPr>
                <w:b w:val="false"/>
                <w:bCs w:val="false"/>
                <w:sz w:val="21"/>
                <w:szCs w:val="21"/>
              </w:rPr>
              <w:t xml:space="preserve">Razorpay Test Mode webhook</w:t>
            </w:r>
          </w:p>
        </w:tc>
        <w:tc>
          <w:tcPr>
            <w:tcW w:type="dxa" w:w="3700"/>
            <w:tcMar>
              <w:top w:type="dxa" w:w="100"/>
              <w:left w:type="dxa" w:w="120"/>
              <w:bottom w:type="dxa" w:w="100"/>
              <w:right w:type="dxa" w:w="120"/>
            </w:tcMar>
          </w:tcPr>
          <w:p>
            <w:r>
              <w:rPr>
                <w:b w:val="false"/>
                <w:bCs w:val="false"/>
                <w:sz w:val="21"/>
                <w:szCs w:val="21"/>
              </w:rPr>
              <w:t xml:space="preserve">Listens for live payment.failed events.</w:t>
            </w:r>
          </w:p>
        </w:tc>
        <w:tc>
          <w:tcPr>
            <w:tcW w:type="dxa" w:w="3400"/>
            <w:tcMar>
              <w:top w:type="dxa" w:w="100"/>
              <w:left w:type="dxa" w:w="120"/>
              <w:bottom w:type="dxa" w:w="100"/>
              <w:right w:type="dxa" w:w="120"/>
            </w:tcMar>
          </w:tcPr>
          <w:p>
            <w:r>
              <w:rPr>
                <w:b w:val="false"/>
                <w:bCs w:val="false"/>
                <w:sz w:val="21"/>
                <w:szCs w:val="21"/>
              </w:rPr>
              <w:t xml:space="preserve">Confirms the pipeline reacts to real payment infrastructure, not simulated data.</w:t>
            </w:r>
          </w:p>
        </w:tc>
      </w:tr>
      <w:tr>
        <w:tc>
          <w:tcPr>
            <w:tcW w:type="dxa" w:w="2600"/>
            <w:tcMar>
              <w:top w:type="dxa" w:w="100"/>
              <w:left w:type="dxa" w:w="120"/>
              <w:bottom w:type="dxa" w:w="100"/>
              <w:right w:type="dxa" w:w="120"/>
            </w:tcMar>
          </w:tcPr>
          <w:p>
            <w:r>
              <w:rPr>
                <w:b w:val="false"/>
                <w:bCs w:val="false"/>
                <w:sz w:val="21"/>
                <w:szCs w:val="21"/>
              </w:rPr>
              <w:t xml:space="preserve">WhatsApp Cloud API</w:t>
            </w:r>
          </w:p>
        </w:tc>
        <w:tc>
          <w:tcPr>
            <w:tcW w:type="dxa" w:w="3700"/>
            <w:tcMar>
              <w:top w:type="dxa" w:w="100"/>
              <w:left w:type="dxa" w:w="120"/>
              <w:bottom w:type="dxa" w:w="100"/>
              <w:right w:type="dxa" w:w="120"/>
            </w:tcMar>
          </w:tcPr>
          <w:p>
            <w:r>
              <w:rPr>
                <w:b w:val="false"/>
                <w:bCs w:val="false"/>
                <w:sz w:val="21"/>
                <w:szCs w:val="21"/>
              </w:rPr>
              <w:t xml:space="preserve">Sends approved-template messages to customers.</w:t>
            </w:r>
          </w:p>
        </w:tc>
        <w:tc>
          <w:tcPr>
            <w:tcW w:type="dxa" w:w="3400"/>
            <w:tcMar>
              <w:top w:type="dxa" w:w="100"/>
              <w:left w:type="dxa" w:w="120"/>
              <w:bottom w:type="dxa" w:w="100"/>
              <w:right w:type="dxa" w:w="120"/>
            </w:tcMar>
          </w:tcPr>
          <w:p>
            <w:r>
              <w:rPr>
                <w:b w:val="false"/>
                <w:bCs w:val="false"/>
                <w:sz w:val="21"/>
                <w:szCs w:val="21"/>
              </w:rPr>
              <w:t xml:space="preserve">Demonstrates a working communication channel rather than a mockup.</w:t>
            </w:r>
          </w:p>
        </w:tc>
      </w:tr>
      <w:tr>
        <w:tc>
          <w:tcPr>
            <w:tcW w:type="dxa" w:w="2600"/>
            <w:tcMar>
              <w:top w:type="dxa" w:w="100"/>
              <w:left w:type="dxa" w:w="120"/>
              <w:bottom w:type="dxa" w:w="100"/>
              <w:right w:type="dxa" w:w="120"/>
            </w:tcMar>
          </w:tcPr>
          <w:p>
            <w:r>
              <w:rPr>
                <w:b w:val="false"/>
                <w:bCs w:val="false"/>
                <w:sz w:val="21"/>
                <w:szCs w:val="21"/>
              </w:rPr>
              <w:t xml:space="preserve">Gmail SMTP</w:t>
            </w:r>
          </w:p>
        </w:tc>
        <w:tc>
          <w:tcPr>
            <w:tcW w:type="dxa" w:w="3700"/>
            <w:tcMar>
              <w:top w:type="dxa" w:w="100"/>
              <w:left w:type="dxa" w:w="120"/>
              <w:bottom w:type="dxa" w:w="100"/>
              <w:right w:type="dxa" w:w="120"/>
            </w:tcMar>
          </w:tcPr>
          <w:p>
            <w:r>
              <w:rPr>
                <w:b w:val="false"/>
                <w:bCs w:val="false"/>
                <w:sz w:val="21"/>
                <w:szCs w:val="21"/>
              </w:rPr>
              <w:t xml:space="preserve">Sends AI-composed recovery emails.</w:t>
            </w:r>
          </w:p>
        </w:tc>
        <w:tc>
          <w:tcPr>
            <w:tcW w:type="dxa" w:w="3400"/>
            <w:tcMar>
              <w:top w:type="dxa" w:w="100"/>
              <w:left w:type="dxa" w:w="120"/>
              <w:bottom w:type="dxa" w:w="100"/>
              <w:right w:type="dxa" w:w="120"/>
            </w:tcMar>
          </w:tcPr>
          <w:p>
            <w:r>
              <w:rPr>
                <w:b w:val="false"/>
                <w:bCs w:val="false"/>
                <w:sz w:val="21"/>
                <w:szCs w:val="21"/>
              </w:rPr>
              <w:t xml:space="preserve">A second real, free-text channel, used where personalization matters most.</w:t>
            </w:r>
          </w:p>
        </w:tc>
      </w:tr>
      <w:tr>
        <w:tc>
          <w:tcPr>
            <w:tcW w:type="dxa" w:w="2600"/>
            <w:tcMar>
              <w:top w:type="dxa" w:w="100"/>
              <w:left w:type="dxa" w:w="120"/>
              <w:bottom w:type="dxa" w:w="100"/>
              <w:right w:type="dxa" w:w="120"/>
            </w:tcMar>
          </w:tcPr>
          <w:p>
            <w:r>
              <w:rPr>
                <w:b w:val="false"/>
                <w:bCs w:val="false"/>
                <w:sz w:val="21"/>
                <w:szCs w:val="21"/>
              </w:rPr>
              <w:t xml:space="preserve">Deterministic root-cause diagnosis</w:t>
            </w:r>
          </w:p>
        </w:tc>
        <w:tc>
          <w:tcPr>
            <w:tcW w:type="dxa" w:w="3700"/>
            <w:tcMar>
              <w:top w:type="dxa" w:w="100"/>
              <w:left w:type="dxa" w:w="120"/>
              <w:bottom w:type="dxa" w:w="100"/>
              <w:right w:type="dxa" w:w="120"/>
            </w:tcMar>
          </w:tcPr>
          <w:p>
            <w:r>
              <w:rPr>
                <w:b w:val="false"/>
                <w:bCs w:val="false"/>
                <w:sz w:val="21"/>
                <w:szCs w:val="21"/>
              </w:rPr>
              <w:t xml:space="preserve">Maps Razorpay's failure-reason codes to root causes.</w:t>
            </w:r>
          </w:p>
        </w:tc>
        <w:tc>
          <w:tcPr>
            <w:tcW w:type="dxa" w:w="3400"/>
            <w:tcMar>
              <w:top w:type="dxa" w:w="100"/>
              <w:left w:type="dxa" w:w="120"/>
              <w:bottom w:type="dxa" w:w="100"/>
              <w:right w:type="dxa" w:w="120"/>
            </w:tcMar>
          </w:tcPr>
          <w:p>
            <w:r>
              <w:rPr>
                <w:b w:val="false"/>
                <w:bCs w:val="false"/>
                <w:sz w:val="21"/>
                <w:szCs w:val="21"/>
              </w:rPr>
              <w:t xml:space="preserve">Fast, free, and fully explainable for common cases.</w:t>
            </w:r>
          </w:p>
        </w:tc>
      </w:tr>
      <w:tr>
        <w:tc>
          <w:tcPr>
            <w:tcW w:type="dxa" w:w="2600"/>
            <w:tcMar>
              <w:top w:type="dxa" w:w="100"/>
              <w:left w:type="dxa" w:w="120"/>
              <w:bottom w:type="dxa" w:w="100"/>
              <w:right w:type="dxa" w:w="120"/>
            </w:tcMar>
          </w:tcPr>
          <w:p>
            <w:r>
              <w:rPr>
                <w:b w:val="false"/>
                <w:bCs w:val="false"/>
                <w:sz w:val="21"/>
                <w:szCs w:val="21"/>
              </w:rPr>
              <w:t xml:space="preserve">Gemini-assisted diagnosis (fallback)</w:t>
            </w:r>
          </w:p>
        </w:tc>
        <w:tc>
          <w:tcPr>
            <w:tcW w:type="dxa" w:w="3700"/>
            <w:tcMar>
              <w:top w:type="dxa" w:w="100"/>
              <w:left w:type="dxa" w:w="120"/>
              <w:bottom w:type="dxa" w:w="100"/>
              <w:right w:type="dxa" w:w="120"/>
            </w:tcMar>
          </w:tcPr>
          <w:p>
            <w:r>
              <w:rPr>
                <w:b w:val="false"/>
                <w:bCs w:val="false"/>
                <w:sz w:val="21"/>
                <w:szCs w:val="21"/>
              </w:rPr>
              <w:t xml:space="preserve">Reasons about failures that do not map to a known pattern.</w:t>
            </w:r>
          </w:p>
        </w:tc>
        <w:tc>
          <w:tcPr>
            <w:tcW w:type="dxa" w:w="3400"/>
            <w:tcMar>
              <w:top w:type="dxa" w:w="100"/>
              <w:left w:type="dxa" w:w="120"/>
              <w:bottom w:type="dxa" w:w="100"/>
              <w:right w:type="dxa" w:w="120"/>
            </w:tcMar>
          </w:tcPr>
          <w:p>
            <w:r>
              <w:rPr>
                <w:b w:val="false"/>
                <w:bCs w:val="false"/>
                <w:sz w:val="21"/>
                <w:szCs w:val="21"/>
              </w:rPr>
              <w:t xml:space="preserve">Covers cases a static rule table cannot anticipate.</w:t>
            </w:r>
          </w:p>
        </w:tc>
      </w:tr>
      <w:tr>
        <w:tc>
          <w:tcPr>
            <w:tcW w:type="dxa" w:w="2600"/>
            <w:tcMar>
              <w:top w:type="dxa" w:w="100"/>
              <w:left w:type="dxa" w:w="120"/>
              <w:bottom w:type="dxa" w:w="100"/>
              <w:right w:type="dxa" w:w="120"/>
            </w:tcMar>
          </w:tcPr>
          <w:p>
            <w:r>
              <w:rPr>
                <w:b w:val="false"/>
                <w:bCs w:val="false"/>
                <w:sz w:val="21"/>
                <w:szCs w:val="21"/>
              </w:rPr>
              <w:t xml:space="preserve">ROI-aware decision engine</w:t>
            </w:r>
          </w:p>
        </w:tc>
        <w:tc>
          <w:tcPr>
            <w:tcW w:type="dxa" w:w="3700"/>
            <w:tcMar>
              <w:top w:type="dxa" w:w="100"/>
              <w:left w:type="dxa" w:w="120"/>
              <w:bottom w:type="dxa" w:w="100"/>
              <w:right w:type="dxa" w:w="120"/>
            </w:tcMar>
          </w:tcPr>
          <w:p>
            <w:r>
              <w:rPr>
                <w:b w:val="false"/>
                <w:bCs w:val="false"/>
                <w:sz w:val="21"/>
                <w:szCs w:val="21"/>
              </w:rPr>
              <w:t xml:space="preserve">Scores each candidate action by probability × amount − cost.</w:t>
            </w:r>
          </w:p>
        </w:tc>
        <w:tc>
          <w:tcPr>
            <w:tcW w:type="dxa" w:w="3400"/>
            <w:tcMar>
              <w:top w:type="dxa" w:w="100"/>
              <w:left w:type="dxa" w:w="120"/>
              <w:bottom w:type="dxa" w:w="100"/>
              <w:right w:type="dxa" w:w="120"/>
            </w:tcMar>
          </w:tcPr>
          <w:p>
            <w:r>
              <w:rPr>
                <w:b w:val="false"/>
                <w:bCs w:val="false"/>
                <w:sz w:val="21"/>
                <w:szCs w:val="21"/>
              </w:rPr>
              <w:t xml:space="preserve">Produces an actual decision rather than a static lookup.</w:t>
            </w:r>
          </w:p>
        </w:tc>
      </w:tr>
      <w:tr>
        <w:tc>
          <w:tcPr>
            <w:tcW w:type="dxa" w:w="2600"/>
            <w:tcMar>
              <w:top w:type="dxa" w:w="100"/>
              <w:left w:type="dxa" w:w="120"/>
              <w:bottom w:type="dxa" w:w="100"/>
              <w:right w:type="dxa" w:w="120"/>
            </w:tcMar>
          </w:tcPr>
          <w:p>
            <w:r>
              <w:rPr>
                <w:b w:val="false"/>
                <w:bCs w:val="false"/>
                <w:sz w:val="21"/>
                <w:szCs w:val="21"/>
              </w:rPr>
              <w:t xml:space="preserve">Stopping rules and guards</w:t>
            </w:r>
          </w:p>
        </w:tc>
        <w:tc>
          <w:tcPr>
            <w:tcW w:type="dxa" w:w="3700"/>
            <w:tcMar>
              <w:top w:type="dxa" w:w="100"/>
              <w:left w:type="dxa" w:w="120"/>
              <w:bottom w:type="dxa" w:w="100"/>
              <w:right w:type="dxa" w:w="120"/>
            </w:tcMar>
          </w:tcPr>
          <w:p>
            <w:r>
              <w:rPr>
                <w:b w:val="false"/>
                <w:bCs w:val="false"/>
                <w:sz w:val="21"/>
                <w:szCs w:val="21"/>
              </w:rPr>
              <w:t xml:space="preserve">Enforces max attempts, cooldowns, opt-outs, minimum-value and escalation thresholds.</w:t>
            </w:r>
          </w:p>
        </w:tc>
        <w:tc>
          <w:tcPr>
            <w:tcW w:type="dxa" w:w="3400"/>
            <w:tcMar>
              <w:top w:type="dxa" w:w="100"/>
              <w:left w:type="dxa" w:w="120"/>
              <w:bottom w:type="dxa" w:w="100"/>
              <w:right w:type="dxa" w:w="120"/>
            </w:tcMar>
          </w:tcPr>
          <w:p>
            <w:r>
              <w:rPr>
                <w:b w:val="false"/>
                <w:bCs w:val="false"/>
                <w:sz w:val="21"/>
                <w:szCs w:val="21"/>
              </w:rPr>
              <w:t xml:space="preserve">Delivers the stopping rules and compliant escalation the brief requires.</w:t>
            </w:r>
          </w:p>
        </w:tc>
      </w:tr>
      <w:tr>
        <w:tc>
          <w:tcPr>
            <w:tcW w:type="dxa" w:w="2600"/>
            <w:tcMar>
              <w:top w:type="dxa" w:w="100"/>
              <w:left w:type="dxa" w:w="120"/>
              <w:bottom w:type="dxa" w:w="100"/>
              <w:right w:type="dxa" w:w="120"/>
            </w:tcMar>
          </w:tcPr>
          <w:p>
            <w:r>
              <w:rPr>
                <w:b w:val="false"/>
                <w:bCs w:val="false"/>
                <w:sz w:val="21"/>
                <w:szCs w:val="21"/>
              </w:rPr>
              <w:t xml:space="preserve">Predictive degradation detector</w:t>
            </w:r>
          </w:p>
        </w:tc>
        <w:tc>
          <w:tcPr>
            <w:tcW w:type="dxa" w:w="3700"/>
            <w:tcMar>
              <w:top w:type="dxa" w:w="100"/>
              <w:left w:type="dxa" w:w="120"/>
              <w:bottom w:type="dxa" w:w="100"/>
              <w:right w:type="dxa" w:w="120"/>
            </w:tcMar>
          </w:tcPr>
          <w:p>
            <w:r>
              <w:rPr>
                <w:b w:val="false"/>
                <w:bCs w:val="false"/>
                <w:sz w:val="21"/>
                <w:szCs w:val="21"/>
              </w:rPr>
              <w:t xml:space="preserve">Flags at-risk payments before they fail, from soft-decline and latency patterns.</w:t>
            </w:r>
          </w:p>
        </w:tc>
        <w:tc>
          <w:tcPr>
            <w:tcW w:type="dxa" w:w="3400"/>
            <w:tcMar>
              <w:top w:type="dxa" w:w="100"/>
              <w:left w:type="dxa" w:w="120"/>
              <w:bottom w:type="dxa" w:w="100"/>
              <w:right w:type="dxa" w:w="120"/>
            </w:tcMar>
          </w:tcPr>
          <w:p>
            <w:r>
              <w:rPr>
                <w:b w:val="false"/>
                <w:bCs w:val="false"/>
                <w:sz w:val="21"/>
                <w:szCs w:val="21"/>
              </w:rPr>
              <w:t xml:space="preserve">Detects revenue at risk proactively, not only after failure.</w:t>
            </w:r>
          </w:p>
        </w:tc>
      </w:tr>
      <w:tr>
        <w:tc>
          <w:tcPr>
            <w:tcW w:type="dxa" w:w="2600"/>
            <w:tcMar>
              <w:top w:type="dxa" w:w="100"/>
              <w:left w:type="dxa" w:w="120"/>
              <w:bottom w:type="dxa" w:w="100"/>
              <w:right w:type="dxa" w:w="120"/>
            </w:tcMar>
          </w:tcPr>
          <w:p>
            <w:r>
              <w:rPr>
                <w:b w:val="false"/>
                <w:bCs w:val="false"/>
                <w:sz w:val="21"/>
                <w:szCs w:val="21"/>
              </w:rPr>
              <w:t xml:space="preserve">Adaptive probability recalibration</w:t>
            </w:r>
          </w:p>
        </w:tc>
        <w:tc>
          <w:tcPr>
            <w:tcW w:type="dxa" w:w="3700"/>
            <w:tcMar>
              <w:top w:type="dxa" w:w="100"/>
              <w:left w:type="dxa" w:w="120"/>
              <w:bottom w:type="dxa" w:w="100"/>
              <w:right w:type="dxa" w:w="120"/>
            </w:tcMar>
          </w:tcPr>
          <w:p>
            <w:r>
              <w:rPr>
                <w:b w:val="false"/>
                <w:bCs w:val="false"/>
                <w:sz w:val="21"/>
                <w:szCs w:val="21"/>
              </w:rPr>
              <w:t xml:space="preserve">Updates recovery-probability estimates from observed outcomes after each batch.</w:t>
            </w:r>
          </w:p>
        </w:tc>
        <w:tc>
          <w:tcPr>
            <w:tcW w:type="dxa" w:w="3400"/>
            <w:tcMar>
              <w:top w:type="dxa" w:w="100"/>
              <w:left w:type="dxa" w:w="120"/>
              <w:bottom w:type="dxa" w:w="100"/>
              <w:right w:type="dxa" w:w="120"/>
            </w:tcMar>
          </w:tcPr>
          <w:p>
            <w:r>
              <w:rPr>
                <w:b w:val="false"/>
                <w:bCs w:val="false"/>
                <w:sz w:val="21"/>
                <w:szCs w:val="21"/>
              </w:rPr>
              <w:t xml:space="preserve">Allows the agent to improve over time rather than stay fixed at initial estimates.</w:t>
            </w:r>
          </w:p>
        </w:tc>
      </w:tr>
      <w:tr>
        <w:tc>
          <w:tcPr>
            <w:tcW w:type="dxa" w:w="2600"/>
            <w:tcMar>
              <w:top w:type="dxa" w:w="100"/>
              <w:left w:type="dxa" w:w="120"/>
              <w:bottom w:type="dxa" w:w="100"/>
              <w:right w:type="dxa" w:w="120"/>
            </w:tcMar>
          </w:tcPr>
          <w:p>
            <w:r>
              <w:rPr>
                <w:b w:val="false"/>
                <w:bCs w:val="false"/>
                <w:sz w:val="21"/>
                <w:szCs w:val="21"/>
              </w:rPr>
              <w:t xml:space="preserve">Gemini escalation briefing</w:t>
            </w:r>
          </w:p>
        </w:tc>
        <w:tc>
          <w:tcPr>
            <w:tcW w:type="dxa" w:w="3700"/>
            <w:tcMar>
              <w:top w:type="dxa" w:w="100"/>
              <w:left w:type="dxa" w:w="120"/>
              <w:bottom w:type="dxa" w:w="100"/>
              <w:right w:type="dxa" w:w="120"/>
            </w:tcMar>
          </w:tcPr>
          <w:p>
            <w:r>
              <w:rPr>
                <w:b w:val="false"/>
                <w:bCs w:val="false"/>
                <w:sz w:val="21"/>
                <w:szCs w:val="21"/>
              </w:rPr>
              <w:t xml:space="preserve">Writes a short summary for the human agent taking over a case.</w:t>
            </w:r>
          </w:p>
        </w:tc>
        <w:tc>
          <w:tcPr>
            <w:tcW w:type="dxa" w:w="3400"/>
            <w:tcMar>
              <w:top w:type="dxa" w:w="100"/>
              <w:left w:type="dxa" w:w="120"/>
              <w:bottom w:type="dxa" w:w="100"/>
              <w:right w:type="dxa" w:w="120"/>
            </w:tcMar>
          </w:tcPr>
          <w:p>
            <w:r>
              <w:rPr>
                <w:b w:val="false"/>
                <w:bCs w:val="false"/>
                <w:sz w:val="21"/>
                <w:szCs w:val="21"/>
              </w:rPr>
              <w:t xml:space="preserve">Provides agentic synthesis, kept separate from the money decision.</w:t>
            </w:r>
          </w:p>
        </w:tc>
      </w:tr>
      <w:tr>
        <w:tc>
          <w:tcPr>
            <w:tcW w:type="dxa" w:w="2600"/>
            <w:tcMar>
              <w:top w:type="dxa" w:w="100"/>
              <w:left w:type="dxa" w:w="120"/>
              <w:bottom w:type="dxa" w:w="100"/>
              <w:right w:type="dxa" w:w="120"/>
            </w:tcMar>
          </w:tcPr>
          <w:p>
            <w:r>
              <w:rPr>
                <w:b w:val="false"/>
                <w:bCs w:val="false"/>
                <w:sz w:val="21"/>
                <w:szCs w:val="21"/>
              </w:rPr>
              <w:t xml:space="preserve">Customer portal (magic link)</w:t>
            </w:r>
          </w:p>
        </w:tc>
        <w:tc>
          <w:tcPr>
            <w:tcW w:type="dxa" w:w="3700"/>
            <w:tcMar>
              <w:top w:type="dxa" w:w="100"/>
              <w:left w:type="dxa" w:w="120"/>
              <w:bottom w:type="dxa" w:w="100"/>
              <w:right w:type="dxa" w:w="120"/>
            </w:tcMar>
          </w:tcPr>
          <w:p>
            <w:r>
              <w:rPr>
                <w:b w:val="false"/>
                <w:bCs w:val="false"/>
                <w:sz w:val="21"/>
                <w:szCs w:val="21"/>
              </w:rPr>
              <w:t xml:space="preserve">A plain-language page with a real Razorpay payment link and an opt-out option.</w:t>
            </w:r>
          </w:p>
        </w:tc>
        <w:tc>
          <w:tcPr>
            <w:tcW w:type="dxa" w:w="3400"/>
            <w:tcMar>
              <w:top w:type="dxa" w:w="100"/>
              <w:left w:type="dxa" w:w="120"/>
              <w:bottom w:type="dxa" w:w="100"/>
              <w:right w:type="dxa" w:w="120"/>
            </w:tcMar>
          </w:tcPr>
          <w:p>
            <w:r>
              <w:rPr>
                <w:b w:val="false"/>
                <w:bCs w:val="false"/>
                <w:sz w:val="21"/>
                <w:szCs w:val="21"/>
              </w:rPr>
              <w:t xml:space="preserve">The one customer-facing element not present in Razorpay's own agents.</w:t>
            </w:r>
          </w:p>
        </w:tc>
      </w:tr>
      <w:tr>
        <w:tc>
          <w:tcPr>
            <w:tcW w:type="dxa" w:w="2600"/>
            <w:tcMar>
              <w:top w:type="dxa" w:w="100"/>
              <w:left w:type="dxa" w:w="120"/>
              <w:bottom w:type="dxa" w:w="100"/>
              <w:right w:type="dxa" w:w="120"/>
            </w:tcMar>
          </w:tcPr>
          <w:p>
            <w:r>
              <w:rPr>
                <w:b w:val="false"/>
                <w:bCs w:val="false"/>
                <w:sz w:val="21"/>
                <w:szCs w:val="21"/>
              </w:rPr>
              <w:t xml:space="preserve">Shadow mode</w:t>
            </w:r>
          </w:p>
        </w:tc>
        <w:tc>
          <w:tcPr>
            <w:tcW w:type="dxa" w:w="3700"/>
            <w:tcMar>
              <w:top w:type="dxa" w:w="100"/>
              <w:left w:type="dxa" w:w="120"/>
              <w:bottom w:type="dxa" w:w="100"/>
              <w:right w:type="dxa" w:w="120"/>
            </w:tcMar>
          </w:tcPr>
          <w:p>
            <w:r>
              <w:rPr>
                <w:b w:val="false"/>
                <w:bCs w:val="false"/>
                <w:sz w:val="21"/>
                <w:szCs w:val="21"/>
              </w:rPr>
              <w:t xml:space="preserve">Projects expected recovery before any message is sent or money moves.</w:t>
            </w:r>
          </w:p>
        </w:tc>
        <w:tc>
          <w:tcPr>
            <w:tcW w:type="dxa" w:w="3400"/>
            <w:tcMar>
              <w:top w:type="dxa" w:w="100"/>
              <w:left w:type="dxa" w:w="120"/>
              <w:bottom w:type="dxa" w:w="100"/>
              <w:right w:type="dxa" w:w="120"/>
            </w:tcMar>
          </w:tcPr>
          <w:p>
            <w:r>
              <w:rPr>
                <w:b w:val="false"/>
                <w:bCs w:val="false"/>
                <w:sz w:val="21"/>
                <w:szCs w:val="21"/>
              </w:rPr>
              <w:t xml:space="preserve">Lets a merchant evaluate the agent before enabling it live.</w:t>
            </w:r>
          </w:p>
        </w:tc>
      </w:tr>
      <w:tr>
        <w:tc>
          <w:tcPr>
            <w:tcW w:type="dxa" w:w="2600"/>
            <w:tcMar>
              <w:top w:type="dxa" w:w="100"/>
              <w:left w:type="dxa" w:w="120"/>
              <w:bottom w:type="dxa" w:w="100"/>
              <w:right w:type="dxa" w:w="120"/>
            </w:tcMar>
          </w:tcPr>
          <w:p>
            <w:r>
              <w:rPr>
                <w:b w:val="false"/>
                <w:bCs w:val="false"/>
                <w:sz w:val="21"/>
                <w:szCs w:val="21"/>
              </w:rPr>
              <w:t xml:space="preserve">Audit trail</w:t>
            </w:r>
          </w:p>
        </w:tc>
        <w:tc>
          <w:tcPr>
            <w:tcW w:type="dxa" w:w="3700"/>
            <w:tcMar>
              <w:top w:type="dxa" w:w="100"/>
              <w:left w:type="dxa" w:w="120"/>
              <w:bottom w:type="dxa" w:w="100"/>
              <w:right w:type="dxa" w:w="120"/>
            </w:tcMar>
          </w:tcPr>
          <w:p>
            <w:r>
              <w:rPr>
                <w:b w:val="false"/>
                <w:bCs w:val="false"/>
                <w:sz w:val="21"/>
                <w:szCs w:val="21"/>
              </w:rPr>
              <w:t xml:space="preserve">Logs every stage — diagnosis, decision, attempt, and outcome — immutably.</w:t>
            </w:r>
          </w:p>
        </w:tc>
        <w:tc>
          <w:tcPr>
            <w:tcW w:type="dxa" w:w="3400"/>
            <w:tcMar>
              <w:top w:type="dxa" w:w="100"/>
              <w:left w:type="dxa" w:w="120"/>
              <w:bottom w:type="dxa" w:w="100"/>
              <w:right w:type="dxa" w:w="120"/>
            </w:tcMar>
          </w:tcPr>
          <w:p>
            <w:r>
              <w:rPr>
                <w:b w:val="false"/>
                <w:bCs w:val="false"/>
                <w:sz w:val="21"/>
                <w:szCs w:val="21"/>
              </w:rPr>
              <w:t xml:space="preserve">Makes every recovered rupee traceable to the reason the agent acted.</w:t>
            </w:r>
          </w:p>
        </w:tc>
      </w:tr>
      <w:tr>
        <w:tc>
          <w:tcPr>
            <w:tcW w:type="dxa" w:w="2600"/>
            <w:tcMar>
              <w:top w:type="dxa" w:w="100"/>
              <w:left w:type="dxa" w:w="120"/>
              <w:bottom w:type="dxa" w:w="100"/>
              <w:right w:type="dxa" w:w="120"/>
            </w:tcMar>
          </w:tcPr>
          <w:p>
            <w:r>
              <w:rPr>
                <w:b w:val="false"/>
                <w:bCs w:val="false"/>
                <w:sz w:val="21"/>
                <w:szCs w:val="21"/>
              </w:rPr>
              <w:t xml:space="preserve">Two user roles</w:t>
            </w:r>
          </w:p>
        </w:tc>
        <w:tc>
          <w:tcPr>
            <w:tcW w:type="dxa" w:w="3700"/>
            <w:tcMar>
              <w:top w:type="dxa" w:w="100"/>
              <w:left w:type="dxa" w:w="120"/>
              <w:bottom w:type="dxa" w:w="100"/>
              <w:right w:type="dxa" w:w="120"/>
            </w:tcMar>
          </w:tcPr>
          <w:p>
            <w:r>
              <w:rPr>
                <w:b w:val="false"/>
                <w:bCs w:val="false"/>
                <w:sz w:val="21"/>
                <w:szCs w:val="21"/>
              </w:rPr>
              <w:t xml:space="preserve">Separate dashboards for full oversight (Admin) and an escalation queue (Recovery Agent).</w:t>
            </w:r>
          </w:p>
        </w:tc>
        <w:tc>
          <w:tcPr>
            <w:tcW w:type="dxa" w:w="3400"/>
            <w:tcMar>
              <w:top w:type="dxa" w:w="100"/>
              <w:left w:type="dxa" w:w="120"/>
              <w:bottom w:type="dxa" w:w="100"/>
              <w:right w:type="dxa" w:w="120"/>
            </w:tcMar>
          </w:tcPr>
          <w:p>
            <w:r>
              <w:rPr>
                <w:b w:val="false"/>
                <w:bCs w:val="false"/>
                <w:sz w:val="21"/>
                <w:szCs w:val="21"/>
              </w:rPr>
              <w:t xml:space="preserve">Turns compliant escalation into an actual workflow, not a status label.</w:t>
            </w:r>
          </w:p>
        </w:tc>
      </w:tr>
    </w:tbl>
    <w:p>
      <w:pPr>
        <w:pStyle w:val="Heading1"/>
        <w:spacing w:after="150" w:before="300"/>
      </w:pPr>
      <w:r>
        <w:t xml:space="preserve">4. System Workflow</w:t>
      </w:r>
    </w:p>
    <w:p>
      <w:pPr>
        <w:spacing w:after="160"/>
      </w:pPr>
      <w:r>
        <w:t xml:space="preserve">All four leak types — payment failure, checkout abandonment, overdue invoices, and predicted degradation — are normalized into a single event type, RevenueEvent. This is the key architectural decision that allows one pipeline, rather than four separate systems, to handle all cases. The workflow runs in five stages: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1F3864" w:val="clear"/>
            <w:tcMar>
              <w:top w:type="dxa" w:w="100"/>
              <w:left w:type="dxa" w:w="120"/>
              <w:bottom w:type="dxa" w:w="100"/>
              <w:right w:type="dxa" w:w="120"/>
            </w:tcMar>
          </w:tcPr>
          <w:p>
            <w:r>
              <w:rPr>
                <w:b/>
                <w:bCs/>
                <w:color w:val="FFFFFF"/>
                <w:sz w:val="21"/>
                <w:szCs w:val="21"/>
              </w:rPr>
              <w:t xml:space="preserve">Stage</w:t>
            </w:r>
          </w:p>
        </w:tc>
        <w:tc>
          <w:tcPr>
            <w:tcW w:type="dxa" w:w="7500"/>
            <w:shd w:fill="1F3864" w:val="clear"/>
            <w:tcMar>
              <w:top w:type="dxa" w:w="100"/>
              <w:left w:type="dxa" w:w="120"/>
              <w:bottom w:type="dxa" w:w="100"/>
              <w:right w:type="dxa" w:w="120"/>
            </w:tcMar>
          </w:tcPr>
          <w:p>
            <w:r>
              <w:rPr>
                <w:b/>
                <w:bCs/>
                <w:color w:val="FFFFFF"/>
                <w:sz w:val="21"/>
                <w:szCs w:val="21"/>
              </w:rPr>
              <w:t xml:space="preserve">What Happens</w:t>
            </w:r>
          </w:p>
        </w:tc>
      </w:tr>
      <w:tr>
        <w:tc>
          <w:tcPr>
            <w:tcW w:type="dxa" w:w="2200"/>
            <w:tcMar>
              <w:top w:type="dxa" w:w="100"/>
              <w:left w:type="dxa" w:w="120"/>
              <w:bottom w:type="dxa" w:w="100"/>
              <w:right w:type="dxa" w:w="120"/>
            </w:tcMar>
          </w:tcPr>
          <w:p>
            <w:r>
              <w:rPr>
                <w:b w:val="false"/>
                <w:bCs w:val="false"/>
                <w:sz w:val="21"/>
                <w:szCs w:val="21"/>
              </w:rPr>
              <w:t xml:space="preserve">Detect</w:t>
            </w:r>
          </w:p>
        </w:tc>
        <w:tc>
          <w:tcPr>
            <w:tcW w:type="dxa" w:w="7500"/>
            <w:tcMar>
              <w:top w:type="dxa" w:w="100"/>
              <w:left w:type="dxa" w:w="120"/>
              <w:bottom w:type="dxa" w:w="100"/>
              <w:right w:type="dxa" w:w="120"/>
            </w:tcMar>
          </w:tcPr>
          <w:p>
            <w:r>
              <w:rPr>
                <w:b w:val="false"/>
                <w:bCs w:val="false"/>
                <w:sz w:val="21"/>
                <w:szCs w:val="21"/>
              </w:rPr>
              <w:t xml:space="preserve">A real Razorpay webhook, a checkout idle timeout, an overdue invoice, or a predictive degradation signal creates a RevenueEvent.</w:t>
            </w:r>
          </w:p>
        </w:tc>
      </w:tr>
      <w:tr>
        <w:tc>
          <w:tcPr>
            <w:tcW w:type="dxa" w:w="2200"/>
            <w:tcMar>
              <w:top w:type="dxa" w:w="100"/>
              <w:left w:type="dxa" w:w="120"/>
              <w:bottom w:type="dxa" w:w="100"/>
              <w:right w:type="dxa" w:w="120"/>
            </w:tcMar>
          </w:tcPr>
          <w:p>
            <w:r>
              <w:rPr>
                <w:b w:val="false"/>
                <w:bCs w:val="false"/>
                <w:sz w:val="21"/>
                <w:szCs w:val="21"/>
              </w:rPr>
              <w:t xml:space="preserve">Diagnose</w:t>
            </w:r>
          </w:p>
        </w:tc>
        <w:tc>
          <w:tcPr>
            <w:tcW w:type="dxa" w:w="7500"/>
            <w:tcMar>
              <w:top w:type="dxa" w:w="100"/>
              <w:left w:type="dxa" w:w="120"/>
              <w:bottom w:type="dxa" w:w="100"/>
              <w:right w:type="dxa" w:w="120"/>
            </w:tcMar>
          </w:tcPr>
          <w:p>
            <w:r>
              <w:rPr>
                <w:b w:val="false"/>
                <w:bCs w:val="false"/>
                <w:sz w:val="21"/>
                <w:szCs w:val="21"/>
              </w:rPr>
              <w:t xml:space="preserve">The event is classified by root cause, either through the rule-based map or, for ambiguous cases, through Gemini. A confidence score is attached.</w:t>
            </w:r>
          </w:p>
        </w:tc>
      </w:tr>
      <w:tr>
        <w:tc>
          <w:tcPr>
            <w:tcW w:type="dxa" w:w="2200"/>
            <w:tcMar>
              <w:top w:type="dxa" w:w="100"/>
              <w:left w:type="dxa" w:w="120"/>
              <w:bottom w:type="dxa" w:w="100"/>
              <w:right w:type="dxa" w:w="120"/>
            </w:tcMar>
          </w:tcPr>
          <w:p>
            <w:r>
              <w:rPr>
                <w:b w:val="false"/>
                <w:bCs w:val="false"/>
                <w:sz w:val="21"/>
                <w:szCs w:val="21"/>
              </w:rPr>
              <w:t xml:space="preserve">Decide</w:t>
            </w:r>
          </w:p>
        </w:tc>
        <w:tc>
          <w:tcPr>
            <w:tcW w:type="dxa" w:w="7500"/>
            <w:tcMar>
              <w:top w:type="dxa" w:w="100"/>
              <w:left w:type="dxa" w:w="120"/>
              <w:bottom w:type="dxa" w:w="100"/>
              <w:right w:type="dxa" w:w="120"/>
            </w:tcMar>
          </w:tcPr>
          <w:p>
            <w:r>
              <w:rPr>
                <w:b w:val="false"/>
                <w:bCs w:val="false"/>
                <w:sz w:val="21"/>
                <w:szCs w:val="21"/>
              </w:rPr>
              <w:t xml:space="preserve">The ROI optimizer scores every candidate action by expected value and selects the best one, or stops if no action clears the minimum threshold. Stopping rules (max attempts, cooldown, opt-out, minimum value) are checked first.</w:t>
            </w:r>
          </w:p>
        </w:tc>
      </w:tr>
      <w:tr>
        <w:tc>
          <w:tcPr>
            <w:tcW w:type="dxa" w:w="2200"/>
            <w:tcMar>
              <w:top w:type="dxa" w:w="100"/>
              <w:left w:type="dxa" w:w="120"/>
              <w:bottom w:type="dxa" w:w="100"/>
              <w:right w:type="dxa" w:w="120"/>
            </w:tcMar>
          </w:tcPr>
          <w:p>
            <w:r>
              <w:rPr>
                <w:b w:val="false"/>
                <w:bCs w:val="false"/>
                <w:sz w:val="21"/>
                <w:szCs w:val="21"/>
              </w:rPr>
              <w:t xml:space="preserve">Execute</w:t>
            </w:r>
          </w:p>
        </w:tc>
        <w:tc>
          <w:tcPr>
            <w:tcW w:type="dxa" w:w="7500"/>
            <w:tcMar>
              <w:top w:type="dxa" w:w="100"/>
              <w:left w:type="dxa" w:w="120"/>
              <w:bottom w:type="dxa" w:w="100"/>
              <w:right w:type="dxa" w:w="120"/>
            </w:tcMar>
          </w:tcPr>
          <w:p>
            <w:r>
              <w:rPr>
                <w:b w:val="false"/>
                <w:bCs w:val="false"/>
                <w:sz w:val="21"/>
                <w:szCs w:val="21"/>
              </w:rPr>
              <w:t xml:space="preserve">The selected action is carried out through a real channel — WhatsApp or email — or the case is escalated to a human agent.</w:t>
            </w:r>
          </w:p>
        </w:tc>
      </w:tr>
      <w:tr>
        <w:tc>
          <w:tcPr>
            <w:tcW w:type="dxa" w:w="2200"/>
            <w:tcMar>
              <w:top w:type="dxa" w:w="100"/>
              <w:left w:type="dxa" w:w="120"/>
              <w:bottom w:type="dxa" w:w="100"/>
              <w:right w:type="dxa" w:w="120"/>
            </w:tcMar>
          </w:tcPr>
          <w:p>
            <w:r>
              <w:rPr>
                <w:b w:val="false"/>
                <w:bCs w:val="false"/>
                <w:sz w:val="21"/>
                <w:szCs w:val="21"/>
              </w:rPr>
              <w:t xml:space="preserve">Learn &amp; Audit</w:t>
            </w:r>
          </w:p>
        </w:tc>
        <w:tc>
          <w:tcPr>
            <w:tcW w:type="dxa" w:w="7500"/>
            <w:tcMar>
              <w:top w:type="dxa" w:w="100"/>
              <w:left w:type="dxa" w:w="120"/>
              <w:bottom w:type="dxa" w:w="100"/>
              <w:right w:type="dxa" w:w="120"/>
            </w:tcMar>
          </w:tcPr>
          <w:p>
            <w:r>
              <w:rPr>
                <w:b w:val="false"/>
                <w:bCs w:val="false"/>
                <w:sz w:val="21"/>
                <w:szCs w:val="21"/>
              </w:rPr>
              <w:t xml:space="preserve">The outcome is recorded, recovery probabilities are recalibrated from real results, and every stage is written to the audit trail.</w:t>
            </w:r>
          </w:p>
        </w:tc>
      </w:tr>
    </w:tbl>
    <w:p>
      <w:pPr>
        <w:pStyle w:val="Heading1"/>
        <w:spacing w:after="150" w:before="300"/>
      </w:pPr>
      <w:r>
        <w:t xml:space="preserve">5. Module Breakdown</w:t>
      </w:r>
    </w:p>
    <w:p>
      <w:pPr>
        <w:spacing w:after="160"/>
      </w:pPr>
      <w:r>
        <w:t xml:space="preserve">The system is organized into the following Django applications, each with a single, clear responsibility: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1F3864" w:val="clear"/>
            <w:tcMar>
              <w:top w:type="dxa" w:w="100"/>
              <w:left w:type="dxa" w:w="120"/>
              <w:bottom w:type="dxa" w:w="100"/>
              <w:right w:type="dxa" w:w="120"/>
            </w:tcMar>
          </w:tcPr>
          <w:p>
            <w:r>
              <w:rPr>
                <w:b/>
                <w:bCs/>
                <w:color w:val="FFFFFF"/>
                <w:sz w:val="21"/>
                <w:szCs w:val="21"/>
              </w:rPr>
              <w:t xml:space="preserve">App</w:t>
            </w:r>
          </w:p>
        </w:tc>
        <w:tc>
          <w:tcPr>
            <w:tcW w:type="dxa" w:w="7500"/>
            <w:shd w:fill="1F3864" w:val="clear"/>
            <w:tcMar>
              <w:top w:type="dxa" w:w="100"/>
              <w:left w:type="dxa" w:w="120"/>
              <w:bottom w:type="dxa" w:w="100"/>
              <w:right w:type="dxa" w:w="120"/>
            </w:tcMar>
          </w:tcPr>
          <w:p>
            <w:r>
              <w:rPr>
                <w:b/>
                <w:bCs/>
                <w:color w:val="FFFFFF"/>
                <w:sz w:val="21"/>
                <w:szCs w:val="21"/>
              </w:rPr>
              <w:t xml:space="preserve">Responsibility</w:t>
            </w:r>
          </w:p>
        </w:tc>
      </w:tr>
      <w:tr>
        <w:tc>
          <w:tcPr>
            <w:tcW w:type="dxa" w:w="2200"/>
            <w:tcMar>
              <w:top w:type="dxa" w:w="100"/>
              <w:left w:type="dxa" w:w="120"/>
              <w:bottom w:type="dxa" w:w="100"/>
              <w:right w:type="dxa" w:w="120"/>
            </w:tcMar>
          </w:tcPr>
          <w:p>
            <w:r>
              <w:rPr>
                <w:b w:val="false"/>
                <w:bCs w:val="false"/>
                <w:sz w:val="21"/>
                <w:szCs w:val="21"/>
              </w:rPr>
              <w:t xml:space="preserve">events</w:t>
            </w:r>
          </w:p>
        </w:tc>
        <w:tc>
          <w:tcPr>
            <w:tcW w:type="dxa" w:w="7500"/>
            <w:tcMar>
              <w:top w:type="dxa" w:w="100"/>
              <w:left w:type="dxa" w:w="120"/>
              <w:bottom w:type="dxa" w:w="100"/>
              <w:right w:type="dxa" w:w="120"/>
            </w:tcMar>
          </w:tcPr>
          <w:p>
            <w:r>
              <w:rPr>
                <w:b w:val="false"/>
                <w:bCs w:val="false"/>
                <w:sz w:val="21"/>
                <w:szCs w:val="21"/>
              </w:rPr>
              <w:t xml:space="preserve">Detection layer — models for Customer, CheckoutSession, Invoice, PaymentAttemptLog, and the central RevenueEvent; the Razorpay webhook; seed and detector commands.</w:t>
            </w:r>
          </w:p>
        </w:tc>
      </w:tr>
      <w:tr>
        <w:tc>
          <w:tcPr>
            <w:tcW w:type="dxa" w:w="2200"/>
            <w:tcMar>
              <w:top w:type="dxa" w:w="100"/>
              <w:left w:type="dxa" w:w="120"/>
              <w:bottom w:type="dxa" w:w="100"/>
              <w:right w:type="dxa" w:w="120"/>
            </w:tcMar>
          </w:tcPr>
          <w:p>
            <w:r>
              <w:rPr>
                <w:b w:val="false"/>
                <w:bCs w:val="false"/>
                <w:sz w:val="21"/>
                <w:szCs w:val="21"/>
              </w:rPr>
              <w:t xml:space="preserve">diagnosis</w:t>
            </w:r>
          </w:p>
        </w:tc>
        <w:tc>
          <w:tcPr>
            <w:tcW w:type="dxa" w:w="7500"/>
            <w:tcMar>
              <w:top w:type="dxa" w:w="100"/>
              <w:left w:type="dxa" w:w="120"/>
              <w:bottom w:type="dxa" w:w="100"/>
              <w:right w:type="dxa" w:w="120"/>
            </w:tcMar>
          </w:tcPr>
          <w:p>
            <w:r>
              <w:rPr>
                <w:b w:val="false"/>
                <w:bCs w:val="false"/>
                <w:sz w:val="21"/>
                <w:szCs w:val="21"/>
              </w:rPr>
              <w:t xml:space="preserve">Root-cause classification — the rule-based map, with a Gemini fallback for ambiguous cases.</w:t>
            </w:r>
          </w:p>
        </w:tc>
      </w:tr>
      <w:tr>
        <w:tc>
          <w:tcPr>
            <w:tcW w:type="dxa" w:w="2200"/>
            <w:tcMar>
              <w:top w:type="dxa" w:w="100"/>
              <w:left w:type="dxa" w:w="120"/>
              <w:bottom w:type="dxa" w:w="100"/>
              <w:right w:type="dxa" w:w="120"/>
            </w:tcMar>
          </w:tcPr>
          <w:p>
            <w:r>
              <w:rPr>
                <w:b w:val="false"/>
                <w:bCs w:val="false"/>
                <w:sz w:val="21"/>
                <w:szCs w:val="21"/>
              </w:rPr>
              <w:t xml:space="preserve">decisioning</w:t>
            </w:r>
          </w:p>
        </w:tc>
        <w:tc>
          <w:tcPr>
            <w:tcW w:type="dxa" w:w="7500"/>
            <w:tcMar>
              <w:top w:type="dxa" w:w="100"/>
              <w:left w:type="dxa" w:w="120"/>
              <w:bottom w:type="dxa" w:w="100"/>
              <w:right w:type="dxa" w:w="120"/>
            </w:tcMar>
          </w:tcPr>
          <w:p>
            <w:r>
              <w:rPr>
                <w:b w:val="false"/>
                <w:bCs w:val="false"/>
                <w:sz w:val="21"/>
                <w:szCs w:val="21"/>
              </w:rPr>
              <w:t xml:space="preserve">The bounded action set, the ROI optimizer, stopping-rule guards, and adaptive probability recalibration.</w:t>
            </w:r>
          </w:p>
        </w:tc>
      </w:tr>
      <w:tr>
        <w:tc>
          <w:tcPr>
            <w:tcW w:type="dxa" w:w="2200"/>
            <w:tcMar>
              <w:top w:type="dxa" w:w="100"/>
              <w:left w:type="dxa" w:w="120"/>
              <w:bottom w:type="dxa" w:w="100"/>
              <w:right w:type="dxa" w:w="120"/>
            </w:tcMar>
          </w:tcPr>
          <w:p>
            <w:r>
              <w:rPr>
                <w:b w:val="false"/>
                <w:bCs w:val="false"/>
                <w:sz w:val="21"/>
                <w:szCs w:val="21"/>
              </w:rPr>
              <w:t xml:space="preserve">execution</w:t>
            </w:r>
          </w:p>
        </w:tc>
        <w:tc>
          <w:tcPr>
            <w:tcW w:type="dxa" w:w="7500"/>
            <w:tcMar>
              <w:top w:type="dxa" w:w="100"/>
              <w:left w:type="dxa" w:w="120"/>
              <w:bottom w:type="dxa" w:w="100"/>
              <w:right w:type="dxa" w:w="120"/>
            </w:tcMar>
          </w:tcPr>
          <w:p>
            <w:r>
              <w:rPr>
                <w:b w:val="false"/>
                <w:bCs w:val="false"/>
                <w:sz w:val="21"/>
                <w:szCs w:val="21"/>
              </w:rPr>
              <w:t xml:space="preserve">Real channel adapters (WhatsApp, Email, mocked SMS) and the executor that turns a decision into an actual send.</w:t>
            </w:r>
          </w:p>
        </w:tc>
      </w:tr>
      <w:tr>
        <w:tc>
          <w:tcPr>
            <w:tcW w:type="dxa" w:w="2200"/>
            <w:tcMar>
              <w:top w:type="dxa" w:w="100"/>
              <w:left w:type="dxa" w:w="120"/>
              <w:bottom w:type="dxa" w:w="100"/>
              <w:right w:type="dxa" w:w="120"/>
            </w:tcMar>
          </w:tcPr>
          <w:p>
            <w:r>
              <w:rPr>
                <w:b w:val="false"/>
                <w:bCs w:val="false"/>
                <w:sz w:val="21"/>
                <w:szCs w:val="21"/>
              </w:rPr>
              <w:t xml:space="preserve">intelligence</w:t>
            </w:r>
          </w:p>
        </w:tc>
        <w:tc>
          <w:tcPr>
            <w:tcW w:type="dxa" w:w="7500"/>
            <w:tcMar>
              <w:top w:type="dxa" w:w="100"/>
              <w:left w:type="dxa" w:w="120"/>
              <w:bottom w:type="dxa" w:w="100"/>
              <w:right w:type="dxa" w:w="120"/>
            </w:tcMar>
          </w:tcPr>
          <w:p>
            <w:r>
              <w:rPr>
                <w:b w:val="false"/>
                <w:bCs w:val="false"/>
                <w:sz w:val="21"/>
                <w:szCs w:val="21"/>
              </w:rPr>
              <w:t xml:space="preserve">The AI layer — the Gemini client, diagnosis reasoning, message composition (including Hinglish), escalation briefing, predictive risk scoring, and the cost guard.</w:t>
            </w:r>
          </w:p>
        </w:tc>
      </w:tr>
      <w:tr>
        <w:tc>
          <w:tcPr>
            <w:tcW w:type="dxa" w:w="2200"/>
            <w:tcMar>
              <w:top w:type="dxa" w:w="100"/>
              <w:left w:type="dxa" w:w="120"/>
              <w:bottom w:type="dxa" w:w="100"/>
              <w:right w:type="dxa" w:w="120"/>
            </w:tcMar>
          </w:tcPr>
          <w:p>
            <w:r>
              <w:rPr>
                <w:b w:val="false"/>
                <w:bCs w:val="false"/>
                <w:sz w:val="21"/>
                <w:szCs w:val="21"/>
              </w:rPr>
              <w:t xml:space="preserve">audit</w:t>
            </w:r>
          </w:p>
        </w:tc>
        <w:tc>
          <w:tcPr>
            <w:tcW w:type="dxa" w:w="7500"/>
            <w:tcMar>
              <w:top w:type="dxa" w:w="100"/>
              <w:left w:type="dxa" w:w="120"/>
              <w:bottom w:type="dxa" w:w="100"/>
              <w:right w:type="dxa" w:w="120"/>
            </w:tcMar>
          </w:tcPr>
          <w:p>
            <w:r>
              <w:rPr>
                <w:b w:val="false"/>
                <w:bCs w:val="false"/>
                <w:sz w:val="21"/>
                <w:szCs w:val="21"/>
              </w:rPr>
              <w:t xml:space="preserve">The append-only audit trail, the ops dashboard, batch list, event detail view, shadow mode, and the recovery-agent escalation queue.</w:t>
            </w:r>
          </w:p>
        </w:tc>
      </w:tr>
      <w:tr>
        <w:tc>
          <w:tcPr>
            <w:tcW w:type="dxa" w:w="2200"/>
            <w:tcMar>
              <w:top w:type="dxa" w:w="100"/>
              <w:left w:type="dxa" w:w="120"/>
              <w:bottom w:type="dxa" w:w="100"/>
              <w:right w:type="dxa" w:w="120"/>
            </w:tcMar>
          </w:tcPr>
          <w:p>
            <w:r>
              <w:rPr>
                <w:b w:val="false"/>
                <w:bCs w:val="false"/>
                <w:sz w:val="21"/>
                <w:szCs w:val="21"/>
              </w:rPr>
              <w:t xml:space="preserve">portal</w:t>
            </w:r>
          </w:p>
        </w:tc>
        <w:tc>
          <w:tcPr>
            <w:tcW w:type="dxa" w:w="7500"/>
            <w:tcMar>
              <w:top w:type="dxa" w:w="100"/>
              <w:left w:type="dxa" w:w="120"/>
              <w:bottom w:type="dxa" w:w="100"/>
              <w:right w:type="dxa" w:w="120"/>
            </w:tcMar>
          </w:tcPr>
          <w:p>
            <w:r>
              <w:rPr>
                <w:b w:val="false"/>
                <w:bCs w:val="false"/>
                <w:sz w:val="21"/>
                <w:szCs w:val="21"/>
              </w:rPr>
              <w:t xml:space="preserve">The customer-facing magic-link page, real Razorpay payment link generation, and opt-out.</w:t>
            </w:r>
          </w:p>
        </w:tc>
      </w:tr>
      <w:tr>
        <w:tc>
          <w:tcPr>
            <w:tcW w:type="dxa" w:w="2200"/>
            <w:tcMar>
              <w:top w:type="dxa" w:w="100"/>
              <w:left w:type="dxa" w:w="120"/>
              <w:bottom w:type="dxa" w:w="100"/>
              <w:right w:type="dxa" w:w="120"/>
            </w:tcMar>
          </w:tcPr>
          <w:p>
            <w:r>
              <w:rPr>
                <w:b w:val="false"/>
                <w:bCs w:val="false"/>
                <w:sz w:val="21"/>
                <w:szCs w:val="21"/>
              </w:rPr>
              <w:t xml:space="preserve">accounts</w:t>
            </w:r>
          </w:p>
        </w:tc>
        <w:tc>
          <w:tcPr>
            <w:tcW w:type="dxa" w:w="7500"/>
            <w:tcMar>
              <w:top w:type="dxa" w:w="100"/>
              <w:left w:type="dxa" w:w="120"/>
              <w:bottom w:type="dxa" w:w="100"/>
              <w:right w:type="dxa" w:w="120"/>
            </w:tcMar>
          </w:tcPr>
          <w:p>
            <w:r>
              <w:rPr>
                <w:b w:val="false"/>
                <w:bCs w:val="false"/>
                <w:sz w:val="21"/>
                <w:szCs w:val="21"/>
              </w:rPr>
              <w:t xml:space="preserve">Signup and login, and the two user roles: Admin and Recovery Agent.</w:t>
            </w:r>
          </w:p>
        </w:tc>
      </w:tr>
      <w:tr>
        <w:tc>
          <w:tcPr>
            <w:tcW w:type="dxa" w:w="2200"/>
            <w:tcMar>
              <w:top w:type="dxa" w:w="100"/>
              <w:left w:type="dxa" w:w="120"/>
              <w:bottom w:type="dxa" w:w="100"/>
              <w:right w:type="dxa" w:w="120"/>
            </w:tcMar>
          </w:tcPr>
          <w:p>
            <w:r>
              <w:rPr>
                <w:b w:val="false"/>
                <w:bCs w:val="false"/>
                <w:sz w:val="21"/>
                <w:szCs w:val="21"/>
              </w:rPr>
              <w:t xml:space="preserve">core</w:t>
            </w:r>
          </w:p>
        </w:tc>
        <w:tc>
          <w:tcPr>
            <w:tcW w:type="dxa" w:w="7500"/>
            <w:tcMar>
              <w:top w:type="dxa" w:w="100"/>
              <w:left w:type="dxa" w:w="120"/>
              <w:bottom w:type="dxa" w:w="100"/>
              <w:right w:type="dxa" w:w="120"/>
            </w:tcMar>
          </w:tcPr>
          <w:p>
            <w:r>
              <w:rPr>
                <w:b w:val="false"/>
                <w:bCs w:val="false"/>
                <w:sz w:val="21"/>
                <w:szCs w:val="21"/>
              </w:rPr>
              <w:t xml:space="preserve">The public home page.</w:t>
            </w:r>
          </w:p>
        </w:tc>
      </w:tr>
    </w:tbl>
    <w:p>
      <w:pPr>
        <w:pStyle w:val="Heading1"/>
        <w:spacing w:after="150" w:before="300"/>
      </w:pPr>
      <w:r>
        <w:t xml:space="preserve">6. Example Scenarios</w:t>
      </w:r>
    </w:p>
    <w:p>
      <w:pPr>
        <w:pStyle w:val="Heading2"/>
        <w:spacing w:after="120" w:before="240"/>
      </w:pPr>
      <w:r>
        <w:t xml:space="preserve">6.1 Small payment failure, correctly ignored</w:t>
      </w:r>
    </w:p>
    <w:p>
      <w:pPr>
        <w:spacing w:after="160"/>
      </w:pPr>
      <w:r>
        <w:t xml:space="preserve">A ₹10 payment fails with an unclear reason. Diagnosis, via the Gemini fallback since the failure is unmapped, labels it unknown_decline. The decision engine checks the minimum-recovery guard first: ₹10 is below the ₹50 floor. Decision: stop, with the reason below_minimum_recovery_threshold. No message is sent and no cost is incurred.</w:t>
      </w:r>
    </w:p>
    <w:p>
      <w:pPr>
        <w:pStyle w:val="Heading2"/>
        <w:spacing w:after="120" w:before="240"/>
      </w:pPr>
      <w:r>
        <w:t xml:space="preserve">6.2 Card declined, mid-value</w:t>
      </w:r>
    </w:p>
    <w:p>
      <w:pPr>
        <w:spacing w:after="160"/>
      </w:pPr>
      <w:r>
        <w:t xml:space="preserve">A ₹6,000 payment fails with error_reason = card_declined. Diagnosis maps directly to the root cause card_declined, with a confidence of 0.9 and no need for an LLM call. The optimizer compares send_payment_link (probability 0.40, cost about ₹0.15) against whatsapp_nudge (probability 0.20). Decision: send a fresh payment link. WhatsApp is sent first using the approved template, with email as the fallback channel.</w:t>
      </w:r>
    </w:p>
    <w:p>
      <w:pPr>
        <w:pStyle w:val="Heading2"/>
        <w:spacing w:after="120" w:before="240"/>
      </w:pPr>
      <w:r>
        <w:t xml:space="preserve">6.3 Payment degradation, caught before failure</w:t>
      </w:r>
    </w:p>
    <w:p>
      <w:pPr>
        <w:spacing w:after="160"/>
      </w:pPr>
      <w:r>
        <w:t xml:space="preserve">A customer's last three payment attempts show worsening latency and two soft declines, but no hard failure has occurred yet. The degradation detector computes a risk score of 0.72, above the 0.7 high-risk threshold. Diagnosis: degradation_high_risk. Decision: send a payment-method-update nudge pre-emptively, before the payment method actually fails. This demonstrates the ability to detect revenue at risk proactively.</w:t>
      </w:r>
    </w:p>
    <w:p>
      <w:pPr>
        <w:pStyle w:val="Heading2"/>
        <w:spacing w:after="120" w:before="240"/>
      </w:pPr>
      <w:r>
        <w:t xml:space="preserve">6.4 Large B2B invoice, severely overdue</w:t>
      </w:r>
    </w:p>
    <w:p>
      <w:pPr>
        <w:spacing w:after="160"/>
      </w:pPr>
      <w:r>
        <w:t xml:space="preserve">A ₹1,80,000 invoice is 45 days overdue. Diagnosis: severely_overdue. The optimizer compares promise_to_pay (probability 0.20) against escalate_human (probability 0.40, cost ₹20 for agent time); the expected value favors escalation, and the amount also exceeds the ₹50,000 escalation threshold outright. Decision: escalate to a human Recovery Agent, with a Gemini-written briefing summarizing what has already been tried.</w:t>
      </w:r>
    </w:p>
    <w:p>
      <w:pPr>
        <w:pStyle w:val="Heading2"/>
        <w:spacing w:after="120" w:before="240"/>
      </w:pPr>
      <w:r>
        <w:t xml:space="preserve">6.5 Abandoned checkout, Hinglish-speaking customer</w:t>
      </w:r>
    </w:p>
    <w:p>
      <w:pPr>
        <w:spacing w:after="160"/>
      </w:pPr>
      <w:r>
        <w:t xml:space="preserve">A customer abandons checkout at the payment step — a high-intent drop-off — with a cart worth ₹4,500, and their profile is set to Hinglish. Diagnosis: abandoned_at_payment, confidence 0.9. Decision: send a WhatsApp nudge. If the email fallback is triggered, it is composed live by Gemini in natural Hinglish rather than a static English template, matching the customer's actual language preference.</w:t>
      </w:r>
    </w:p>
    <w:p>
      <w:pPr>
        <w:pStyle w:val="Heading1"/>
        <w:spacing w:after="150" w:before="300"/>
      </w:pPr>
      <w:r>
        <w:t xml:space="preserve">7. Scope and Assumptions</w:t>
      </w:r>
    </w:p>
    <w:p>
      <w:pPr>
        <w:pStyle w:val="ListParagraph"/>
        <w:numPr>
          <w:ilvl w:val="0"/>
          <w:numId w:val="2"/>
        </w:numPr>
        <w:spacing w:after="80"/>
      </w:pPr>
      <w:r>
        <w:t xml:space="preserve">The rule-based core is a deliberate design choice, not a shortcut. Money decisions — what action to take, and whether to stop — remain deterministic and auditable, which is required in a financial context. AI is layered on top for judgment, not used to make the decision itself.</w:t>
      </w:r>
    </w:p>
    <w:p>
      <w:pPr>
        <w:pStyle w:val="ListParagraph"/>
        <w:numPr>
          <w:ilvl w:val="0"/>
          <w:numId w:val="2"/>
        </w:numPr>
        <w:spacing w:after="80"/>
      </w:pPr>
      <w:r>
        <w:t xml:space="preserve">Some parts are explicitly simulated for demonstration purposes — for example, recovery-outcome confirmation, since the system cannot wait real days for a customer to repay after a nudge. This is documented rather than hidden, and stands in for what would be a real payment.captured webhook in production.</w:t>
      </w:r>
    </w:p>
    <w:p>
      <w:pPr>
        <w:pStyle w:val="ListParagraph"/>
        <w:numPr>
          <w:ilvl w:val="0"/>
          <w:numId w:val="2"/>
        </w:numPr>
        <w:spacing w:after="80"/>
      </w:pPr>
      <w:r>
        <w:t xml:space="preserve">SMS is mocked: its cost is logged, but no message is actually sent. This was a deliberate scope decision to avoid setting up a paid SMS provider within the hackathon timeframe. WhatsApp and email are both fully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2026-09-05T16:12:16.653Z</dcterms:created>
  <dcterms:modified xsi:type="dcterms:W3CDTF">2026-09-05T16:12:16.667Z</dcterms:modified>
</cp:coreProperties>
</file>

<file path=docProps/custom.xml><?xml version="1.0" encoding="utf-8"?>
<Properties xmlns="http://schemas.openxmlformats.org/officeDocument/2006/custom-properties" xmlns:vt="http://schemas.openxmlformats.org/officeDocument/2006/docPropsVTypes"/>
</file>