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AI Revenue Recovery Agent</w:t>
      </w:r>
    </w:p>
    <w:p>
      <w:pPr>
        <w:spacing w:after="60"/>
        <w:jc w:val="center"/>
      </w:pPr>
      <w:r>
        <w:rPr>
          <w:b/>
          <w:bCs/>
          <w:color w:val="1F3864"/>
          <w:sz w:val="28"/>
          <w:szCs w:val="28"/>
        </w:rPr>
        <w:t xml:space="preserve">Architecture Justification</w:t>
      </w:r>
    </w:p>
    <w:p>
      <w:pPr>
        <w:spacing w:after="400"/>
        <w:jc w:val="center"/>
      </w:pPr>
      <w:r>
        <w:rPr>
          <w:i/>
          <w:iCs/>
          <w:sz w:val="22"/>
          <w:szCs w:val="22"/>
        </w:rPr>
        <w:t xml:space="preserve">Why the system is built the way it is</w:t>
      </w:r>
    </w:p>
    <w:p>
      <w:pPr>
        <w:pStyle w:val="Heading1"/>
        <w:spacing w:after="150" w:before="300"/>
      </w:pPr>
      <w:r>
        <w:t xml:space="preserve">1. Core Design Principle</w:t>
      </w:r>
    </w:p>
    <w:p>
      <w:pPr>
        <w:spacing w:after="160"/>
      </w:pPr>
      <w:r>
        <w:t xml:space="preserve">The system follows one dividing line throughout: anything that decides whether or how much money moves, or whether to contact a customer, is rule-based, numeric, and fully auditable. Anything that requires interpreting ambiguity or generating natural language uses Gemini — and even then, always with a deterministic fallback, so the pipeline never breaks or stalls if the AI call fails.</w:t>
      </w:r>
    </w:p>
    <w:p>
      <w:pPr>
        <w:spacing w:after="160"/>
      </w:pPr>
      <w:r>
        <w:t xml:space="preserve">This follows directly from the brief's own requirements: a bounded recovery workflow, with stopping rules, compliant escalation, and an audit trail. An LLM that can freely decide to spend money or contact a customer however it likes cannot satisfy “bounded” or “auditable,” because its reasoning is not fully predictable or replayable. Determinism is therefore treated as a feature of the architecture, specifically because this is a financial workflow.</w:t>
      </w:r>
    </w:p>
    <w:p>
      <w:pPr>
        <w:pStyle w:val="Heading1"/>
        <w:spacing w:after="150" w:before="300"/>
      </w:pPr>
      <w:r>
        <w:t xml:space="preserve">2. Where Rule-Based Logic Is Used, and Why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6300"/>
      </w:tblGrid>
      <w:tr>
        <w:trPr>
          <w:tblHeader/>
        </w:trPr>
        <w:tc>
          <w:tcPr>
            <w:tcW w:type="dxa" w:w="3400"/>
            <w:shd w:fill="1F3864" w:val="clear"/>
            <w:tcMar>
              <w:top w:type="dxa" w:w="100"/>
              <w:left w:type="dxa" w:w="120"/>
              <w:bottom w:type="dxa" w:w="100"/>
              <w:right w:type="dxa" w:w="120"/>
            </w:tcMar>
          </w:tcPr>
          <w:p>
            <w:r>
              <w:rPr>
                <w:b/>
                <w:bCs/>
                <w:color w:val="FFFFFF"/>
                <w:sz w:val="21"/>
                <w:szCs w:val="21"/>
              </w:rPr>
              <w:t xml:space="preserve">Decision</w:t>
            </w:r>
          </w:p>
        </w:tc>
        <w:tc>
          <w:tcPr>
            <w:tcW w:type="dxa" w:w="6300"/>
            <w:shd w:fill="1F3864" w:val="clear"/>
            <w:tcMar>
              <w:top w:type="dxa" w:w="100"/>
              <w:left w:type="dxa" w:w="120"/>
              <w:bottom w:type="dxa" w:w="100"/>
              <w:right w:type="dxa" w:w="120"/>
            </w:tcMar>
          </w:tcPr>
          <w:p>
            <w:r>
              <w:rPr>
                <w:b/>
                <w:bCs/>
                <w:color w:val="FFFFFF"/>
                <w:sz w:val="21"/>
                <w:szCs w:val="21"/>
              </w:rPr>
              <w:t xml:space="preserve">Reason It Stays Rule-Based</w:t>
            </w:r>
          </w:p>
        </w:tc>
      </w:tr>
      <w:tr>
        <w:tc>
          <w:tcPr>
            <w:tcW w:type="dxa" w:w="3400"/>
            <w:tcMar>
              <w:top w:type="dxa" w:w="100"/>
              <w:left w:type="dxa" w:w="120"/>
              <w:bottom w:type="dxa" w:w="100"/>
              <w:right w:type="dxa" w:w="120"/>
            </w:tcMar>
          </w:tcPr>
          <w:p>
            <w:r>
              <w:rPr>
                <w:b w:val="false"/>
                <w:bCs w:val="false"/>
                <w:sz w:val="21"/>
                <w:szCs w:val="21"/>
              </w:rPr>
              <w:t xml:space="preserve">Root-cause mapping (known error codes)</w:t>
            </w:r>
          </w:p>
        </w:tc>
        <w:tc>
          <w:tcPr>
            <w:tcW w:type="dxa" w:w="6300"/>
            <w:tcMar>
              <w:top w:type="dxa" w:w="100"/>
              <w:left w:type="dxa" w:w="120"/>
              <w:bottom w:type="dxa" w:w="100"/>
              <w:right w:type="dxa" w:w="120"/>
            </w:tcMar>
          </w:tcPr>
          <w:p>
            <w:r>
              <w:rPr>
                <w:b w:val="false"/>
                <w:bCs w:val="false"/>
                <w:sz w:val="21"/>
                <w:szCs w:val="21"/>
              </w:rPr>
              <w:t xml:space="preserve">Razorpay's failure taxonomy is finite and well-documented. A direct lookup is faster, free, and fully explainable, so there is no ambiguity to resolve.</w:t>
            </w:r>
          </w:p>
        </w:tc>
      </w:tr>
      <w:tr>
        <w:tc>
          <w:tcPr>
            <w:tcW w:type="dxa" w:w="3400"/>
            <w:tcMar>
              <w:top w:type="dxa" w:w="100"/>
              <w:left w:type="dxa" w:w="120"/>
              <w:bottom w:type="dxa" w:w="100"/>
              <w:right w:type="dxa" w:w="120"/>
            </w:tcMar>
          </w:tcPr>
          <w:p>
            <w:r>
              <w:rPr>
                <w:b w:val="false"/>
                <w:bCs w:val="false"/>
                <w:sz w:val="21"/>
                <w:szCs w:val="21"/>
              </w:rPr>
              <w:t xml:space="preserve">Recovery probability × amount − cost (the ROI optimizer)</w:t>
            </w:r>
          </w:p>
        </w:tc>
        <w:tc>
          <w:tcPr>
            <w:tcW w:type="dxa" w:w="6300"/>
            <w:tcMar>
              <w:top w:type="dxa" w:w="100"/>
              <w:left w:type="dxa" w:w="120"/>
              <w:bottom w:type="dxa" w:w="100"/>
              <w:right w:type="dxa" w:w="120"/>
            </w:tcMar>
          </w:tcPr>
          <w:p>
            <w:r>
              <w:rPr>
                <w:b w:val="false"/>
                <w:bCs w:val="false"/>
                <w:sz w:val="21"/>
                <w:szCs w:val="21"/>
              </w:rPr>
              <w:t xml:space="preserve">This is a financial calculation. It must produce the same output every time for the same inputs, and a human or auditor must be able to recompute it by hand from the stored numbers.</w:t>
            </w:r>
          </w:p>
        </w:tc>
      </w:tr>
      <w:tr>
        <w:tc>
          <w:tcPr>
            <w:tcW w:type="dxa" w:w="3400"/>
            <w:tcMar>
              <w:top w:type="dxa" w:w="100"/>
              <w:left w:type="dxa" w:w="120"/>
              <w:bottom w:type="dxa" w:w="100"/>
              <w:right w:type="dxa" w:w="120"/>
            </w:tcMar>
          </w:tcPr>
          <w:p>
            <w:r>
              <w:rPr>
                <w:b w:val="false"/>
                <w:bCs w:val="false"/>
                <w:sz w:val="21"/>
                <w:szCs w:val="21"/>
              </w:rPr>
              <w:t xml:space="preserve">Stopping rules (max attempts, cooldown, opt-out, minimum-value threshold, escalation threshold)</w:t>
            </w:r>
          </w:p>
        </w:tc>
        <w:tc>
          <w:tcPr>
            <w:tcW w:type="dxa" w:w="6300"/>
            <w:tcMar>
              <w:top w:type="dxa" w:w="100"/>
              <w:left w:type="dxa" w:w="120"/>
              <w:bottom w:type="dxa" w:w="100"/>
              <w:right w:type="dxa" w:w="120"/>
            </w:tcMar>
          </w:tcPr>
          <w:p>
            <w:r>
              <w:rPr>
                <w:b w:val="false"/>
                <w:bCs w:val="false"/>
                <w:sz w:val="21"/>
                <w:szCs w:val="21"/>
              </w:rPr>
              <w:t xml:space="preserve">These are compliance and cost-control guarantees. A rule such as “never contact an opted-out customer” cannot be probabilistic — it must be absolute.</w:t>
            </w:r>
          </w:p>
        </w:tc>
      </w:tr>
      <w:tr>
        <w:tc>
          <w:tcPr>
            <w:tcW w:type="dxa" w:w="3400"/>
            <w:tcMar>
              <w:top w:type="dxa" w:w="100"/>
              <w:left w:type="dxa" w:w="120"/>
              <w:bottom w:type="dxa" w:w="100"/>
              <w:right w:type="dxa" w:w="120"/>
            </w:tcMar>
          </w:tcPr>
          <w:p>
            <w:r>
              <w:rPr>
                <w:b w:val="false"/>
                <w:bCs w:val="false"/>
                <w:sz w:val="21"/>
                <w:szCs w:val="21"/>
              </w:rPr>
              <w:t xml:space="preserve">Adaptive probability recalibration</w:t>
            </w:r>
          </w:p>
        </w:tc>
        <w:tc>
          <w:tcPr>
            <w:tcW w:type="dxa" w:w="6300"/>
            <w:tcMar>
              <w:top w:type="dxa" w:w="100"/>
              <w:left w:type="dxa" w:w="120"/>
              <w:bottom w:type="dxa" w:w="100"/>
              <w:right w:type="dxa" w:w="120"/>
            </w:tcMar>
          </w:tcPr>
          <w:p>
            <w:r>
              <w:rPr>
                <w:b w:val="false"/>
                <w:bCs w:val="false"/>
                <w:sz w:val="21"/>
                <w:szCs w:val="21"/>
              </w:rPr>
              <w:t xml:space="preserve">Although this makes the system improve over time, the update itself is a plain Bayesian-style formula (posterior = (prior × weight + successes) / (weight + total)), not an LLM estimate. This keeps the learning step auditable — the exact reason a probability changed can always be shown.</w:t>
            </w:r>
          </w:p>
        </w:tc>
      </w:tr>
    </w:tbl>
    <w:p>
      <w:pPr>
        <w:spacing w:after="160"/>
      </w:pPr>
      <w:r>
        <w:t xml:space="preserve">As a result, if asked why the agent spent ₹0.15 on one customer and escalated another, the answer is always a number that can be pointed to — never “the model decided.”</w:t>
      </w:r>
    </w:p>
    <w:p>
      <w:pPr>
        <w:pStyle w:val="Heading1"/>
        <w:spacing w:after="150" w:before="300"/>
      </w:pPr>
      <w:r>
        <w:t xml:space="preserve">3. Where AI Is Used, and Why</w:t>
      </w:r>
    </w:p>
    <w:p>
      <w:pPr>
        <w:spacing w:after="160"/>
      </w:pPr>
      <w:r>
        <w:t xml:space="preserve">Gemini is used at exactly four points, each chosen because a static rule table runs out of coverage there:</w:t>
      </w:r>
    </w:p>
    <w:p>
      <w:pPr>
        <w:pStyle w:val="ListParagraph"/>
        <w:numPr>
          <w:ilvl w:val="0"/>
          <w:numId w:val="2"/>
        </w:numPr>
        <w:spacing w:after="80"/>
      </w:pPr>
      <w:r>
        <w:t xml:space="preserve">Ambiguous diagnosis — when a payment failure or degradation signal does not map to a known pattern, Gemini reasons over the raw signals and selects from the same bounded set of root causes the rule table would use. It never invents a new category; it only handles cases the map does not cover.</w:t>
      </w:r>
    </w:p>
    <w:p>
      <w:pPr>
        <w:pStyle w:val="ListParagraph"/>
        <w:numPr>
          <w:ilvl w:val="0"/>
          <w:numId w:val="2"/>
        </w:numPr>
        <w:spacing w:after="80"/>
      </w:pPr>
      <w:r>
        <w:t xml:space="preserve">Email composition, including Hinglish — genuine personalization rather than a templated fill-in-the-blank. This is free text and low risk, since the worst case is an awkward sentence rather than an incorrect financial action, and it allows the message to match the customer's actual language preference.</w:t>
      </w:r>
    </w:p>
    <w:p>
      <w:pPr>
        <w:pStyle w:val="ListParagraph"/>
        <w:numPr>
          <w:ilvl w:val="0"/>
          <w:numId w:val="2"/>
        </w:numPr>
        <w:spacing w:after="80"/>
      </w:pPr>
      <w:r>
        <w:t xml:space="preserve">WhatsApp message personalization — the same idea, but bounded to a single pre-approved template variable, in line with Meta's requirement that business-initiated WhatsApp messages use approved templates.</w:t>
      </w:r>
    </w:p>
    <w:p>
      <w:pPr>
        <w:pStyle w:val="ListParagraph"/>
        <w:numPr>
          <w:ilvl w:val="0"/>
          <w:numId w:val="2"/>
        </w:numPr>
        <w:spacing w:after="80"/>
      </w:pPr>
      <w:r>
        <w:t xml:space="preserve">Escalation briefing — when a case reaches a human, Gemini summarizes what has been tried and what to do next in two to three sentences. This is agentic synthesis, but it happens after the money decision (to escalate) has already been made deterministically; the AI never decides to escalate, only how to brief the human once escalation has already occurred.</w:t>
      </w:r>
    </w:p>
    <w:p>
      <w:pPr>
        <w:spacing w:after="160"/>
      </w:pPr>
      <w:r>
        <w:t xml:space="preserve">Each of these four calls has a cost guard, which skips the Gemini call if its cost would exceed the case's expected value, and a deterministic fallback (a static template or a generic explanation) if the API call fails or is skipped. The AI layer is additive: removing it entirely would leave the system fully functional, only less personalized and slightly less accurate on edge cases.</w:t>
      </w:r>
    </w:p>
    <w:p>
      <w:pPr>
        <w:pStyle w:val="Heading1"/>
        <w:spacing w:after="150" w:before="300"/>
      </w:pPr>
      <w:r>
        <w:t xml:space="preserve">4. Estimated Time Savings From the AI Layer</w:t>
      </w:r>
    </w:p>
    <w:p>
      <w:pPr>
        <w:spacing w:after="160"/>
      </w:pPr>
      <w:r>
        <w:t xml:space="preserve">The figures below are a reasonable estimate rather than a measured result from a production deployment.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200"/>
      </w:tblGrid>
      <w:tr>
        <w:trPr>
          <w:tblHeader/>
        </w:trPr>
        <w:tc>
          <w:tcPr>
            <w:tcW w:type="dxa" w:w="3200"/>
            <w:shd w:fill="1F3864" w:val="clear"/>
            <w:tcMar>
              <w:top w:type="dxa" w:w="100"/>
              <w:left w:type="dxa" w:w="120"/>
              <w:bottom w:type="dxa" w:w="100"/>
              <w:right w:type="dxa" w:w="120"/>
            </w:tcMar>
          </w:tcPr>
          <w:p>
            <w:r>
              <w:rPr>
                <w:b/>
                <w:bCs/>
                <w:color w:val="FFFFFF"/>
                <w:sz w:val="21"/>
                <w:szCs w:val="21"/>
              </w:rPr>
              <w:t xml:space="preserve">Task</w:t>
            </w:r>
          </w:p>
        </w:tc>
        <w:tc>
          <w:tcPr>
            <w:tcW w:type="dxa" w:w="3300"/>
            <w:shd w:fill="1F3864" w:val="clear"/>
            <w:tcMar>
              <w:top w:type="dxa" w:w="100"/>
              <w:left w:type="dxa" w:w="120"/>
              <w:bottom w:type="dxa" w:w="100"/>
              <w:right w:type="dxa" w:w="120"/>
            </w:tcMar>
          </w:tcPr>
          <w:p>
            <w:r>
              <w:rPr>
                <w:b/>
                <w:bCs/>
                <w:color w:val="FFFFFF"/>
                <w:sz w:val="21"/>
                <w:szCs w:val="21"/>
              </w:rPr>
              <w:t xml:space="preserve">Manual Effort</w:t>
            </w:r>
          </w:p>
        </w:tc>
        <w:tc>
          <w:tcPr>
            <w:tcW w:type="dxa" w:w="3200"/>
            <w:shd w:fill="1F3864" w:val="clear"/>
            <w:tcMar>
              <w:top w:type="dxa" w:w="100"/>
              <w:left w:type="dxa" w:w="120"/>
              <w:bottom w:type="dxa" w:w="100"/>
              <w:right w:type="dxa" w:w="120"/>
            </w:tcMar>
          </w:tcPr>
          <w:p>
            <w:r>
              <w:rPr>
                <w:b/>
                <w:bCs/>
                <w:color w:val="FFFFFF"/>
                <w:sz w:val="21"/>
                <w:szCs w:val="21"/>
              </w:rPr>
              <w:t xml:space="preserve">With This System</w:t>
            </w:r>
          </w:p>
        </w:tc>
      </w:tr>
      <w:tr>
        <w:tc>
          <w:tcPr>
            <w:tcW w:type="dxa" w:w="3200"/>
            <w:tcMar>
              <w:top w:type="dxa" w:w="100"/>
              <w:left w:type="dxa" w:w="120"/>
              <w:bottom w:type="dxa" w:w="100"/>
              <w:right w:type="dxa" w:w="120"/>
            </w:tcMar>
          </w:tcPr>
          <w:p>
            <w:r>
              <w:rPr>
                <w:b w:val="false"/>
                <w:bCs w:val="false"/>
                <w:sz w:val="21"/>
                <w:szCs w:val="21"/>
              </w:rPr>
              <w:t xml:space="preserve">Diagnosing an ambiguous payment failure</w:t>
            </w:r>
          </w:p>
        </w:tc>
        <w:tc>
          <w:tcPr>
            <w:tcW w:type="dxa" w:w="3300"/>
            <w:tcMar>
              <w:top w:type="dxa" w:w="100"/>
              <w:left w:type="dxa" w:w="120"/>
              <w:bottom w:type="dxa" w:w="100"/>
              <w:right w:type="dxa" w:w="120"/>
            </w:tcMar>
          </w:tcPr>
          <w:p>
            <w:r>
              <w:rPr>
                <w:b w:val="false"/>
                <w:bCs w:val="false"/>
                <w:sz w:val="21"/>
                <w:szCs w:val="21"/>
              </w:rPr>
              <w:t xml:space="preserve">A support agent reviewing the raw gateway response — roughly 2 to 5 minutes per case</w:t>
            </w:r>
          </w:p>
        </w:tc>
        <w:tc>
          <w:tcPr>
            <w:tcW w:type="dxa" w:w="3200"/>
            <w:tcMar>
              <w:top w:type="dxa" w:w="100"/>
              <w:left w:type="dxa" w:w="120"/>
              <w:bottom w:type="dxa" w:w="100"/>
              <w:right w:type="dxa" w:w="120"/>
            </w:tcMar>
          </w:tcPr>
          <w:p>
            <w:r>
              <w:rPr>
                <w:b w:val="false"/>
                <w:bCs w:val="false"/>
                <w:sz w:val="21"/>
                <w:szCs w:val="21"/>
              </w:rPr>
              <w:t xml:space="preserve">Sub-second, automatic</w:t>
            </w:r>
          </w:p>
        </w:tc>
      </w:tr>
      <w:tr>
        <w:tc>
          <w:tcPr>
            <w:tcW w:type="dxa" w:w="3200"/>
            <w:tcMar>
              <w:top w:type="dxa" w:w="100"/>
              <w:left w:type="dxa" w:w="120"/>
              <w:bottom w:type="dxa" w:w="100"/>
              <w:right w:type="dxa" w:w="120"/>
            </w:tcMar>
          </w:tcPr>
          <w:p>
            <w:r>
              <w:rPr>
                <w:b w:val="false"/>
                <w:bCs w:val="false"/>
                <w:sz w:val="21"/>
                <w:szCs w:val="21"/>
              </w:rPr>
              <w:t xml:space="preserve">Writing a personalized recovery message per customer</w:t>
            </w:r>
          </w:p>
        </w:tc>
        <w:tc>
          <w:tcPr>
            <w:tcW w:type="dxa" w:w="3300"/>
            <w:tcMar>
              <w:top w:type="dxa" w:w="100"/>
              <w:left w:type="dxa" w:w="120"/>
              <w:bottom w:type="dxa" w:w="100"/>
              <w:right w:type="dxa" w:w="120"/>
            </w:tcMar>
          </w:tcPr>
          <w:p>
            <w:r>
              <w:rPr>
                <w:b w:val="false"/>
                <w:bCs w:val="false"/>
                <w:sz w:val="21"/>
                <w:szCs w:val="21"/>
              </w:rPr>
              <w:t xml:space="preserve">1 to 3 minutes to write something not entirely generic</w:t>
            </w:r>
          </w:p>
        </w:tc>
        <w:tc>
          <w:tcPr>
            <w:tcW w:type="dxa" w:w="3200"/>
            <w:tcMar>
              <w:top w:type="dxa" w:w="100"/>
              <w:left w:type="dxa" w:w="120"/>
              <w:bottom w:type="dxa" w:w="100"/>
              <w:right w:type="dxa" w:w="120"/>
            </w:tcMar>
          </w:tcPr>
          <w:p>
            <w:r>
              <w:rPr>
                <w:b w:val="false"/>
                <w:bCs w:val="false"/>
                <w:sz w:val="21"/>
                <w:szCs w:val="21"/>
              </w:rPr>
              <w:t xml:space="preserve">Sub-second, automatic, and in the customer's actual language</w:t>
            </w:r>
          </w:p>
        </w:tc>
      </w:tr>
      <w:tr>
        <w:tc>
          <w:tcPr>
            <w:tcW w:type="dxa" w:w="3200"/>
            <w:tcMar>
              <w:top w:type="dxa" w:w="100"/>
              <w:left w:type="dxa" w:w="120"/>
              <w:bottom w:type="dxa" w:w="100"/>
              <w:right w:type="dxa" w:w="120"/>
            </w:tcMar>
          </w:tcPr>
          <w:p>
            <w:r>
              <w:rPr>
                <w:b w:val="false"/>
                <w:bCs w:val="false"/>
                <w:sz w:val="21"/>
                <w:szCs w:val="21"/>
              </w:rPr>
              <w:t xml:space="preserve">Summarizing a case for a human agent to pick up</w:t>
            </w:r>
          </w:p>
        </w:tc>
        <w:tc>
          <w:tcPr>
            <w:tcW w:type="dxa" w:w="3300"/>
            <w:tcMar>
              <w:top w:type="dxa" w:w="100"/>
              <w:left w:type="dxa" w:w="120"/>
              <w:bottom w:type="dxa" w:w="100"/>
              <w:right w:type="dxa" w:w="120"/>
            </w:tcMar>
          </w:tcPr>
          <w:p>
            <w:r>
              <w:rPr>
                <w:b w:val="false"/>
                <w:bCs w:val="false"/>
                <w:sz w:val="21"/>
                <w:szCs w:val="21"/>
              </w:rPr>
              <w:t xml:space="preserve">5 to 10 minutes reading through prior attempts and context</w:t>
            </w:r>
          </w:p>
        </w:tc>
        <w:tc>
          <w:tcPr>
            <w:tcW w:type="dxa" w:w="3200"/>
            <w:tcMar>
              <w:top w:type="dxa" w:w="100"/>
              <w:left w:type="dxa" w:w="120"/>
              <w:bottom w:type="dxa" w:w="100"/>
              <w:right w:type="dxa" w:w="120"/>
            </w:tcMar>
          </w:tcPr>
          <w:p>
            <w:r>
              <w:rPr>
                <w:b w:val="false"/>
                <w:bCs w:val="false"/>
                <w:sz w:val="21"/>
                <w:szCs w:val="21"/>
              </w:rPr>
              <w:t xml:space="preserve">A few seconds, and shown to the agent immediately rather than reconstructed by them</w:t>
            </w:r>
          </w:p>
        </w:tc>
      </w:tr>
      <w:tr>
        <w:tc>
          <w:tcPr>
            <w:tcW w:type="dxa" w:w="3200"/>
            <w:tcMar>
              <w:top w:type="dxa" w:w="100"/>
              <w:left w:type="dxa" w:w="120"/>
              <w:bottom w:type="dxa" w:w="100"/>
              <w:right w:type="dxa" w:w="120"/>
            </w:tcMar>
          </w:tcPr>
          <w:p>
            <w:r>
              <w:rPr>
                <w:b w:val="false"/>
                <w:bCs w:val="false"/>
                <w:sz w:val="21"/>
                <w:szCs w:val="21"/>
              </w:rPr>
              <w:t xml:space="preserve">Recalibrating recovery assumptions</w:t>
            </w:r>
          </w:p>
        </w:tc>
        <w:tc>
          <w:tcPr>
            <w:tcW w:type="dxa" w:w="3300"/>
            <w:tcMar>
              <w:top w:type="dxa" w:w="100"/>
              <w:left w:type="dxa" w:w="120"/>
              <w:bottom w:type="dxa" w:w="100"/>
              <w:right w:type="dxa" w:w="120"/>
            </w:tcMar>
          </w:tcPr>
          <w:p>
            <w:r>
              <w:rPr>
                <w:b w:val="false"/>
                <w:bCs w:val="false"/>
                <w:sz w:val="21"/>
                <w:szCs w:val="21"/>
              </w:rPr>
              <w:t xml:space="preserve">Rarely done in practice; assumptions are usually frozen at a best guess</w:t>
            </w:r>
          </w:p>
        </w:tc>
        <w:tc>
          <w:tcPr>
            <w:tcW w:type="dxa" w:w="3200"/>
            <w:tcMar>
              <w:top w:type="dxa" w:w="100"/>
              <w:left w:type="dxa" w:w="120"/>
              <w:bottom w:type="dxa" w:w="100"/>
              <w:right w:type="dxa" w:w="120"/>
            </w:tcMar>
          </w:tcPr>
          <w:p>
            <w:r>
              <w:rPr>
                <w:b w:val="false"/>
                <w:bCs w:val="false"/>
                <w:sz w:val="21"/>
                <w:szCs w:val="21"/>
              </w:rPr>
              <w:t xml:space="preserve">Automatic after every batch, with the exact change shown</w:t>
            </w:r>
          </w:p>
        </w:tc>
      </w:tr>
    </w:tbl>
    <w:p>
      <w:pPr>
        <w:spacing w:after="160"/>
      </w:pPr>
      <w:r>
        <w:t xml:space="preserve">For two of these tasks — recalibration and ambiguous-case coverage at scale — a person would not do this at all in practice; they would simply continue using a static assumption. The system is not only faster than a person on each task, it also performs some tasks that would otherwise not be done at all.</w:t>
      </w:r>
    </w:p>
    <w:p>
      <w:pPr>
        <w:pStyle w:val="Heading1"/>
        <w:spacing w:after="150" w:before="300"/>
      </w:pPr>
      <w:r>
        <w:t xml:space="preserve">5. Why This Qualifies as an Agent, Not a Script</w:t>
      </w:r>
    </w:p>
    <w:p>
      <w:pPr>
        <w:spacing w:after="160"/>
      </w:pPr>
      <w:r>
        <w:t xml:space="preserve">An agent, in the sense intended by the brief, needs to do four things:</w:t>
      </w:r>
    </w:p>
    <w:p>
      <w:pPr>
        <w:pStyle w:val="ListParagraph"/>
        <w:numPr>
          <w:ilvl w:val="0"/>
          <w:numId w:val="2"/>
        </w:numPr>
        <w:spacing w:after="80"/>
      </w:pPr>
      <w:r>
        <w:t xml:space="preserve">Perceive — detect a change in the world (a failure, an idle checkout, an overdue date, a degrading pattern) without being told.</w:t>
      </w:r>
    </w:p>
    <w:p>
      <w:pPr>
        <w:pStyle w:val="ListParagraph"/>
        <w:numPr>
          <w:ilvl w:val="0"/>
          <w:numId w:val="2"/>
        </w:numPr>
        <w:spacing w:after="80"/>
      </w:pPr>
      <w:r>
        <w:t xml:space="preserve">Reason — decide what that change means and what action to take.</w:t>
      </w:r>
    </w:p>
    <w:p>
      <w:pPr>
        <w:pStyle w:val="ListParagraph"/>
        <w:numPr>
          <w:ilvl w:val="0"/>
          <w:numId w:val="2"/>
        </w:numPr>
        <w:spacing w:after="80"/>
      </w:pPr>
      <w:r>
        <w:t xml:space="preserve">Act — actually carry out an action in the world (send a message, move a case to escalation) without a human triggering each step.</w:t>
      </w:r>
    </w:p>
    <w:p>
      <w:pPr>
        <w:pStyle w:val="ListParagraph"/>
        <w:numPr>
          <w:ilvl w:val="0"/>
          <w:numId w:val="2"/>
        </w:numPr>
        <w:spacing w:after="80"/>
      </w:pPr>
      <w:r>
        <w:t xml:space="preserve">Improve — get better at reasoning over time, based on what has happened.</w:t>
      </w:r>
    </w:p>
    <w:p>
      <w:pPr>
        <w:spacing w:after="160"/>
      </w:pPr>
      <w:r>
        <w:t xml:space="preserve">This system performs all four, end to end, without a human in the loop for the common path:</w:t>
      </w:r>
    </w:p>
    <w:p>
      <w:pPr>
        <w:pStyle w:val="ListParagraph"/>
        <w:numPr>
          <w:ilvl w:val="0"/>
          <w:numId w:val="2"/>
        </w:numPr>
        <w:spacing w:after="80"/>
      </w:pPr>
      <w:r>
        <w:t xml:space="preserve">Perceive: the Razorpay webhook, the degradation detector, and the idle-session and overdue-invoice sweeps all run without anyone monitoring for them.</w:t>
      </w:r>
    </w:p>
    <w:p>
      <w:pPr>
        <w:pStyle w:val="ListParagraph"/>
        <w:numPr>
          <w:ilvl w:val="0"/>
          <w:numId w:val="2"/>
        </w:numPr>
        <w:spacing w:after="80"/>
      </w:pPr>
      <w:r>
        <w:t xml:space="preserve">Reason: diagnosis and the ROI optimizer run automatically the moment an event exists, wired to fire synchronously and immediately off the real webhook, not only in scheduled batches.</w:t>
      </w:r>
    </w:p>
    <w:p>
      <w:pPr>
        <w:pStyle w:val="ListParagraph"/>
        <w:numPr>
          <w:ilvl w:val="0"/>
          <w:numId w:val="2"/>
        </w:numPr>
        <w:spacing w:after="80"/>
      </w:pPr>
      <w:r>
        <w:t xml:space="preserve">Act: real WhatsApp and email sends happen without a human approving each one.</w:t>
      </w:r>
    </w:p>
    <w:p>
      <w:pPr>
        <w:pStyle w:val="ListParagraph"/>
        <w:numPr>
          <w:ilvl w:val="0"/>
          <w:numId w:val="2"/>
        </w:numPr>
        <w:spacing w:after="80"/>
      </w:pPr>
      <w:r>
        <w:t xml:space="preserve">Improve: the recalibration step measurably shifts the agent's own assumptions based on real outcomes, with no human retraining anything.</w:t>
      </w:r>
    </w:p>
    <w:p>
      <w:pPr>
        <w:spacing w:after="160"/>
      </w:pPr>
      <w:r>
        <w:t xml:space="preserve">The decision not to run everything on a live background scheduler (Celery) was a scope trade-off made for a two-day build, not a limitation of the design. The guard logic (cooldowns, max attempts, timestamps) is already scheduler-agnostic, so introducing Celery Beat later would be a drop-in change rather than a redesign.</w:t>
      </w:r>
    </w:p>
    <w:p>
      <w:pPr>
        <w:pStyle w:val="Heading1"/>
        <w:spacing w:after="150" w:before="300"/>
      </w:pPr>
      <w:r>
        <w:t xml:space="preserve">6. Where Human Intervention Happens, and Why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6100"/>
      </w:tblGrid>
      <w:tr>
        <w:trPr>
          <w:tblHeader/>
        </w:trPr>
        <w:tc>
          <w:tcPr>
            <w:tcW w:type="dxa" w:w="3600"/>
            <w:shd w:fill="1F3864" w:val="clear"/>
            <w:tcMar>
              <w:top w:type="dxa" w:w="100"/>
              <w:left w:type="dxa" w:w="120"/>
              <w:bottom w:type="dxa" w:w="100"/>
              <w:right w:type="dxa" w:w="120"/>
            </w:tcMar>
          </w:tcPr>
          <w:p>
            <w:r>
              <w:rPr>
                <w:b/>
                <w:bCs/>
                <w:color w:val="FFFFFF"/>
                <w:sz w:val="21"/>
                <w:szCs w:val="21"/>
              </w:rPr>
              <w:t xml:space="preserve">Trigger</w:t>
            </w:r>
          </w:p>
        </w:tc>
        <w:tc>
          <w:tcPr>
            <w:tcW w:type="dxa" w:w="6100"/>
            <w:shd w:fill="1F3864" w:val="clear"/>
            <w:tcMar>
              <w:top w:type="dxa" w:w="100"/>
              <w:left w:type="dxa" w:w="120"/>
              <w:bottom w:type="dxa" w:w="100"/>
              <w:right w:type="dxa" w:w="120"/>
            </w:tcMar>
          </w:tcPr>
          <w:p>
            <w:r>
              <w:rPr>
                <w:b/>
                <w:bCs/>
                <w:color w:val="FFFFFF"/>
                <w:sz w:val="21"/>
                <w:szCs w:val="21"/>
              </w:rPr>
              <w:t xml:space="preserve">Reason a Human Is Involved</w:t>
            </w:r>
          </w:p>
        </w:tc>
      </w:tr>
      <w:tr>
        <w:tc>
          <w:tcPr>
            <w:tcW w:type="dxa" w:w="3600"/>
            <w:tcMar>
              <w:top w:type="dxa" w:w="100"/>
              <w:left w:type="dxa" w:w="120"/>
              <w:bottom w:type="dxa" w:w="100"/>
              <w:right w:type="dxa" w:w="120"/>
            </w:tcMar>
          </w:tcPr>
          <w:p>
            <w:r>
              <w:rPr>
                <w:b w:val="false"/>
                <w:bCs w:val="false"/>
                <w:sz w:val="21"/>
                <w:szCs w:val="21"/>
              </w:rPr>
              <w:t xml:space="preserve">Amount ≥ ₹50,000 and still unresolved</w:t>
            </w:r>
          </w:p>
        </w:tc>
        <w:tc>
          <w:tcPr>
            <w:tcW w:type="dxa" w:w="6100"/>
            <w:tcMar>
              <w:top w:type="dxa" w:w="100"/>
              <w:left w:type="dxa" w:w="120"/>
              <w:bottom w:type="dxa" w:w="100"/>
              <w:right w:type="dxa" w:w="120"/>
            </w:tcMar>
          </w:tcPr>
          <w:p>
            <w:r>
              <w:rPr>
                <w:b w:val="false"/>
                <w:bCs w:val="false"/>
                <w:sz w:val="21"/>
                <w:szCs w:val="21"/>
              </w:rPr>
              <w:t xml:space="preserve">Above a certain value, the cost of an incorrect automated action (annoying a high-value customer, or damaging a B2B relationship) outweighs the savings from staying automated.</w:t>
            </w:r>
          </w:p>
        </w:tc>
      </w:tr>
      <w:tr>
        <w:tc>
          <w:tcPr>
            <w:tcW w:type="dxa" w:w="3600"/>
            <w:tcMar>
              <w:top w:type="dxa" w:w="100"/>
              <w:left w:type="dxa" w:w="120"/>
              <w:bottom w:type="dxa" w:w="100"/>
              <w:right w:type="dxa" w:w="120"/>
            </w:tcMar>
          </w:tcPr>
          <w:p>
            <w:r>
              <w:rPr>
                <w:b w:val="false"/>
                <w:bCs w:val="false"/>
                <w:sz w:val="21"/>
                <w:szCs w:val="21"/>
              </w:rPr>
              <w:t xml:space="preserve">Three automated attempts have already failed</w:t>
            </w:r>
          </w:p>
        </w:tc>
        <w:tc>
          <w:tcPr>
            <w:tcW w:type="dxa" w:w="6100"/>
            <w:tcMar>
              <w:top w:type="dxa" w:w="100"/>
              <w:left w:type="dxa" w:w="120"/>
              <w:bottom w:type="dxa" w:w="100"/>
              <w:right w:type="dxa" w:w="120"/>
            </w:tcMar>
          </w:tcPr>
          <w:p>
            <w:r>
              <w:rPr>
                <w:b w:val="false"/>
                <w:bCs w:val="false"/>
                <w:sz w:val="21"/>
                <w:szCs w:val="21"/>
              </w:rPr>
              <w:t xml:space="preserve">If the low-cost channels did not work, repeating them is not a strategy; a human can adapt in ways a bounded action set cannot.</w:t>
            </w:r>
          </w:p>
        </w:tc>
      </w:tr>
      <w:tr>
        <w:tc>
          <w:tcPr>
            <w:tcW w:type="dxa" w:w="3600"/>
            <w:tcMar>
              <w:top w:type="dxa" w:w="100"/>
              <w:left w:type="dxa" w:w="120"/>
              <w:bottom w:type="dxa" w:w="100"/>
              <w:right w:type="dxa" w:w="120"/>
            </w:tcMar>
          </w:tcPr>
          <w:p>
            <w:r>
              <w:rPr>
                <w:b w:val="false"/>
                <w:bCs w:val="false"/>
                <w:sz w:val="21"/>
                <w:szCs w:val="21"/>
              </w:rPr>
              <w:t xml:space="preserve">Customer has opted out</w:t>
            </w:r>
          </w:p>
        </w:tc>
        <w:tc>
          <w:tcPr>
            <w:tcW w:type="dxa" w:w="6100"/>
            <w:tcMar>
              <w:top w:type="dxa" w:w="100"/>
              <w:left w:type="dxa" w:w="120"/>
              <w:bottom w:type="dxa" w:w="100"/>
              <w:right w:type="dxa" w:w="120"/>
            </w:tcMar>
          </w:tcPr>
          <w:p>
            <w:r>
              <w:rPr>
                <w:b w:val="false"/>
                <w:bCs w:val="false"/>
                <w:sz w:val="21"/>
                <w:szCs w:val="21"/>
              </w:rPr>
              <w:t xml:space="preserve">This is a compliance rule, not a judgment call. The system will never override an opt-out with “just one more automated attempt.”</w:t>
            </w:r>
          </w:p>
        </w:tc>
      </w:tr>
    </w:tbl>
    <w:p>
      <w:pPr>
        <w:spacing w:after="160"/>
      </w:pPr>
      <w:r>
        <w:t xml:space="preserve">This is intentionally framed as compliant escalation, as required by the brief. The system does not attempt to automate away every human touchpoint; it automates the high-volume, low-ambiguity cases and routes the genuinely difficult or sensitive ones to a person, with a briefing already prepared rather than a blank case.</w:t>
      </w:r>
    </w:p>
    <w:p>
      <w:pPr>
        <w:pStyle w:val="Heading1"/>
        <w:spacing w:after="150" w:before="300"/>
      </w:pPr>
      <w:r>
        <w:t xml:space="preserve">7. User Roles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300"/>
      </w:tblGrid>
      <w:tr>
        <w:trPr>
          <w:tblHeader/>
        </w:trPr>
        <w:tc>
          <w:tcPr>
            <w:tcW w:type="dxa" w:w="2400"/>
            <w:shd w:fill="1F3864" w:val="clear"/>
            <w:tcMar>
              <w:top w:type="dxa" w:w="100"/>
              <w:left w:type="dxa" w:w="120"/>
              <w:bottom w:type="dxa" w:w="100"/>
              <w:right w:type="dxa" w:w="120"/>
            </w:tcMar>
          </w:tcPr>
          <w:p>
            <w:r>
              <w:rPr>
                <w:b/>
                <w:bCs/>
                <w:color w:val="FFFFFF"/>
                <w:sz w:val="21"/>
                <w:szCs w:val="21"/>
              </w:rPr>
              <w:t xml:space="preserve">Role</w:t>
            </w:r>
          </w:p>
        </w:tc>
        <w:tc>
          <w:tcPr>
            <w:tcW w:type="dxa" w:w="4000"/>
            <w:shd w:fill="1F3864" w:val="clear"/>
            <w:tcMar>
              <w:top w:type="dxa" w:w="100"/>
              <w:left w:type="dxa" w:w="120"/>
              <w:bottom w:type="dxa" w:w="100"/>
              <w:right w:type="dxa" w:w="120"/>
            </w:tcMar>
          </w:tcPr>
          <w:p>
            <w:r>
              <w:rPr>
                <w:b/>
                <w:bCs/>
                <w:color w:val="FFFFFF"/>
                <w:sz w:val="21"/>
                <w:szCs w:val="21"/>
              </w:rPr>
              <w:t xml:space="preserve">Access</w:t>
            </w:r>
          </w:p>
        </w:tc>
        <w:tc>
          <w:tcPr>
            <w:tcW w:type="dxa" w:w="3300"/>
            <w:shd w:fill="1F3864" w:val="clear"/>
            <w:tcMar>
              <w:top w:type="dxa" w:w="100"/>
              <w:left w:type="dxa" w:w="120"/>
              <w:bottom w:type="dxa" w:w="100"/>
              <w:right w:type="dxa" w:w="120"/>
            </w:tcMar>
          </w:tcPr>
          <w:p>
            <w:r>
              <w:rPr>
                <w:b/>
                <w:bCs/>
                <w:color w:val="FFFFFF"/>
                <w:sz w:val="21"/>
                <w:szCs w:val="21"/>
              </w:rPr>
              <w:t xml:space="preserve">Reason for the Split</w:t>
            </w:r>
          </w:p>
        </w:tc>
      </w:tr>
      <w:tr>
        <w:tc>
          <w:tcPr>
            <w:tcW w:type="dxa" w:w="2400"/>
            <w:tcMar>
              <w:top w:type="dxa" w:w="100"/>
              <w:left w:type="dxa" w:w="120"/>
              <w:bottom w:type="dxa" w:w="100"/>
              <w:right w:type="dxa" w:w="120"/>
            </w:tcMar>
          </w:tcPr>
          <w:p>
            <w:r>
              <w:rPr>
                <w:b w:val="false"/>
                <w:bCs w:val="false"/>
                <w:sz w:val="21"/>
                <w:szCs w:val="21"/>
              </w:rPr>
              <w:t xml:space="preserve">Admin</w:t>
            </w:r>
          </w:p>
        </w:tc>
        <w:tc>
          <w:tcPr>
            <w:tcW w:type="dxa" w:w="4000"/>
            <w:tcMar>
              <w:top w:type="dxa" w:w="100"/>
              <w:left w:type="dxa" w:w="120"/>
              <w:bottom w:type="dxa" w:w="100"/>
              <w:right w:type="dxa" w:w="120"/>
            </w:tcMar>
          </w:tcPr>
          <w:p>
            <w:r>
              <w:rPr>
                <w:b w:val="false"/>
                <w:bCs w:val="false"/>
                <w:sz w:val="21"/>
                <w:szCs w:val="21"/>
              </w:rPr>
              <w:t xml:space="preserve">Full batch dashboard, all events, shadow mode, rule configuration (via Django admin), the live-event injector.</w:t>
            </w:r>
          </w:p>
        </w:tc>
        <w:tc>
          <w:tcPr>
            <w:tcW w:type="dxa" w:w="3300"/>
            <w:tcMar>
              <w:top w:type="dxa" w:w="100"/>
              <w:left w:type="dxa" w:w="120"/>
              <w:bottom w:type="dxa" w:w="100"/>
              <w:right w:type="dxa" w:w="120"/>
            </w:tcMar>
          </w:tcPr>
          <w:p>
            <w:r>
              <w:rPr>
                <w:b w:val="false"/>
                <w:bCs w:val="false"/>
                <w:sz w:val="21"/>
                <w:szCs w:val="21"/>
              </w:rPr>
              <w:t xml:space="preserve">Needs the complete picture — recovery rate, cost, and overall agent activity — plus the ability to test the agent in shadow mode before enabling it live.</w:t>
            </w:r>
          </w:p>
        </w:tc>
      </w:tr>
      <w:tr>
        <w:tc>
          <w:tcPr>
            <w:tcW w:type="dxa" w:w="2400"/>
            <w:tcMar>
              <w:top w:type="dxa" w:w="100"/>
              <w:left w:type="dxa" w:w="120"/>
              <w:bottom w:type="dxa" w:w="100"/>
              <w:right w:type="dxa" w:w="120"/>
            </w:tcMar>
          </w:tcPr>
          <w:p>
            <w:r>
              <w:rPr>
                <w:b w:val="false"/>
                <w:bCs w:val="false"/>
                <w:sz w:val="21"/>
                <w:szCs w:val="21"/>
              </w:rPr>
              <w:t xml:space="preserve">Recovery Agent</w:t>
            </w:r>
          </w:p>
        </w:tc>
        <w:tc>
          <w:tcPr>
            <w:tcW w:type="dxa" w:w="4000"/>
            <w:tcMar>
              <w:top w:type="dxa" w:w="100"/>
              <w:left w:type="dxa" w:w="120"/>
              <w:bottom w:type="dxa" w:w="100"/>
              <w:right w:type="dxa" w:w="120"/>
            </w:tcMar>
          </w:tcPr>
          <w:p>
            <w:r>
              <w:rPr>
                <w:b w:val="false"/>
                <w:bCs w:val="false"/>
                <w:sz w:val="21"/>
                <w:szCs w:val="21"/>
              </w:rPr>
              <w:t xml:space="preserve">Only their own escalation queue: cases the agent has already flagged for a human, each with a Gemini-written briefing.</w:t>
            </w:r>
          </w:p>
        </w:tc>
        <w:tc>
          <w:tcPr>
            <w:tcW w:type="dxa" w:w="3300"/>
            <w:tcMar>
              <w:top w:type="dxa" w:w="100"/>
              <w:left w:type="dxa" w:w="120"/>
              <w:bottom w:type="dxa" w:w="100"/>
              <w:right w:type="dxa" w:w="120"/>
            </w:tcMar>
          </w:tcPr>
          <w:p>
            <w:r>
              <w:rPr>
                <w:b w:val="false"/>
                <w:bCs w:val="false"/>
                <w:sz w:val="21"/>
                <w:szCs w:val="21"/>
              </w:rPr>
              <w:t xml:space="preserve">Does not need visibility into every automated micro-decision; needs only the assigned cases and enough context to act on them immediately.</w:t>
            </w:r>
          </w:p>
        </w:tc>
      </w:tr>
    </w:tbl>
    <w:p>
      <w:pPr>
        <w:spacing w:after="160"/>
      </w:pPr>
      <w:r>
        <w:t xml:space="preserve">This split turns compliant escalation into an actual two-sided workflow, rather than a status label in a database: the agent decides when a human is needed, and a distinct user type exists to receive that handoff.</w:t>
      </w:r>
    </w:p>
    <w:p>
      <w:pPr>
        <w:pStyle w:val="Heading1"/>
        <w:spacing w:after="150" w:before="300"/>
      </w:pPr>
      <w:r>
        <w:t xml:space="preserve">8. Summary</w:t>
      </w:r>
    </w:p>
    <w:p>
      <w:pPr>
        <w:spacing w:after="220"/>
        <w:ind w:left="360"/>
      </w:pPr>
      <w:r>
        <w:rPr>
          <w:i/>
          <w:iCs/>
        </w:rPr>
        <w:t xml:space="preserve">The money decision is always a deterministic, auditable calculation. AI is used only to interpret ambiguity and generate language, never to decide whether or how much to spend. This keeps the system genuinely bounded while still functioning as a real, autonomously acting, self-improving agent.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2026-09-05T16:12:54.461Z</dcterms:created>
  <dcterms:modified xsi:type="dcterms:W3CDTF">2026-09-05T16:12:54.461Z</dcterms:modified>
</cp:coreProperties>
</file>

<file path=docProps/custom.xml><?xml version="1.0" encoding="utf-8"?>
<Properties xmlns="http://schemas.openxmlformats.org/officeDocument/2006/custom-properties" xmlns:vt="http://schemas.openxmlformats.org/officeDocument/2006/docPropsVTypes"/>
</file>