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ICE Group — Approved Management Commentaries (fictional, for training)</w:t>
      </w:r>
    </w:p>
    <w:p>
      <w:r>
        <w:t>These are the two most recent commentaries approved by the Group Finance Director. They are examples of the house style.</w:t>
      </w:r>
    </w:p>
    <w:p>
      <w:pPr>
        <w:pStyle w:val="Heading2"/>
      </w:pPr>
      <w:r>
        <w:rPr>
          <w:color w:val="1E3A5F"/>
        </w:rPr>
        <w:t>ICE GROUP — MONTHLY MANAGEMENT COMMENTARY — JULY 2026</w:t>
      </w:r>
    </w:p>
    <w:p>
      <w:r>
        <w:rPr>
          <w:b/>
        </w:rPr>
        <w:t>Headline:</w:t>
      </w:r>
      <w:r>
        <w:t xml:space="preserve"> Group EBITDA of MUR 331.1m was MUR 7.2m (2.1%) below budget. A stronger month in Cane &amp; Sugar was more than offset by higher coal costs in Energy and FX losses at Corporate.</w:t>
      </w:r>
    </w:p>
    <w:p>
      <w:r>
        <w:rPr>
          <w:i/>
        </w:rPr>
        <w:t>Materiality applied: variances ≥ MUR 5.0m or ≥ 10% of budget. All figures vs budget; F = favourable, (A) = adverse.</w:t>
      </w:r>
    </w:p>
    <w:p>
      <w:r>
        <w:rPr>
          <w:b/>
        </w:rPr>
        <w:t>Cane &amp; Sugar — EBITDA MUR 160.3m vs MUR 157.2m: MUR 3.1m F</w:t>
      </w:r>
    </w:p>
    <w:p>
      <w:pPr>
        <w:pStyle w:val="ListBullet"/>
      </w:pPr>
      <w:r>
        <w:rPr>
          <w:b/>
        </w:rPr>
        <w:t>Cost of cane: MUR 7.6m F.</w:t>
      </w:r>
      <w:r>
        <w:t xml:space="preserve"> </w:t>
      </w:r>
      <w:r>
        <w:rPr>
          <w:i/>
        </w:rPr>
        <w:t>Driver:</w:t>
      </w:r>
      <w:r>
        <w:t xml:space="preserve"> cane crushed was 4.6% below budget (206k t vs 216k t) because dry conditions reduced yields. </w:t>
      </w:r>
      <w:r>
        <w:rPr>
          <w:i/>
        </w:rPr>
        <w:t>Impact:</w:t>
      </w:r>
      <w:r>
        <w:t xml:space="preserve"> lower payments to planters, partly offset by lower sugar volumes. </w:t>
      </w:r>
      <w:r>
        <w:rPr>
          <w:i/>
        </w:rPr>
        <w:t>Action:</w:t>
      </w:r>
      <w:r>
        <w:t xml:space="preserve"> Agronomy to issue a revised crop estimate by 15 August.</w:t>
      </w:r>
    </w:p>
    <w:p>
      <w:r>
        <w:rPr>
          <w:b/>
        </w:rPr>
        <w:t>Energy — EBITDA MUR 192.9m vs MUR 199.1m: MUR 6.2m (A)</w:t>
      </w:r>
    </w:p>
    <w:p>
      <w:pPr>
        <w:pStyle w:val="ListBullet"/>
      </w:pPr>
      <w:r>
        <w:rPr>
          <w:b/>
        </w:rPr>
        <w:t>Coal costs: MUR 8.1m (A).</w:t>
      </w:r>
      <w:r>
        <w:t xml:space="preserve"> </w:t>
      </w:r>
      <w:r>
        <w:rPr>
          <w:i/>
        </w:rPr>
        <w:t>Driver:</w:t>
      </w:r>
      <w:r>
        <w:t xml:space="preserve"> the average coal price was MUR 6,950/t against a budget of MUR 6,600/t, and less bagasse was available. </w:t>
      </w:r>
      <w:r>
        <w:rPr>
          <w:i/>
        </w:rPr>
        <w:t>Impact:</w:t>
      </w:r>
      <w:r>
        <w:t xml:space="preserve"> margin pressure, because electricity export tariffs are fixed. </w:t>
      </w:r>
      <w:r>
        <w:rPr>
          <w:i/>
        </w:rPr>
        <w:t>Action:</w:t>
      </w:r>
      <w:r>
        <w:t xml:space="preserve"> Procurement to present hedging options for the Q4 coal cargoes.</w:t>
      </w:r>
    </w:p>
    <w:p>
      <w:r>
        <w:rPr>
          <w:b/>
        </w:rPr>
        <w:t>Corporate — costs MUR 24.3m vs MUR 20.3m: MUR 4.0m (A)</w:t>
      </w:r>
    </w:p>
    <w:p>
      <w:pPr>
        <w:pStyle w:val="ListBullet"/>
      </w:pPr>
      <w:r>
        <w:t>No individual line above threshold.</w:t>
      </w:r>
    </w:p>
    <w:p>
      <w:r>
        <w:rPr>
          <w:b/>
        </w:rPr>
        <w:t>Watch list:</w:t>
      </w:r>
      <w:r>
        <w:t xml:space="preserve"> drought impact on the remaining crop; coal price trend; FX loss of MUR 3.3m on the USD term loan (below threshold, but USD/MUR moved from 45.20 to 45.35).</w:t>
      </w:r>
    </w:p>
    <w:p>
      <w:r>
        <w:rPr>
          <w:i/>
        </w:rPr>
        <w:t>Prepared by: Group FP&amp;A · Reviewed by: Group Finance Director</w:t>
      </w:r>
    </w:p>
    <w:p>
      <w:pPr>
        <w:pStyle w:val="Heading2"/>
      </w:pPr>
      <w:r>
        <w:rPr>
          <w:color w:val="1E3A5F"/>
        </w:rPr>
        <w:t>ICE GROUP — MONTHLY MANAGEMENT COMMENTARY — AUGUST 2026</w:t>
      </w:r>
    </w:p>
    <w:p>
      <w:r>
        <w:rPr>
          <w:b/>
        </w:rPr>
        <w:t>Headline:</w:t>
      </w:r>
      <w:r>
        <w:t xml:space="preserve"> Group EBITDA of MUR 356.0m was MUR 10.9m (3.0%) below budget. Coal costs widened the gap in Energy, while Cane &amp; Sugar again outperformed thanks to lower cane costs.</w:t>
      </w:r>
    </w:p>
    <w:p>
      <w:r>
        <w:rPr>
          <w:i/>
        </w:rPr>
        <w:t>Materiality applied: variances ≥ MUR 5.0m or ≥ 10% of budget. All figures vs budget; F = favourable, (A) = adverse.</w:t>
      </w:r>
    </w:p>
    <w:p>
      <w:r>
        <w:rPr>
          <w:b/>
        </w:rPr>
        <w:t>Cane &amp; Sugar — EBITDA MUR 193.4m vs MUR 188.2m: MUR 5.2m F</w:t>
      </w:r>
    </w:p>
    <w:p>
      <w:pPr>
        <w:pStyle w:val="ListBullet"/>
      </w:pPr>
      <w:r>
        <w:rPr>
          <w:b/>
        </w:rPr>
        <w:t>Cost of cane: MUR 12.6m F.</w:t>
      </w:r>
      <w:r>
        <w:t xml:space="preserve"> </w:t>
      </w:r>
      <w:r>
        <w:rPr>
          <w:i/>
        </w:rPr>
        <w:t>Driver:</w:t>
      </w:r>
      <w:r>
        <w:t xml:space="preserve"> cane crushed was 224.5k t against 240k t budgeted (−6.5%) as the drought continued. </w:t>
      </w:r>
      <w:r>
        <w:rPr>
          <w:i/>
        </w:rPr>
        <w:t>Impact:</w:t>
      </w:r>
      <w:r>
        <w:t xml:space="preserve"> lower cane costs. Sugar sales were in line (−0.4%) because a higher price (MUR 22,790/t vs 21,500/t) offset lower volumes. </w:t>
      </w:r>
      <w:r>
        <w:rPr>
          <w:i/>
        </w:rPr>
        <w:t>Action:</w:t>
      </w:r>
      <w:r>
        <w:t xml:space="preserve"> Sales to confirm Q4 contract pricing so volume risk is not doubled by price risk.</w:t>
      </w:r>
    </w:p>
    <w:p>
      <w:r>
        <w:rPr>
          <w:b/>
        </w:rPr>
        <w:t>Energy — EBITDA MUR 186.5m vs MUR 196.7m: MUR 10.2m (A)</w:t>
      </w:r>
    </w:p>
    <w:p>
      <w:pPr>
        <w:pStyle w:val="ListBullet"/>
      </w:pPr>
      <w:r>
        <w:rPr>
          <w:b/>
        </w:rPr>
        <w:t>Coal costs: MUR 14.8m (A), 11.0% over budget.</w:t>
      </w:r>
      <w:r>
        <w:t xml:space="preserve"> </w:t>
      </w:r>
      <w:r>
        <w:rPr>
          <w:i/>
        </w:rPr>
        <w:t>Driver:</w:t>
      </w:r>
      <w:r>
        <w:t xml:space="preserve"> the coal price was MUR 7,100/t vs 6,600/t (+7.6%), and more coal was burnt to make up for lower bagasse supply. </w:t>
      </w:r>
      <w:r>
        <w:rPr>
          <w:i/>
        </w:rPr>
        <w:t>Impact:</w:t>
      </w:r>
      <w:r>
        <w:t xml:space="preserve"> the largest single adverse item in the month, and the trend is worsening. </w:t>
      </w:r>
      <w:r>
        <w:rPr>
          <w:i/>
        </w:rPr>
        <w:t>Action:</w:t>
      </w:r>
      <w:r>
        <w:t xml:space="preserve"> Energy to model the cost of the coal-to-bagasse switch for the rest of the crop; Procurement hedging proposal to go to the September Exco.</w:t>
      </w:r>
    </w:p>
    <w:p>
      <w:r>
        <w:rPr>
          <w:b/>
        </w:rPr>
        <w:t>Corporate — costs MUR 26.3m vs MUR 20.3m: MUR 6.0m (A)</w:t>
      </w:r>
    </w:p>
    <w:p>
      <w:pPr>
        <w:pStyle w:val="ListBullet"/>
      </w:pPr>
      <w:r>
        <w:rPr>
          <w:b/>
        </w:rPr>
        <w:t>IT &amp; ERP project: MUR 1.4m (A), 40% over budget.</w:t>
      </w:r>
      <w:r>
        <w:t xml:space="preserve"> </w:t>
      </w:r>
      <w:r>
        <w:rPr>
          <w:i/>
        </w:rPr>
        <w:t>Driver:</w:t>
      </w:r>
      <w:r>
        <w:t xml:space="preserve"> additional implementation consultancy days for the finance module. </w:t>
      </w:r>
      <w:r>
        <w:rPr>
          <w:i/>
        </w:rPr>
        <w:t>Impact:</w:t>
      </w:r>
      <w:r>
        <w:t xml:space="preserve"> the cumulative overrun now needs a budget reforecast. </w:t>
      </w:r>
      <w:r>
        <w:rPr>
          <w:i/>
        </w:rPr>
        <w:t>Action:</w:t>
      </w:r>
      <w:r>
        <w:t xml:space="preserve"> PMO to present a revised ERP budget to the September steering committee.</w:t>
      </w:r>
    </w:p>
    <w:p>
      <w:r>
        <w:rPr>
          <w:b/>
        </w:rPr>
        <w:t>Watch list:</w:t>
      </w:r>
      <w:r>
        <w:t xml:space="preserve"> FX loss of MUR 4.8m (below threshold) as USD/MUR moved to 45.60; drought impact on September crush; land sale of MUR 45m budgeted for September is still awaiting a land conversion permit.</w:t>
      </w:r>
    </w:p>
    <w:p>
      <w:r>
        <w:rPr>
          <w:i/>
        </w:rPr>
        <w:t>Prepared by: Group FP&amp;A · Reviewed by: Group Finance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