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213DC5FB" w14:textId="7E8B296E" w:rsidR="00822516" w:rsidRPr="00822516" w:rsidRDefault="00505C65" w:rsidP="00822516">
      <w:pPr>
        <w:pStyle w:val="DOI"/>
      </w:pPr>
      <w:r w:rsidRPr="0062439C">
        <w:t>Digital Object Identifier 10.1109/ACCESS.20</w:t>
      </w:r>
      <w:r>
        <w:t>2</w:t>
      </w:r>
      <w:r w:rsidR="00822516">
        <w:t>5</w:t>
      </w:r>
      <w:r w:rsidRPr="0062439C">
        <w:t>.Doi Number</w:t>
      </w:r>
      <w:r w:rsidR="00E05FFD">
        <w:br/>
      </w:r>
      <w:r w:rsidR="002A683E" w:rsidRPr="002A683E">
        <w:rPr>
          <w:rFonts w:ascii="Helvetica" w:hAnsi="Helvetica"/>
          <w:b/>
          <w:bCs/>
          <w:color w:val="00629B"/>
          <w:sz w:val="40"/>
          <w:szCs w:val="40"/>
        </w:rPr>
        <w:t>A Comprehensive Evaluation of Generative Models for Privacy-Preserving Synthetic Student Data</w:t>
      </w:r>
    </w:p>
    <w:p w14:paraId="4D354DCB" w14:textId="41860E62" w:rsidR="00FE6E2B" w:rsidRPr="00FE6E2B" w:rsidRDefault="00FE6E2B" w:rsidP="00A30BAA">
      <w:pPr>
        <w:pStyle w:val="AU"/>
        <w:spacing w:after="0"/>
        <w:ind w:right="-40"/>
      </w:pPr>
      <w:r w:rsidRPr="00FE6E2B">
        <w:t>Divine Iloh</w:t>
      </w:r>
      <w:r w:rsidRPr="00FE6E2B">
        <w:rPr>
          <w:vertAlign w:val="superscript"/>
        </w:rPr>
        <w:t>1</w:t>
      </w:r>
      <w:r w:rsidRPr="00FE6E2B">
        <w:t xml:space="preserve">, </w:t>
      </w:r>
      <w:r w:rsidR="002A683E">
        <w:t xml:space="preserve">Senior </w:t>
      </w:r>
      <w:r w:rsidRPr="00FE6E2B">
        <w:t>Member, IEEE,</w:t>
      </w:r>
      <w:r w:rsidR="002A683E">
        <w:t xml:space="preserve"> Grace Oku</w:t>
      </w:r>
      <w:r w:rsidR="002A683E">
        <w:rPr>
          <w:vertAlign w:val="superscript"/>
        </w:rPr>
        <w:t xml:space="preserve">2, </w:t>
      </w:r>
      <w:r w:rsidR="002A683E">
        <w:t>TBD</w:t>
      </w:r>
      <w:r w:rsidR="002A683E">
        <w:rPr>
          <w:vertAlign w:val="superscript"/>
        </w:rPr>
        <w:t>3</w:t>
      </w:r>
      <w:r w:rsidR="002A683E">
        <w:t>, TBD</w:t>
      </w:r>
      <w:r w:rsidR="002A683E">
        <w:rPr>
          <w:vertAlign w:val="superscript"/>
        </w:rPr>
        <w:t>4</w:t>
      </w:r>
      <w:r w:rsidR="002A683E">
        <w:t>, TBD</w:t>
      </w:r>
      <w:r w:rsidR="0016083B">
        <w:rPr>
          <w:vertAlign w:val="superscript"/>
        </w:rPr>
        <w:t>5</w:t>
      </w:r>
    </w:p>
    <w:p w14:paraId="10F65597" w14:textId="77777777" w:rsidR="00FE6E2B" w:rsidRPr="00FE6E2B" w:rsidRDefault="00FE6E2B" w:rsidP="00FE6E2B">
      <w:pPr>
        <w:pStyle w:val="AU"/>
        <w:spacing w:after="0"/>
      </w:pPr>
    </w:p>
    <w:p w14:paraId="553E4A76" w14:textId="608BC985" w:rsidR="00FE6E2B" w:rsidRPr="00FE6E2B" w:rsidRDefault="00FE6E2B" w:rsidP="00FE6E2B">
      <w:pPr>
        <w:pStyle w:val="PINoSpace"/>
        <w:ind w:firstLine="0"/>
        <w:rPr>
          <w:sz w:val="14"/>
          <w:szCs w:val="14"/>
        </w:rPr>
      </w:pPr>
      <w:r w:rsidRPr="00FE6E2B">
        <w:rPr>
          <w:sz w:val="14"/>
          <w:szCs w:val="14"/>
          <w:vertAlign w:val="superscript"/>
        </w:rPr>
        <w:t>1</w:t>
      </w:r>
      <w:r w:rsidR="002A683E">
        <w:rPr>
          <w:sz w:val="14"/>
          <w:szCs w:val="14"/>
        </w:rPr>
        <w:t xml:space="preserve">University of Arkansas at Little Rock, Little Rock, AR 72204, USA </w:t>
      </w:r>
    </w:p>
    <w:p w14:paraId="51BB6B15" w14:textId="230881C1" w:rsidR="00FE6E2B" w:rsidRPr="00FE6E2B" w:rsidRDefault="00FE6E2B" w:rsidP="00FE6E2B">
      <w:pPr>
        <w:pStyle w:val="PINoSpace"/>
        <w:ind w:firstLine="0"/>
        <w:rPr>
          <w:sz w:val="14"/>
          <w:szCs w:val="14"/>
        </w:rPr>
      </w:pPr>
      <w:r w:rsidRPr="00FE6E2B">
        <w:rPr>
          <w:sz w:val="14"/>
          <w:szCs w:val="14"/>
          <w:vertAlign w:val="superscript"/>
        </w:rPr>
        <w:t>2</w:t>
      </w:r>
      <w:r w:rsidR="002A683E">
        <w:rPr>
          <w:sz w:val="14"/>
          <w:szCs w:val="14"/>
        </w:rPr>
        <w:t xml:space="preserve">Illinois </w:t>
      </w:r>
      <w:r w:rsidR="002A683E" w:rsidRPr="00FE6E2B">
        <w:rPr>
          <w:sz w:val="14"/>
          <w:szCs w:val="14"/>
        </w:rPr>
        <w:t>State University, Normal, IL 61761, USA</w:t>
      </w:r>
    </w:p>
    <w:p w14:paraId="1E07D2C8" w14:textId="69029818" w:rsidR="00FE6E2B" w:rsidRPr="00FE6E2B" w:rsidRDefault="00FE6E2B" w:rsidP="00FE6E2B">
      <w:pPr>
        <w:pStyle w:val="PINoSpace"/>
        <w:ind w:firstLine="0"/>
        <w:rPr>
          <w:sz w:val="14"/>
          <w:szCs w:val="14"/>
        </w:rPr>
      </w:pPr>
      <w:r w:rsidRPr="00FE6E2B">
        <w:rPr>
          <w:sz w:val="14"/>
          <w:szCs w:val="14"/>
          <w:vertAlign w:val="superscript"/>
        </w:rPr>
        <w:t>3</w:t>
      </w:r>
      <w:r w:rsidRPr="00FE6E2B">
        <w:rPr>
          <w:sz w:val="14"/>
          <w:szCs w:val="14"/>
        </w:rPr>
        <w:t xml:space="preserve">University </w:t>
      </w:r>
    </w:p>
    <w:p w14:paraId="2D2E0771" w14:textId="221F388C" w:rsidR="00FE6E2B" w:rsidRPr="00FE6E2B" w:rsidRDefault="00FE6E2B" w:rsidP="00FE6E2B">
      <w:pPr>
        <w:pStyle w:val="PINoSpace"/>
        <w:ind w:firstLine="0"/>
        <w:rPr>
          <w:sz w:val="14"/>
          <w:szCs w:val="14"/>
        </w:rPr>
      </w:pPr>
      <w:r w:rsidRPr="00FE6E2B">
        <w:rPr>
          <w:sz w:val="14"/>
          <w:szCs w:val="14"/>
          <w:vertAlign w:val="superscript"/>
        </w:rPr>
        <w:t>4</w:t>
      </w:r>
      <w:r w:rsidRPr="00FE6E2B">
        <w:rPr>
          <w:sz w:val="14"/>
          <w:szCs w:val="14"/>
        </w:rPr>
        <w:t>I</w:t>
      </w:r>
      <w:r w:rsidR="002A683E">
        <w:rPr>
          <w:sz w:val="14"/>
          <w:szCs w:val="14"/>
        </w:rPr>
        <w:t>ndependent Researcher</w:t>
      </w:r>
    </w:p>
    <w:p w14:paraId="370F761C" w14:textId="18667E3E" w:rsidR="00FE6E2B" w:rsidRDefault="00FE6E2B" w:rsidP="005C261D">
      <w:pPr>
        <w:pStyle w:val="PINoSpace"/>
        <w:ind w:firstLine="0"/>
        <w:rPr>
          <w:sz w:val="14"/>
          <w:szCs w:val="14"/>
        </w:rPr>
      </w:pPr>
      <w:r w:rsidRPr="00FE6E2B">
        <w:rPr>
          <w:sz w:val="14"/>
          <w:szCs w:val="14"/>
          <w:vertAlign w:val="superscript"/>
        </w:rPr>
        <w:t>5</w:t>
      </w:r>
      <w:r w:rsidRPr="00FE6E2B">
        <w:rPr>
          <w:sz w:val="14"/>
          <w:szCs w:val="14"/>
        </w:rPr>
        <w:t>Independent Researcher</w:t>
      </w:r>
    </w:p>
    <w:p w14:paraId="00C6F9B4" w14:textId="32769967" w:rsidR="005C261D" w:rsidRDefault="005C261D" w:rsidP="005C261D">
      <w:pPr>
        <w:pStyle w:val="PI"/>
        <w:spacing w:before="100" w:after="100"/>
        <w:ind w:right="1598" w:firstLine="0"/>
      </w:pPr>
      <w:r>
        <w:t xml:space="preserve">Corresponding author: </w:t>
      </w:r>
      <w:r w:rsidR="00822516">
        <w:t>Divine Iloh</w:t>
      </w:r>
      <w:r>
        <w:t xml:space="preserve"> (e-mail: </w:t>
      </w:r>
      <w:r w:rsidR="00822516">
        <w:t>divineiloh@gmail.com</w:t>
      </w:r>
      <w:r>
        <w:t>).</w:t>
      </w:r>
    </w:p>
    <w:p w14:paraId="6C6620AA" w14:textId="035A652E" w:rsidR="005C261D" w:rsidRDefault="005C261D" w:rsidP="000022A3">
      <w:pPr>
        <w:pStyle w:val="FootnoteText"/>
        <w:ind w:firstLine="0"/>
        <w:rPr>
          <w:lang w:val="en-US"/>
        </w:rPr>
      </w:pPr>
      <w:r>
        <w:t>This</w:t>
      </w:r>
      <w:r w:rsidR="00822516">
        <w:t xml:space="preserve"> </w:t>
      </w:r>
      <w:r w:rsidR="00822516" w:rsidRPr="00822516">
        <w:rPr>
          <w:lang w:val="en-US"/>
        </w:rPr>
        <w:t>research received no external funding.</w:t>
      </w:r>
    </w:p>
    <w:p w14:paraId="1A2620EE" w14:textId="77777777" w:rsidR="000022A3" w:rsidRPr="00822516" w:rsidRDefault="000022A3" w:rsidP="000022A3">
      <w:pPr>
        <w:pStyle w:val="FootnoteText"/>
        <w:ind w:firstLine="0"/>
        <w:rPr>
          <w:lang w:val="en-US"/>
        </w:rPr>
      </w:pPr>
    </w:p>
    <w:p w14:paraId="0191BAE7" w14:textId="0C210FB1" w:rsidR="00EA256A" w:rsidRPr="00EA256A" w:rsidRDefault="00EA5D2D" w:rsidP="00985CFC">
      <w:pPr>
        <w:pStyle w:val="Abstract"/>
        <w:spacing w:after="0"/>
        <w:ind w:right="-40"/>
        <w:rPr>
          <w:rStyle w:val="H5CharChar"/>
          <w:rFonts w:ascii="Times New Roman" w:hAnsi="Times New Roman"/>
          <w:b w:val="0"/>
          <w:color w:val="auto"/>
        </w:rPr>
      </w:pPr>
      <w:r w:rsidRPr="00887BB0">
        <w:rPr>
          <w:rStyle w:val="H5CharChar"/>
        </w:rPr>
        <w:t>ABSTRACT</w:t>
      </w:r>
      <w:r w:rsidRPr="0062439C">
        <w:t xml:space="preserve"> </w:t>
      </w:r>
      <w:r w:rsidR="00985CFC" w:rsidRPr="00985CFC">
        <w:t>Sharing educational data for research is constrained by privacy regulations and ethical obligations, limiting reproducibility and collaboration in learning analytics. Synthetic data can reduce these barriers, yet head-to-head evaluations of modern tabular generators on educational benchmarks remain limited. We present an empirical comparison of three synthesis paradigms: statistical (Gaussian Copula), adversarial (CTGAN), and diffusion-based (TabDDPM), for generating student tabular data. We evaluate fidelity, downstream utility, and privacy risk on two benchmark datasets totaling 41,112 student records, the Open University Learning Analytics Dataset (OULAD) and ASSISTments. Using repeated runs with bootstrap confidence intervals and permutation tests with Bonferroni correction (18 tests), we find: (</w:t>
      </w:r>
      <w:proofErr w:type="spellStart"/>
      <w:r w:rsidR="00985CFC" w:rsidRPr="00985CFC">
        <w:t>i</w:t>
      </w:r>
      <w:proofErr w:type="spellEnd"/>
      <w:r w:rsidR="00985CFC" w:rsidRPr="00985CFC">
        <w:t xml:space="preserve">) TabDDPM delivers the strongest downstream utility; on OULAD, a Random Forest trained on TabDDPM-synthetic data achieves AUC = 0.962 (95% CI: 0.959–0.966), within 0.5 percentage points of the real-data baseline (0.967; Cohen’s d = 0.099). (ii) All three methods exhibit low empirical </w:t>
      </w:r>
      <w:proofErr w:type="gramStart"/>
      <w:r w:rsidR="00985CFC" w:rsidRPr="00985CFC">
        <w:t>membership inference</w:t>
      </w:r>
      <w:proofErr w:type="gramEnd"/>
      <w:r w:rsidR="00985CFC" w:rsidRPr="00985CFC">
        <w:t xml:space="preserve"> signal, with attack AUC ≤ 0.518 on both datasets. (iii) Fidelity alone is not a reliable proxy for task utility: CTGAN attains the highest SDMetrics quality score (0.879) yet underperforms TabDDPM on downstream models. These results provide practical guidance for selecting tabular synthesizers under privacy, utility, and efficiency trade-offs in learning analytics.</w:t>
      </w:r>
    </w:p>
    <w:p w14:paraId="0F417778" w14:textId="6AD48DF9" w:rsidR="00D828C6" w:rsidRPr="00364197" w:rsidRDefault="00D828C6" w:rsidP="00985CFC">
      <w:pPr>
        <w:pStyle w:val="IT"/>
        <w:ind w:right="-40"/>
        <w:jc w:val="both"/>
      </w:pPr>
      <w:r w:rsidRPr="007573E5">
        <w:rPr>
          <w:rStyle w:val="H5CharChar"/>
        </w:rPr>
        <w:t>INDEX TERMS</w:t>
      </w:r>
      <w:r w:rsidR="005C3955" w:rsidRPr="007573E5">
        <w:t xml:space="preserve"> </w:t>
      </w:r>
      <w:r w:rsidR="00985CFC" w:rsidRPr="00985CFC">
        <w:t>ASSISTments; CTGAN; diffusion models; educational data mining; Gaussian Copula; generative adversarial networks; learning analytics; membership inference attacks; OULAD; synthetic data; tabular data synthesis</w:t>
      </w:r>
      <w:r w:rsidR="005B35D0" w:rsidRPr="005B35D0">
        <w:t>.</w:t>
      </w:r>
    </w:p>
    <w:p w14:paraId="5D90FDC6" w14:textId="77777777" w:rsidR="00D828C6" w:rsidRPr="00887BB0" w:rsidRDefault="00D828C6" w:rsidP="003B3FFE">
      <w:pPr>
        <w:pStyle w:val="I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p>
    <w:p w14:paraId="17FB378D" w14:textId="6DBE3EEA" w:rsidR="005B35D0" w:rsidRPr="005B35D0" w:rsidRDefault="00D828C6" w:rsidP="00BA31AE">
      <w:pPr>
        <w:pStyle w:val="H1ListNoSpace"/>
      </w:pPr>
      <w:r w:rsidRPr="00F448F1">
        <w:t>INTRODUCTION</w:t>
      </w:r>
    </w:p>
    <w:p w14:paraId="5C065B67" w14:textId="4C9C5B76" w:rsidR="00985CFC" w:rsidRPr="00985CFC" w:rsidRDefault="00985CFC" w:rsidP="00985CFC">
      <w:pPr>
        <w:pStyle w:val="PARA"/>
        <w:rPr>
          <w:spacing w:val="2"/>
        </w:rPr>
      </w:pPr>
      <w:r w:rsidRPr="00985CFC">
        <w:rPr>
          <w:spacing w:val="2"/>
        </w:rPr>
        <w:t>Learning analytics seeks to improve learning outcomes by analyzing data on student behavior, engagement, and performance</w:t>
      </w:r>
      <w:r w:rsidR="0080461E">
        <w:rPr>
          <w:spacing w:val="2"/>
        </w:rPr>
        <w:t>[1]</w:t>
      </w:r>
      <w:r w:rsidRPr="00985CFC">
        <w:rPr>
          <w:spacing w:val="2"/>
        </w:rPr>
        <w:t>. Access to representative educational datasets is essential for benchmarking and reproducible research, yet data sharing is routinely constrained by privacy regulation, institutional policy, and ethical obligations</w:t>
      </w:r>
      <w:r w:rsidR="0016507D">
        <w:rPr>
          <w:spacing w:val="2"/>
        </w:rPr>
        <w:t xml:space="preserve"> [</w:t>
      </w:r>
      <w:r w:rsidR="0034563D">
        <w:rPr>
          <w:spacing w:val="2"/>
        </w:rPr>
        <w:t>2</w:t>
      </w:r>
      <w:r w:rsidR="0016507D">
        <w:rPr>
          <w:spacing w:val="2"/>
        </w:rPr>
        <w:t>], [</w:t>
      </w:r>
      <w:r w:rsidR="0034563D">
        <w:rPr>
          <w:spacing w:val="2"/>
        </w:rPr>
        <w:t>3</w:t>
      </w:r>
      <w:r w:rsidR="0016507D">
        <w:rPr>
          <w:spacing w:val="2"/>
        </w:rPr>
        <w:t>], [</w:t>
      </w:r>
      <w:r w:rsidR="0034563D">
        <w:rPr>
          <w:spacing w:val="2"/>
        </w:rPr>
        <w:t>4</w:t>
      </w:r>
      <w:r w:rsidR="0016507D">
        <w:rPr>
          <w:spacing w:val="2"/>
        </w:rPr>
        <w:t>]</w:t>
      </w:r>
      <w:r w:rsidRPr="00985CFC">
        <w:rPr>
          <w:spacing w:val="2"/>
        </w:rPr>
        <w:t>. In the United States, the Family Educational Rights and Privacy Act (FERPA) limits disclosure of personally identifiable information from education records</w:t>
      </w:r>
      <w:r w:rsidR="00AF63D3">
        <w:rPr>
          <w:spacing w:val="2"/>
        </w:rPr>
        <w:t>[</w:t>
      </w:r>
      <w:r w:rsidR="00CA75FB">
        <w:rPr>
          <w:spacing w:val="2"/>
        </w:rPr>
        <w:t>5</w:t>
      </w:r>
      <w:r w:rsidR="00AF63D3">
        <w:rPr>
          <w:spacing w:val="2"/>
        </w:rPr>
        <w:t>]</w:t>
      </w:r>
      <w:r w:rsidRPr="00985CFC">
        <w:rPr>
          <w:spacing w:val="2"/>
        </w:rPr>
        <w:t>. In the European Union, the General Data Protection Regulation (GDPR) imposes strict requirements on the lawful processing of personal data and on transfers across jurisdictions</w:t>
      </w:r>
      <w:r w:rsidR="00AF63D3">
        <w:rPr>
          <w:spacing w:val="2"/>
        </w:rPr>
        <w:t>[</w:t>
      </w:r>
      <w:r w:rsidR="00CA75FB">
        <w:rPr>
          <w:spacing w:val="2"/>
        </w:rPr>
        <w:t>6</w:t>
      </w:r>
      <w:r w:rsidR="00AF63D3">
        <w:rPr>
          <w:spacing w:val="2"/>
        </w:rPr>
        <w:t>]</w:t>
      </w:r>
      <w:r w:rsidRPr="00985CFC">
        <w:rPr>
          <w:spacing w:val="2"/>
        </w:rPr>
        <w:t>. Even when disclosure is legally permissible, educational records reflect sensitive learning trajectories and outcomes, and inappropriate reuse can produce material harm.</w:t>
      </w:r>
    </w:p>
    <w:p w14:paraId="7AED62BE" w14:textId="77777777" w:rsidR="00985CFC" w:rsidRPr="00985CFC" w:rsidRDefault="00985CFC" w:rsidP="00985CFC">
      <w:pPr>
        <w:pStyle w:val="PARA"/>
        <w:rPr>
          <w:spacing w:val="2"/>
        </w:rPr>
      </w:pPr>
    </w:p>
    <w:p w14:paraId="7FF21B8A" w14:textId="77777777" w:rsidR="00985CFC" w:rsidRPr="00985CFC" w:rsidRDefault="00985CFC" w:rsidP="00985CFC">
      <w:pPr>
        <w:pStyle w:val="PARA"/>
        <w:rPr>
          <w:spacing w:val="2"/>
        </w:rPr>
      </w:pPr>
      <w:r w:rsidRPr="00985CFC">
        <w:rPr>
          <w:spacing w:val="2"/>
        </w:rPr>
        <w:t xml:space="preserve">These constraints hinder reproducibility in learning analytics. Many studies cannot release underlying data, making it difficult to verify findings, compare competing methods, or establish shared baselines. When datasets are shared, access is often gated through institutional </w:t>
      </w:r>
      <w:r w:rsidRPr="00985CFC">
        <w:rPr>
          <w:spacing w:val="2"/>
        </w:rPr>
        <w:t>approvals, data use agreements, or restricted platforms, which limits broad reuse and slows cumulative progress.</w:t>
      </w:r>
    </w:p>
    <w:p w14:paraId="06177B8A" w14:textId="77777777" w:rsidR="00985CFC" w:rsidRPr="00985CFC" w:rsidRDefault="00985CFC" w:rsidP="00985CFC">
      <w:pPr>
        <w:pStyle w:val="PARA"/>
        <w:rPr>
          <w:spacing w:val="2"/>
        </w:rPr>
      </w:pPr>
    </w:p>
    <w:p w14:paraId="4DEB2118" w14:textId="2B3A70B5" w:rsidR="00985CFC" w:rsidRPr="00985CFC" w:rsidRDefault="00985CFC" w:rsidP="00985CFC">
      <w:pPr>
        <w:pStyle w:val="PARA"/>
        <w:rPr>
          <w:spacing w:val="2"/>
        </w:rPr>
      </w:pPr>
      <w:r w:rsidRPr="00985CFC">
        <w:rPr>
          <w:spacing w:val="2"/>
        </w:rPr>
        <w:t>Synthetic data generation is one pathway to wider sharing while reducing exposure of individual students</w:t>
      </w:r>
      <w:r w:rsidR="005B453E">
        <w:rPr>
          <w:spacing w:val="2"/>
        </w:rPr>
        <w:t>[7]</w:t>
      </w:r>
      <w:r w:rsidRPr="00985CFC">
        <w:rPr>
          <w:spacing w:val="2"/>
        </w:rPr>
        <w:t>. The goal is to train a generative model on a private dataset and release synthetic records that preserve the statistical structure needed for analysis without revealing whether any specific student contributed to the training data. For learning analytics, a useful synthetic dataset should satisfy three requirements. First, fidelity: it should preserve relevant distributions and relationships. Second, utility: models trained on synthetic data should generalize when evaluated on real data for downstream tasks such as dropout or performance prediction. Third, privacy: release should not enable an attacker to infer whether a particular record was included in the model training set</w:t>
      </w:r>
      <w:r w:rsidR="0016507D">
        <w:rPr>
          <w:spacing w:val="2"/>
        </w:rPr>
        <w:t xml:space="preserve"> </w:t>
      </w:r>
      <w:r w:rsidR="005B453E">
        <w:rPr>
          <w:spacing w:val="2"/>
        </w:rPr>
        <w:t>[7]</w:t>
      </w:r>
      <w:r w:rsidRPr="00985CFC">
        <w:rPr>
          <w:spacing w:val="2"/>
        </w:rPr>
        <w:t>.</w:t>
      </w:r>
    </w:p>
    <w:p w14:paraId="506165E4" w14:textId="77777777" w:rsidR="00985CFC" w:rsidRPr="00985CFC" w:rsidRDefault="00985CFC" w:rsidP="00985CFC">
      <w:pPr>
        <w:pStyle w:val="PARA"/>
        <w:rPr>
          <w:spacing w:val="2"/>
        </w:rPr>
      </w:pPr>
    </w:p>
    <w:p w14:paraId="438EC34E" w14:textId="456A9F20" w:rsidR="00985CFC" w:rsidRPr="00985CFC" w:rsidRDefault="00985CFC" w:rsidP="00985CFC">
      <w:pPr>
        <w:pStyle w:val="PARA"/>
        <w:rPr>
          <w:spacing w:val="2"/>
        </w:rPr>
      </w:pPr>
      <w:r w:rsidRPr="00985CFC">
        <w:rPr>
          <w:spacing w:val="2"/>
        </w:rPr>
        <w:t>However, the extent to which modern tabular generative models satisfy these requirements for educational data remains insufficiently established</w:t>
      </w:r>
      <w:r w:rsidR="0016507D">
        <w:rPr>
          <w:spacing w:val="2"/>
        </w:rPr>
        <w:t xml:space="preserve"> [</w:t>
      </w:r>
      <w:r w:rsidR="00CA75FB">
        <w:rPr>
          <w:spacing w:val="2"/>
        </w:rPr>
        <w:t>8</w:t>
      </w:r>
      <w:r w:rsidR="0016507D">
        <w:rPr>
          <w:spacing w:val="2"/>
        </w:rPr>
        <w:t>]</w:t>
      </w:r>
      <w:r w:rsidRPr="00985CFC">
        <w:rPr>
          <w:spacing w:val="2"/>
        </w:rPr>
        <w:t xml:space="preserve">. Results from domains such as health and finance do not automatically transfer to learning analytics, where datasets are commonly mixed-type, imbalanced, and shaped by engagement </w:t>
      </w:r>
      <w:r w:rsidRPr="00985CFC">
        <w:rPr>
          <w:spacing w:val="2"/>
        </w:rPr>
        <w:lastRenderedPageBreak/>
        <w:t>dynamics and course structure. At the same time, tabular synthesis methods have progressed from GAN-based generators to diffusion-based approaches, but head-to-head evaluations on educational benchmarks remain limited.</w:t>
      </w:r>
    </w:p>
    <w:p w14:paraId="56E75B41" w14:textId="77777777" w:rsidR="00985CFC" w:rsidRPr="00985CFC" w:rsidRDefault="00985CFC" w:rsidP="00985CFC">
      <w:pPr>
        <w:pStyle w:val="PARA"/>
        <w:rPr>
          <w:spacing w:val="2"/>
        </w:rPr>
      </w:pPr>
    </w:p>
    <w:p w14:paraId="1882F814" w14:textId="03CE655A" w:rsidR="00A966CA" w:rsidRPr="00A966CA" w:rsidRDefault="00985CFC" w:rsidP="00985CFC">
      <w:pPr>
        <w:pStyle w:val="PARA"/>
        <w:rPr>
          <w:spacing w:val="2"/>
        </w:rPr>
      </w:pPr>
      <w:r w:rsidRPr="00985CFC">
        <w:rPr>
          <w:spacing w:val="2"/>
        </w:rPr>
        <w:t>This paper provides an empirical evaluation of three representative paradigms for tabular student data synthesis: a statistical model (Gaussian Copula), an adversarial model (CTGAN), and a diffusion model (TabDDPM). We study two widely used learning analytics benchmarks, OULAD and ASSISTments, and evaluate each synthesizer within a unified framework that measures:</w:t>
      </w:r>
    </w:p>
    <w:p w14:paraId="7373C9B1" w14:textId="3FCBAD91" w:rsidR="00A966CA" w:rsidRPr="00A966CA" w:rsidRDefault="00A966CA" w:rsidP="00FF3051">
      <w:pPr>
        <w:pStyle w:val="PARA"/>
        <w:rPr>
          <w:spacing w:val="2"/>
        </w:rPr>
      </w:pPr>
      <w:r w:rsidRPr="00A966CA">
        <w:rPr>
          <w:spacing w:val="2"/>
        </w:rPr>
        <w:t xml:space="preserve">(1) </w:t>
      </w:r>
      <w:r w:rsidR="00626B5A" w:rsidRPr="00626B5A">
        <w:rPr>
          <w:b/>
          <w:bCs/>
          <w:spacing w:val="2"/>
        </w:rPr>
        <w:t>Statistical quality (fidelity):</w:t>
      </w:r>
      <w:r w:rsidR="00626B5A" w:rsidRPr="00626B5A">
        <w:rPr>
          <w:spacing w:val="2"/>
        </w:rPr>
        <w:t xml:space="preserve"> </w:t>
      </w:r>
      <w:r w:rsidR="00985CFC" w:rsidRPr="00985CFC">
        <w:rPr>
          <w:spacing w:val="2"/>
        </w:rPr>
        <w:t>similarity between real and synthetic data distributions and relationships using SDMetrics</w:t>
      </w:r>
      <w:r w:rsidRPr="00A966CA">
        <w:rPr>
          <w:spacing w:val="2"/>
        </w:rPr>
        <w:t>.</w:t>
      </w:r>
    </w:p>
    <w:p w14:paraId="3C0D6E82" w14:textId="4D5350CF" w:rsidR="00A966CA" w:rsidRPr="00A966CA" w:rsidRDefault="00A966CA" w:rsidP="00FF3051">
      <w:pPr>
        <w:pStyle w:val="PARA"/>
        <w:rPr>
          <w:spacing w:val="2"/>
        </w:rPr>
      </w:pPr>
      <w:r w:rsidRPr="00A966CA">
        <w:rPr>
          <w:spacing w:val="2"/>
        </w:rPr>
        <w:t xml:space="preserve">(2) </w:t>
      </w:r>
      <w:r w:rsidR="00626B5A" w:rsidRPr="00626B5A">
        <w:rPr>
          <w:b/>
          <w:bCs/>
          <w:spacing w:val="2"/>
        </w:rPr>
        <w:t>Downstream utility (TSTR):</w:t>
      </w:r>
      <w:r w:rsidR="00626B5A" w:rsidRPr="00626B5A">
        <w:rPr>
          <w:spacing w:val="2"/>
        </w:rPr>
        <w:t xml:space="preserve"> </w:t>
      </w:r>
      <w:r w:rsidR="00985CFC" w:rsidRPr="00985CFC">
        <w:rPr>
          <w:spacing w:val="2"/>
        </w:rPr>
        <w:t>performance of models trained on synthetic data and evaluated on real data for classification (AUC) and regression (MAE), as defined in the evaluation protocol</w:t>
      </w:r>
    </w:p>
    <w:p w14:paraId="6A553795" w14:textId="32FFBA57" w:rsidR="00A966CA" w:rsidRPr="00A966CA" w:rsidRDefault="00A966CA" w:rsidP="00FF3051">
      <w:pPr>
        <w:pStyle w:val="PARA"/>
        <w:rPr>
          <w:spacing w:val="2"/>
        </w:rPr>
      </w:pPr>
      <w:r w:rsidRPr="00A966CA">
        <w:rPr>
          <w:spacing w:val="2"/>
        </w:rPr>
        <w:t xml:space="preserve">(3) </w:t>
      </w:r>
      <w:r w:rsidR="0092671C" w:rsidRPr="0092671C">
        <w:rPr>
          <w:b/>
          <w:bCs/>
          <w:spacing w:val="2"/>
        </w:rPr>
        <w:t>Privacy risk (membership inference):</w:t>
      </w:r>
      <w:r w:rsidR="0092671C" w:rsidRPr="0092671C">
        <w:rPr>
          <w:spacing w:val="2"/>
        </w:rPr>
        <w:t xml:space="preserve"> </w:t>
      </w:r>
      <w:r w:rsidR="00985CFC" w:rsidRPr="00985CFC">
        <w:rPr>
          <w:spacing w:val="2"/>
        </w:rPr>
        <w:t>performance of membership inference attacks under the attacker configurations defined in this work, reported relative to an ideal baseline of AUC = 0.5</w:t>
      </w:r>
      <w:r w:rsidR="0092671C" w:rsidRPr="0092671C">
        <w:rPr>
          <w:spacing w:val="2"/>
        </w:rPr>
        <w:t>.</w:t>
      </w:r>
    </w:p>
    <w:p w14:paraId="62423E78" w14:textId="70804FED" w:rsidR="00A966CA" w:rsidRPr="00A966CA" w:rsidRDefault="00A966CA" w:rsidP="00FF3051">
      <w:pPr>
        <w:pStyle w:val="PARA"/>
        <w:rPr>
          <w:spacing w:val="2"/>
        </w:rPr>
      </w:pPr>
      <w:r w:rsidRPr="00A966CA">
        <w:rPr>
          <w:spacing w:val="2"/>
        </w:rPr>
        <w:t xml:space="preserve">(4) </w:t>
      </w:r>
      <w:r w:rsidR="00985CFC">
        <w:rPr>
          <w:b/>
          <w:bCs/>
          <w:spacing w:val="2"/>
        </w:rPr>
        <w:t>Model selection trade-offs</w:t>
      </w:r>
      <w:r w:rsidR="0092671C" w:rsidRPr="0092671C">
        <w:rPr>
          <w:b/>
          <w:bCs/>
          <w:spacing w:val="2"/>
        </w:rPr>
        <w:t>:</w:t>
      </w:r>
      <w:r w:rsidR="0092671C" w:rsidRPr="0092671C">
        <w:rPr>
          <w:spacing w:val="2"/>
        </w:rPr>
        <w:t xml:space="preserve"> </w:t>
      </w:r>
      <w:r w:rsidR="00985CFC" w:rsidRPr="00985CFC">
        <w:rPr>
          <w:spacing w:val="2"/>
        </w:rPr>
        <w:t>compact summaries that jointly present fidelity, utility, privacy risk, and runtime to support practical choice</w:t>
      </w:r>
      <w:r w:rsidRPr="00A966CA">
        <w:rPr>
          <w:spacing w:val="2"/>
        </w:rPr>
        <w:t>.</w:t>
      </w:r>
    </w:p>
    <w:p w14:paraId="5DEC4CDA" w14:textId="0C1C6ECD" w:rsidR="00A575DA" w:rsidRDefault="00985CFC" w:rsidP="00FF3051">
      <w:pPr>
        <w:pStyle w:val="PARA"/>
        <w:rPr>
          <w:spacing w:val="2"/>
        </w:rPr>
      </w:pPr>
      <w:r w:rsidRPr="00985CFC">
        <w:rPr>
          <w:spacing w:val="2"/>
        </w:rPr>
        <w:t xml:space="preserve">Our results highlight that high statistical similarity does not necessarily translate into high downstream performance. </w:t>
      </w:r>
      <w:proofErr w:type="gramStart"/>
      <w:r w:rsidRPr="00985CFC">
        <w:rPr>
          <w:spacing w:val="2"/>
        </w:rPr>
        <w:t>In particular, we</w:t>
      </w:r>
      <w:proofErr w:type="gramEnd"/>
      <w:r w:rsidRPr="00985CFC">
        <w:rPr>
          <w:spacing w:val="2"/>
        </w:rPr>
        <w:t xml:space="preserve"> observe cases where the synthesizer with the highest fidelity score does not yield the strongest train on synthetic, test on real utility. We also observe low empirical membership inference signal across the evaluated attacker configurations.</w:t>
      </w:r>
    </w:p>
    <w:p w14:paraId="275475C4" w14:textId="77777777" w:rsidR="00A575DA" w:rsidRDefault="00A575DA" w:rsidP="00FF3051">
      <w:pPr>
        <w:pStyle w:val="PARA"/>
        <w:rPr>
          <w:spacing w:val="2"/>
        </w:rPr>
      </w:pPr>
    </w:p>
    <w:p w14:paraId="40927773" w14:textId="77777777" w:rsidR="00A575DA" w:rsidRDefault="00A575DA" w:rsidP="00FF3051">
      <w:pPr>
        <w:pStyle w:val="PARA"/>
        <w:rPr>
          <w:spacing w:val="2"/>
        </w:rPr>
      </w:pPr>
    </w:p>
    <w:p w14:paraId="0A218E0A" w14:textId="77777777" w:rsidR="00A575DA" w:rsidRDefault="00A575DA" w:rsidP="00FF3051">
      <w:pPr>
        <w:pStyle w:val="PARA"/>
        <w:rPr>
          <w:spacing w:val="2"/>
        </w:rPr>
      </w:pPr>
    </w:p>
    <w:p w14:paraId="37B7C04F" w14:textId="77777777" w:rsidR="00A575DA" w:rsidRDefault="00A575DA" w:rsidP="00FF3051">
      <w:pPr>
        <w:pStyle w:val="PARA"/>
        <w:rPr>
          <w:spacing w:val="2"/>
        </w:rPr>
      </w:pPr>
    </w:p>
    <w:p w14:paraId="44A9B688" w14:textId="77777777" w:rsidR="00A575DA" w:rsidRDefault="00A575DA" w:rsidP="00FF3051">
      <w:pPr>
        <w:pStyle w:val="PARA"/>
        <w:rPr>
          <w:spacing w:val="2"/>
        </w:rPr>
      </w:pPr>
    </w:p>
    <w:p w14:paraId="6115F3C0" w14:textId="77777777" w:rsidR="00A575DA" w:rsidRDefault="00A575DA" w:rsidP="00FF3051">
      <w:pPr>
        <w:pStyle w:val="PARA"/>
        <w:rPr>
          <w:spacing w:val="2"/>
        </w:rPr>
      </w:pPr>
    </w:p>
    <w:p w14:paraId="64D4E5A0" w14:textId="77777777" w:rsidR="00A575DA" w:rsidRDefault="00A575DA" w:rsidP="00FF3051">
      <w:pPr>
        <w:pStyle w:val="PARA"/>
        <w:rPr>
          <w:spacing w:val="2"/>
        </w:rPr>
      </w:pPr>
    </w:p>
    <w:p w14:paraId="25D1DEBA" w14:textId="77777777" w:rsidR="00A575DA" w:rsidRDefault="00A575DA" w:rsidP="00FF3051">
      <w:pPr>
        <w:pStyle w:val="PARA"/>
        <w:rPr>
          <w:spacing w:val="2"/>
        </w:rPr>
      </w:pPr>
    </w:p>
    <w:p w14:paraId="4664AF56" w14:textId="77777777" w:rsidR="00A575DA" w:rsidRDefault="00A575DA" w:rsidP="00FF3051">
      <w:pPr>
        <w:pStyle w:val="PARA"/>
        <w:rPr>
          <w:spacing w:val="2"/>
        </w:rPr>
      </w:pPr>
    </w:p>
    <w:p w14:paraId="72B1F089" w14:textId="77777777" w:rsidR="00A575DA" w:rsidRDefault="00A575DA" w:rsidP="00FF3051">
      <w:pPr>
        <w:pStyle w:val="PARA"/>
        <w:rPr>
          <w:spacing w:val="2"/>
        </w:rPr>
      </w:pPr>
    </w:p>
    <w:p w14:paraId="294F9DC6" w14:textId="77777777" w:rsidR="00FF3051" w:rsidRDefault="00FF3051" w:rsidP="00FF3051">
      <w:pPr>
        <w:pStyle w:val="PARA"/>
        <w:rPr>
          <w:spacing w:val="2"/>
        </w:rPr>
      </w:pPr>
    </w:p>
    <w:p w14:paraId="1F7033A6" w14:textId="2F021E08" w:rsidR="00FF3051" w:rsidRDefault="00FF3051" w:rsidP="00FF3051">
      <w:pPr>
        <w:pStyle w:val="PARA"/>
        <w:rPr>
          <w:spacing w:val="2"/>
        </w:rPr>
      </w:pPr>
    </w:p>
    <w:p w14:paraId="2286C119" w14:textId="1A446946" w:rsidR="00FF3051" w:rsidRDefault="00FF3051" w:rsidP="00FF3051">
      <w:pPr>
        <w:pStyle w:val="PARA"/>
        <w:rPr>
          <w:spacing w:val="2"/>
        </w:rPr>
      </w:pPr>
    </w:p>
    <w:p w14:paraId="39C0EA0C" w14:textId="4E5DE709" w:rsidR="00FF3051" w:rsidRDefault="00FF3051" w:rsidP="00FF3051">
      <w:pPr>
        <w:pStyle w:val="PARA"/>
        <w:rPr>
          <w:spacing w:val="2"/>
        </w:rPr>
      </w:pPr>
    </w:p>
    <w:p w14:paraId="782D53B8" w14:textId="6B770030" w:rsidR="00FF3051" w:rsidRDefault="00FF3051" w:rsidP="00FF3051">
      <w:pPr>
        <w:pStyle w:val="PARA"/>
        <w:rPr>
          <w:spacing w:val="2"/>
        </w:rPr>
      </w:pPr>
    </w:p>
    <w:p w14:paraId="3F21BD2C" w14:textId="6FD53C86" w:rsidR="00FF3051" w:rsidRDefault="00FF3051" w:rsidP="00FF3051">
      <w:pPr>
        <w:pStyle w:val="PARA"/>
        <w:rPr>
          <w:spacing w:val="2"/>
        </w:rPr>
      </w:pPr>
    </w:p>
    <w:p w14:paraId="4E84FF4B" w14:textId="2B51D0EF" w:rsidR="00FF3051" w:rsidRDefault="00FF3051" w:rsidP="00FF3051">
      <w:pPr>
        <w:pStyle w:val="PARA"/>
        <w:rPr>
          <w:spacing w:val="2"/>
        </w:rPr>
      </w:pPr>
    </w:p>
    <w:p w14:paraId="1E346C4E" w14:textId="77777777" w:rsidR="00FF3051" w:rsidRDefault="00FF3051" w:rsidP="00FF3051">
      <w:pPr>
        <w:pStyle w:val="PARA"/>
        <w:rPr>
          <w:spacing w:val="2"/>
        </w:rPr>
      </w:pPr>
    </w:p>
    <w:p w14:paraId="11BE334E" w14:textId="77777777" w:rsidR="00FF3051" w:rsidRDefault="00FF3051" w:rsidP="00FF3051">
      <w:pPr>
        <w:pStyle w:val="PARA"/>
        <w:rPr>
          <w:spacing w:val="2"/>
        </w:rPr>
      </w:pPr>
    </w:p>
    <w:p w14:paraId="7A212EF0" w14:textId="77777777" w:rsidR="00FF3051" w:rsidRDefault="00FF3051" w:rsidP="00FF3051">
      <w:pPr>
        <w:pStyle w:val="PARA"/>
        <w:rPr>
          <w:spacing w:val="2"/>
        </w:rPr>
      </w:pPr>
    </w:p>
    <w:p w14:paraId="726DCB49" w14:textId="09E79522" w:rsidR="00FF3051" w:rsidRDefault="00FF3051" w:rsidP="00FF3051">
      <w:pPr>
        <w:pStyle w:val="PARA"/>
        <w:rPr>
          <w:spacing w:val="2"/>
        </w:rPr>
      </w:pPr>
    </w:p>
    <w:p w14:paraId="583B6FD1" w14:textId="77777777" w:rsidR="00FF3051" w:rsidRDefault="00FF3051" w:rsidP="00FF3051">
      <w:pPr>
        <w:pStyle w:val="PARA"/>
        <w:rPr>
          <w:spacing w:val="2"/>
        </w:rPr>
      </w:pPr>
    </w:p>
    <w:p w14:paraId="1A8DE326" w14:textId="6590D2C1" w:rsidR="00FF3051" w:rsidRDefault="00180F61" w:rsidP="00FF3051">
      <w:pPr>
        <w:pStyle w:val="PARA"/>
        <w:rPr>
          <w:spacing w:val="2"/>
        </w:rPr>
      </w:pPr>
      <w:r>
        <w:rPr>
          <w:noProof/>
        </w:rPr>
        <w:drawing>
          <wp:anchor distT="0" distB="0" distL="114300" distR="114300" simplePos="0" relativeHeight="251658240" behindDoc="1" locked="0" layoutInCell="1" allowOverlap="1" wp14:anchorId="4DB7B488" wp14:editId="07DA5341">
            <wp:simplePos x="0" y="0"/>
            <wp:positionH relativeFrom="column">
              <wp:posOffset>2396</wp:posOffset>
            </wp:positionH>
            <wp:positionV relativeFrom="paragraph">
              <wp:posOffset>-2134163</wp:posOffset>
            </wp:positionV>
            <wp:extent cx="3060700" cy="4288790"/>
            <wp:effectExtent l="0" t="0" r="6350" b="0"/>
            <wp:wrapTight wrapText="bothSides">
              <wp:wrapPolygon edited="0">
                <wp:start x="0" y="0"/>
                <wp:lineTo x="0" y="21491"/>
                <wp:lineTo x="21510" y="21491"/>
                <wp:lineTo x="21510" y="0"/>
                <wp:lineTo x="0" y="0"/>
              </wp:wrapPolygon>
            </wp:wrapTight>
            <wp:docPr id="3433174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60700" cy="4288790"/>
                    </a:xfrm>
                    <a:prstGeom prst="rect">
                      <a:avLst/>
                    </a:prstGeom>
                    <a:noFill/>
                    <a:ln>
                      <a:noFill/>
                    </a:ln>
                  </pic:spPr>
                </pic:pic>
              </a:graphicData>
            </a:graphic>
          </wp:anchor>
        </w:drawing>
      </w:r>
    </w:p>
    <w:p w14:paraId="224CAD22" w14:textId="77777777" w:rsidR="00FF3051" w:rsidRDefault="00FF3051" w:rsidP="00FF3051">
      <w:pPr>
        <w:pStyle w:val="PARA"/>
        <w:rPr>
          <w:spacing w:val="2"/>
        </w:rPr>
      </w:pPr>
    </w:p>
    <w:p w14:paraId="1EA11920" w14:textId="50A564E8" w:rsidR="00916DF8" w:rsidRDefault="00916DF8" w:rsidP="00626B5A">
      <w:pPr>
        <w:rPr>
          <w:spacing w:val="2"/>
        </w:rPr>
      </w:pPr>
      <w:r w:rsidRPr="000022A3">
        <w:rPr>
          <w:b/>
          <w:bCs/>
          <w:sz w:val="16"/>
          <w:szCs w:val="16"/>
        </w:rPr>
        <w:t xml:space="preserve">Fig. 1. </w:t>
      </w:r>
      <w:r w:rsidR="009F6E7F" w:rsidRPr="009F6E7F">
        <w:rPr>
          <w:sz w:val="16"/>
          <w:szCs w:val="16"/>
        </w:rPr>
        <w:t xml:space="preserve">End-to-end experimental workflow for tabular student data synthesis and evaluation. Models are trained </w:t>
      </w:r>
      <w:proofErr w:type="gramStart"/>
      <w:r w:rsidR="009F6E7F" w:rsidRPr="009F6E7F">
        <w:rPr>
          <w:sz w:val="16"/>
          <w:szCs w:val="16"/>
        </w:rPr>
        <w:t>on</w:t>
      </w:r>
      <w:proofErr w:type="gramEnd"/>
      <w:r w:rsidR="009F6E7F" w:rsidRPr="009F6E7F">
        <w:rPr>
          <w:sz w:val="16"/>
          <w:szCs w:val="16"/>
        </w:rPr>
        <w:t xml:space="preserve"> a real-data training split, used to generate synthetic tables, and assessed for fidelity (SDMetrics), downstream utility (TSTR AUC and MAE), and membership inference privacy (MIA; ideal AUC = 0.5).</w:t>
      </w:r>
    </w:p>
    <w:p w14:paraId="1803956B" w14:textId="77777777" w:rsidR="000022A3" w:rsidRDefault="000022A3" w:rsidP="000022A3">
      <w:pPr>
        <w:pStyle w:val="PARA"/>
        <w:rPr>
          <w:spacing w:val="2"/>
        </w:rPr>
      </w:pPr>
    </w:p>
    <w:p w14:paraId="0E199850" w14:textId="44BDF9EE" w:rsidR="004F4F98" w:rsidRDefault="005B35D0" w:rsidP="004F4F98">
      <w:pPr>
        <w:pStyle w:val="H1ListSpace"/>
        <w:spacing w:before="0"/>
      </w:pPr>
      <w:r>
        <w:t>BACKGROUND AND RELATED WORK</w:t>
      </w:r>
    </w:p>
    <w:p w14:paraId="6FBCDEA7" w14:textId="23210539" w:rsidR="009F6E7F" w:rsidRPr="009F6E7F" w:rsidRDefault="009F6E7F" w:rsidP="004F4F98">
      <w:pPr>
        <w:pStyle w:val="PARAIndent"/>
        <w:ind w:firstLine="0"/>
      </w:pPr>
      <w:r w:rsidRPr="009F6E7F">
        <w:t>We review privacy constraints in educational data sharing, summarize major paradigms for tabular data synthesis, and discuss prior synthetic data work in educational settings alongside standard evaluation dimensions. This background motivates the present study as a unified evaluation of fidelity, downstream utility, and privacy risk for modern tabular synthesizers on shared learning analytics benchmarks.</w:t>
      </w:r>
    </w:p>
    <w:p w14:paraId="22F6052A" w14:textId="521AF885" w:rsidR="004F4F98" w:rsidRPr="004F4F98" w:rsidRDefault="004F4F98" w:rsidP="004F4F98">
      <w:pPr>
        <w:pStyle w:val="PARAIndent"/>
        <w:ind w:firstLine="0"/>
        <w:rPr>
          <w:b/>
          <w:bCs/>
        </w:rPr>
      </w:pPr>
      <w:r w:rsidRPr="004F4F98">
        <w:rPr>
          <w:b/>
          <w:bCs/>
        </w:rPr>
        <w:t>A. Privacy in Learning Analytics</w:t>
      </w:r>
    </w:p>
    <w:p w14:paraId="6E7EA38D" w14:textId="48FCF2D6" w:rsidR="00687301" w:rsidRDefault="00687301" w:rsidP="00687301">
      <w:pPr>
        <w:pStyle w:val="PARAIndent"/>
      </w:pPr>
      <w:r>
        <w:t>Learning analytics uses student-level data to understand learning processes and improve educational outcomes [1]. Sharing education records is constrained by legal and ethical requirements. FERPA restricts disclosure of personally identifiable information from education records, and GDPR regulates lawful processing and cross-jurisdiction transfer of personal data</w:t>
      </w:r>
      <w:r w:rsidR="00CA75FB">
        <w:t xml:space="preserve"> </w:t>
      </w:r>
      <w:r w:rsidR="005B453E">
        <w:t>[</w:t>
      </w:r>
      <w:r w:rsidR="00CA75FB">
        <w:t>4</w:t>
      </w:r>
      <w:r w:rsidR="005B453E">
        <w:t>], [</w:t>
      </w:r>
      <w:r w:rsidR="00CA75FB">
        <w:t>6</w:t>
      </w:r>
      <w:r w:rsidR="005B453E">
        <w:t>]</w:t>
      </w:r>
      <w:r>
        <w:t>. Institutions commonly add governance through internal review processes and data use agreements that further limit distribution [</w:t>
      </w:r>
      <w:r w:rsidR="00CA75FB">
        <w:t>2</w:t>
      </w:r>
      <w:r>
        <w:t>], [</w:t>
      </w:r>
      <w:r w:rsidR="00CA75FB">
        <w:t>3</w:t>
      </w:r>
      <w:r>
        <w:t>]</w:t>
      </w:r>
      <w:r w:rsidR="00F4693D">
        <w:t>, [</w:t>
      </w:r>
      <w:r w:rsidR="00CA75FB">
        <w:t>4</w:t>
      </w:r>
      <w:r w:rsidR="00F4693D">
        <w:t>]</w:t>
      </w:r>
      <w:r>
        <w:t>.</w:t>
      </w:r>
    </w:p>
    <w:p w14:paraId="0B553CDB" w14:textId="77777777" w:rsidR="00687301" w:rsidRDefault="00687301" w:rsidP="00687301">
      <w:pPr>
        <w:pStyle w:val="PARAIndent"/>
      </w:pPr>
    </w:p>
    <w:p w14:paraId="600C4EEF" w14:textId="6589ED19" w:rsidR="00687301" w:rsidRDefault="00687301" w:rsidP="00687301">
      <w:pPr>
        <w:pStyle w:val="PARAIndent"/>
      </w:pPr>
      <w:r>
        <w:lastRenderedPageBreak/>
        <w:t>A persistent concern is that conventional de-identification can be insufficient for high-dimensional behavioral data</w:t>
      </w:r>
      <w:r w:rsidR="0016507D">
        <w:t xml:space="preserve"> [</w:t>
      </w:r>
      <w:r w:rsidR="00CA75FB">
        <w:t>9</w:t>
      </w:r>
      <w:r w:rsidR="0016507D">
        <w:t>]</w:t>
      </w:r>
      <w:r>
        <w:t>. Re-identification may be feasible when an adversary possesses auxiliary information, even if direct identifiers have been removed [</w:t>
      </w:r>
      <w:r w:rsidR="00CA75FB">
        <w:t>9</w:t>
      </w:r>
      <w:r>
        <w:t>]. This risk is salient for educational datasets that include rich engagement traces, demographic attributes, and outcome labels.</w:t>
      </w:r>
    </w:p>
    <w:p w14:paraId="533D1B90" w14:textId="77777777" w:rsidR="00687301" w:rsidRDefault="00687301" w:rsidP="00687301">
      <w:pPr>
        <w:pStyle w:val="PARAIndent"/>
      </w:pPr>
    </w:p>
    <w:p w14:paraId="6A573D00" w14:textId="28FF1C17" w:rsidR="00687301" w:rsidRDefault="00687301" w:rsidP="00687301">
      <w:pPr>
        <w:pStyle w:val="PARAIndent"/>
      </w:pPr>
      <w:r>
        <w:t>Differential privacy provides a formal framework for bounding information leakage about individuals [1</w:t>
      </w:r>
      <w:r w:rsidR="00CA75FB">
        <w:t>0</w:t>
      </w:r>
      <w:r>
        <w:t>]. In practice, achieving strong privacy guarantees can reduce analytical utility, particularly in settings with small cohorts, rare events, or highly imbalanced outcomes that are common in learning analytics. Federated learning can reduce data centralization by training models across institutions without pooling raw data, but it introduces coordination, systems, and reproducibility constraints that can limit its suitability for benchmarking and open research workflows [1</w:t>
      </w:r>
      <w:r w:rsidR="00CA75FB">
        <w:t>1</w:t>
      </w:r>
      <w:r>
        <w:t>].</w:t>
      </w:r>
    </w:p>
    <w:p w14:paraId="2FCC131A" w14:textId="77777777" w:rsidR="00687301" w:rsidRDefault="00687301" w:rsidP="00687301">
      <w:pPr>
        <w:pStyle w:val="PARAIndent"/>
      </w:pPr>
    </w:p>
    <w:p w14:paraId="19F50A9A" w14:textId="463444F5" w:rsidR="004F4F98" w:rsidRDefault="00687301" w:rsidP="00687301">
      <w:pPr>
        <w:pStyle w:val="PARAIndent"/>
        <w:ind w:firstLine="0"/>
      </w:pPr>
      <w:r>
        <w:t xml:space="preserve">Synthetic data is appealing because it can enable broader sharing without distributing raw student records. For learning analytics, the central question is empirical and multi-objective. Can a synthesizer preserve task-relevant structure while reducing disclosure risk under a specified threat </w:t>
      </w:r>
      <w:proofErr w:type="gramStart"/>
      <w:r>
        <w:t>model, and</w:t>
      </w:r>
      <w:proofErr w:type="gramEnd"/>
      <w:r>
        <w:t xml:space="preserve"> does it do so with acceptable computational cost</w:t>
      </w:r>
      <w:r w:rsidR="009F6E7F">
        <w:t>.</w:t>
      </w:r>
    </w:p>
    <w:p w14:paraId="04EDBC99" w14:textId="77777777" w:rsidR="004F4F98" w:rsidRDefault="004F4F98" w:rsidP="004F4F98">
      <w:pPr>
        <w:pStyle w:val="PARAIndent"/>
        <w:ind w:firstLine="0"/>
      </w:pPr>
    </w:p>
    <w:p w14:paraId="09475C10" w14:textId="77777777" w:rsidR="004F4F98" w:rsidRPr="004F4F98" w:rsidRDefault="004F4F98" w:rsidP="004F4F98">
      <w:pPr>
        <w:pStyle w:val="PARAIndent"/>
        <w:ind w:firstLine="0"/>
        <w:rPr>
          <w:b/>
          <w:bCs/>
        </w:rPr>
      </w:pPr>
      <w:r w:rsidRPr="004F4F98">
        <w:rPr>
          <w:b/>
          <w:bCs/>
        </w:rPr>
        <w:t>B. Synthetic Data Generation Methods for Tabular Data</w:t>
      </w:r>
    </w:p>
    <w:p w14:paraId="4BEC3AA5" w14:textId="5E00980D" w:rsidR="004F4F98" w:rsidRDefault="004F4F98" w:rsidP="004F4F98">
      <w:pPr>
        <w:pStyle w:val="PARAIndent"/>
        <w:ind w:firstLine="0"/>
      </w:pPr>
      <w:r>
        <w:t>Synthetic data methods for tabular datasets commonly fall into three paradigms</w:t>
      </w:r>
      <w:r w:rsidR="0016507D">
        <w:t xml:space="preserve"> </w:t>
      </w:r>
      <w:r w:rsidR="005B453E">
        <w:t>[7]</w:t>
      </w:r>
      <w:r>
        <w:t>.</w:t>
      </w:r>
    </w:p>
    <w:p w14:paraId="56BD8681" w14:textId="1E8811B2" w:rsidR="004F4F98" w:rsidRDefault="004F4F98" w:rsidP="004F4F98">
      <w:pPr>
        <w:pStyle w:val="PARAIndent"/>
        <w:ind w:firstLine="0"/>
      </w:pPr>
      <w:r>
        <w:t xml:space="preserve">1) </w:t>
      </w:r>
      <w:r w:rsidRPr="004F4F98">
        <w:rPr>
          <w:b/>
          <w:bCs/>
        </w:rPr>
        <w:t>Statistical models:</w:t>
      </w:r>
      <w:r>
        <w:t xml:space="preserve"> </w:t>
      </w:r>
      <w:r w:rsidR="00687301" w:rsidRPr="00687301">
        <w:t>Copula-based methods estimate per-column distributions and model dependence through a copula, often using a Gaussian correlation structure in a latent space [1</w:t>
      </w:r>
      <w:r w:rsidR="00CA75FB">
        <w:t>2</w:t>
      </w:r>
      <w:r w:rsidR="00687301" w:rsidRPr="00687301">
        <w:t>]. These models are efficient and interpretable, but may struggle to represent complex multimodal distributions, higher-order interactions, and non-linear relationships</w:t>
      </w:r>
      <w:r>
        <w:t>.</w:t>
      </w:r>
    </w:p>
    <w:p w14:paraId="41652927" w14:textId="13BCE642" w:rsidR="004F4F98" w:rsidRDefault="004F4F98" w:rsidP="004F4F98">
      <w:pPr>
        <w:pStyle w:val="PARAIndent"/>
        <w:ind w:firstLine="0"/>
      </w:pPr>
      <w:r>
        <w:t xml:space="preserve">2) </w:t>
      </w:r>
      <w:r w:rsidRPr="004F4F98">
        <w:rPr>
          <w:b/>
          <w:bCs/>
        </w:rPr>
        <w:t>Adversarial models:</w:t>
      </w:r>
      <w:r>
        <w:t xml:space="preserve"> </w:t>
      </w:r>
      <w:r w:rsidR="00687301" w:rsidRPr="00687301">
        <w:t>Generative adversarial networks learn a generator that produces synthetic samples and a discriminator that distinguishes real from synthetic samples [</w:t>
      </w:r>
      <w:r w:rsidR="00CA75FB">
        <w:t>13</w:t>
      </w:r>
      <w:r w:rsidR="00687301" w:rsidRPr="00687301">
        <w:t>]. For tabular data, CTGAN introduces conditional sampling and mixed-type feature handling to address mode imbalance and improve modeling of continuous variables [1</w:t>
      </w:r>
      <w:r w:rsidR="00CA75FB">
        <w:t>4</w:t>
      </w:r>
      <w:r w:rsidR="00687301" w:rsidRPr="00687301">
        <w:t>]. Privacy-oriented variants such as PATE-GAN incorporate mechanisms intended to provide formal privacy protections through teacher ensembles and aggregation [1</w:t>
      </w:r>
      <w:r w:rsidR="006B478E">
        <w:t>5</w:t>
      </w:r>
      <w:r w:rsidR="00687301" w:rsidRPr="00687301">
        <w:t>]. In practice, GAN training can be sensitive to hyperparameters and can exhibit instability, mode collapse, or limited diversity</w:t>
      </w:r>
      <w:r w:rsidR="005B453E">
        <w:t>[</w:t>
      </w:r>
      <w:r w:rsidR="006B478E">
        <w:t>13</w:t>
      </w:r>
      <w:r w:rsidR="005B453E">
        <w:t>]</w:t>
      </w:r>
      <w:r>
        <w:t>.</w:t>
      </w:r>
    </w:p>
    <w:p w14:paraId="551E6319" w14:textId="2EAAECFF" w:rsidR="004F4F98" w:rsidRDefault="004F4F98" w:rsidP="004F4F98">
      <w:pPr>
        <w:pStyle w:val="PARAIndent"/>
        <w:ind w:firstLine="0"/>
      </w:pPr>
      <w:r>
        <w:t xml:space="preserve">3) </w:t>
      </w:r>
      <w:r w:rsidRPr="004F4F98">
        <w:rPr>
          <w:b/>
          <w:bCs/>
        </w:rPr>
        <w:t>Diffusion models:</w:t>
      </w:r>
      <w:r>
        <w:t xml:space="preserve"> </w:t>
      </w:r>
      <w:r w:rsidR="00687301" w:rsidRPr="00687301">
        <w:t>Denoising diffusion probabilistic models generate samples by iteratively reversing a noising process [</w:t>
      </w:r>
      <w:r w:rsidR="006B478E">
        <w:t>16</w:t>
      </w:r>
      <w:r w:rsidR="00687301" w:rsidRPr="00687301">
        <w:t>]. TabDDPM adapts diffusion to tabular data with mechanisms tailored to continuous and categorical variables [1</w:t>
      </w:r>
      <w:r w:rsidR="006B478E">
        <w:t>7</w:t>
      </w:r>
      <w:r w:rsidR="00687301" w:rsidRPr="00687301">
        <w:t>]. Diffusion-based approaches can be computationally heavier at training and sampling time, but they often provide stable optimization and competitive synthetic quality across tabular benchmarks [1</w:t>
      </w:r>
      <w:r w:rsidR="006B478E">
        <w:t>7</w:t>
      </w:r>
      <w:r>
        <w:t>].</w:t>
      </w:r>
    </w:p>
    <w:p w14:paraId="09CC91A6" w14:textId="77777777" w:rsidR="004F4F98" w:rsidRDefault="004F4F98" w:rsidP="004F4F98">
      <w:pPr>
        <w:pStyle w:val="PARAIndent"/>
      </w:pPr>
    </w:p>
    <w:p w14:paraId="07FC3F6F" w14:textId="4303B727" w:rsidR="004F4F98" w:rsidRPr="004F4F98" w:rsidRDefault="004F4F98" w:rsidP="004F4F98">
      <w:pPr>
        <w:pStyle w:val="PARAIndent"/>
        <w:ind w:firstLine="0"/>
        <w:rPr>
          <w:b/>
          <w:bCs/>
        </w:rPr>
      </w:pPr>
      <w:r w:rsidRPr="004F4F98">
        <w:rPr>
          <w:b/>
          <w:bCs/>
        </w:rPr>
        <w:t xml:space="preserve">C. Synthetic Data in Educational </w:t>
      </w:r>
      <w:r w:rsidR="00687301">
        <w:rPr>
          <w:b/>
          <w:bCs/>
        </w:rPr>
        <w:t>Settings</w:t>
      </w:r>
    </w:p>
    <w:p w14:paraId="2724CEDA" w14:textId="1429A39C" w:rsidR="00687301" w:rsidRDefault="00687301" w:rsidP="00687301">
      <w:pPr>
        <w:pStyle w:val="PARAIndent"/>
      </w:pPr>
      <w:r>
        <w:t>Despite the maturity of learning analytics, synthetic data studies in education remain comparatively limited</w:t>
      </w:r>
      <w:r w:rsidR="0016507D">
        <w:t xml:space="preserve"> [</w:t>
      </w:r>
      <w:r w:rsidR="006B478E">
        <w:t>8</w:t>
      </w:r>
      <w:r w:rsidR="0016507D">
        <w:t>]</w:t>
      </w:r>
      <w:r>
        <w:t>. Educational datasets pose domain-specific challenges, including mixed data types, strong class imbalance in outcomes such as dropout, and patterns shaped by engagement behavior and course structure [1], [</w:t>
      </w:r>
      <w:r w:rsidR="0035650E">
        <w:t>1</w:t>
      </w:r>
      <w:r w:rsidR="006B478E">
        <w:t>8</w:t>
      </w:r>
      <w:r>
        <w:t>].</w:t>
      </w:r>
    </w:p>
    <w:p w14:paraId="4A2055F0" w14:textId="77777777" w:rsidR="00687301" w:rsidRDefault="00687301" w:rsidP="00687301">
      <w:pPr>
        <w:pStyle w:val="PARAIndent"/>
      </w:pPr>
    </w:p>
    <w:p w14:paraId="69096535" w14:textId="42EF27FB" w:rsidR="004F4F98" w:rsidRDefault="00687301" w:rsidP="00687301">
      <w:pPr>
        <w:pStyle w:val="PARAIndent"/>
        <w:ind w:firstLine="0"/>
      </w:pPr>
      <w:r>
        <w:t>Prior work has shown that synthetic student data can reproduce aspects of educational distributions and support downstream prediction tasks with some retention of performance</w:t>
      </w:r>
      <w:r w:rsidR="0016507D">
        <w:t xml:space="preserve"> </w:t>
      </w:r>
      <w:r>
        <w:t>[</w:t>
      </w:r>
      <w:r w:rsidR="006B478E">
        <w:t>8</w:t>
      </w:r>
      <w:r>
        <w:t>]. However, many educational-domain evaluations emphasize distributional similarity and task utility, while providing less systematic assessment of privacy risk under explicit attacker capabilities. Fairness is also relevant because synthesizers can replicate or amplify biases present in the training data, which may require audits or constraints depending on the intended use [1</w:t>
      </w:r>
      <w:r w:rsidR="0035650E">
        <w:t>9</w:t>
      </w:r>
      <w:r>
        <w:t>].</w:t>
      </w:r>
    </w:p>
    <w:p w14:paraId="287C83BD" w14:textId="77777777" w:rsidR="004F4F98" w:rsidRDefault="004F4F98" w:rsidP="004F4F98">
      <w:pPr>
        <w:pStyle w:val="PARAIndent"/>
      </w:pPr>
    </w:p>
    <w:p w14:paraId="4BD6A933" w14:textId="497D5CF9" w:rsidR="004F4F98" w:rsidRDefault="004F4F98" w:rsidP="004F4F98">
      <w:pPr>
        <w:pStyle w:val="PARAIndent"/>
        <w:ind w:firstLine="0"/>
      </w:pPr>
      <w:r w:rsidRPr="004F4F98">
        <w:rPr>
          <w:b/>
          <w:bCs/>
        </w:rPr>
        <w:t>D.</w:t>
      </w:r>
      <w:r>
        <w:t xml:space="preserve"> </w:t>
      </w:r>
      <w:r w:rsidRPr="004F4F98">
        <w:rPr>
          <w:b/>
          <w:bCs/>
        </w:rPr>
        <w:t xml:space="preserve">Evaluating </w:t>
      </w:r>
      <w:r w:rsidR="00687301">
        <w:rPr>
          <w:b/>
          <w:bCs/>
        </w:rPr>
        <w:t>Fidelity, Utility, and Privacy Risk</w:t>
      </w:r>
    </w:p>
    <w:p w14:paraId="36F915EE" w14:textId="62E49BE8" w:rsidR="004F4F98" w:rsidRDefault="004F4F98" w:rsidP="004F4F98">
      <w:pPr>
        <w:pStyle w:val="PARAIndent"/>
        <w:ind w:firstLine="0"/>
      </w:pPr>
      <w:r>
        <w:t>Synthetic data is typically evaluated along multiple dimensions, and no single metric is sufficient.</w:t>
      </w:r>
    </w:p>
    <w:p w14:paraId="4EE0C986" w14:textId="2DFA103F" w:rsidR="00687301" w:rsidRPr="00687301" w:rsidRDefault="00687301" w:rsidP="00687301">
      <w:pPr>
        <w:pStyle w:val="PARAIndent"/>
        <w:ind w:firstLine="0"/>
      </w:pPr>
      <w:r w:rsidRPr="00687301">
        <w:rPr>
          <w:b/>
          <w:bCs/>
        </w:rPr>
        <w:t>Fidelity</w:t>
      </w:r>
      <w:r>
        <w:rPr>
          <w:b/>
          <w:bCs/>
        </w:rPr>
        <w:t>:</w:t>
      </w:r>
      <w:r w:rsidRPr="00687301">
        <w:t xml:space="preserve"> Fidelity metrics compare real and synthetic distributions at the marginal and relationship levels. SDMetrics provides standardized scores that summarize distributional similarity and pairwise relationship preservation for tabular data</w:t>
      </w:r>
      <w:r w:rsidR="008425AE">
        <w:t xml:space="preserve"> [1</w:t>
      </w:r>
      <w:r w:rsidR="006B478E">
        <w:t>2</w:t>
      </w:r>
      <w:r w:rsidR="008425AE">
        <w:t>]</w:t>
      </w:r>
      <w:r w:rsidRPr="00687301">
        <w:t>.</w:t>
      </w:r>
    </w:p>
    <w:p w14:paraId="209FF6F8" w14:textId="7EA26491" w:rsidR="00687301" w:rsidRPr="00687301" w:rsidRDefault="00687301" w:rsidP="00687301">
      <w:pPr>
        <w:pStyle w:val="PARAIndent"/>
        <w:ind w:firstLine="0"/>
      </w:pPr>
      <w:r w:rsidRPr="00687301">
        <w:rPr>
          <w:b/>
          <w:bCs/>
        </w:rPr>
        <w:t>Discriminative realism</w:t>
      </w:r>
      <w:r>
        <w:rPr>
          <w:b/>
          <w:bCs/>
        </w:rPr>
        <w:t>:</w:t>
      </w:r>
      <w:r w:rsidRPr="00687301">
        <w:t xml:space="preserve"> Classifier </w:t>
      </w:r>
      <w:proofErr w:type="gramStart"/>
      <w:r w:rsidRPr="00687301">
        <w:t>two-sample</w:t>
      </w:r>
      <w:proofErr w:type="gramEnd"/>
      <w:r w:rsidRPr="00687301">
        <w:t xml:space="preserve"> tests evaluate whether a classifier can distinguish real from synthetic samples</w:t>
      </w:r>
      <w:r w:rsidR="008425AE">
        <w:t xml:space="preserve"> [20]</w:t>
      </w:r>
      <w:r w:rsidRPr="00687301">
        <w:t>. AUC close to 0.5 indicates low distinguishability for the chosen classifier family and representation [</w:t>
      </w:r>
      <w:r w:rsidR="0035650E">
        <w:t>20</w:t>
      </w:r>
      <w:r w:rsidRPr="00687301">
        <w:t>].</w:t>
      </w:r>
    </w:p>
    <w:p w14:paraId="2415F846" w14:textId="4B068D79" w:rsidR="00687301" w:rsidRPr="00687301" w:rsidRDefault="00687301" w:rsidP="00687301">
      <w:pPr>
        <w:pStyle w:val="PARAIndent"/>
        <w:ind w:firstLine="0"/>
      </w:pPr>
      <w:r w:rsidRPr="00687301">
        <w:rPr>
          <w:b/>
          <w:bCs/>
        </w:rPr>
        <w:t>Privacy risk</w:t>
      </w:r>
      <w:r>
        <w:rPr>
          <w:b/>
          <w:bCs/>
        </w:rPr>
        <w:t>:</w:t>
      </w:r>
      <w:r w:rsidRPr="00687301">
        <w:t xml:space="preserve"> Membership inference attacks attempt to determine whether a specific record was included in the training data, providing an empirical measure of potential memorization or leakage [</w:t>
      </w:r>
      <w:r w:rsidR="0035650E">
        <w:t>21</w:t>
      </w:r>
      <w:r w:rsidRPr="00687301">
        <w:t>]. Attack AUC close to 0.5 indicates performance near random guessing under the evaluated threat model.</w:t>
      </w:r>
    </w:p>
    <w:p w14:paraId="79EB5440" w14:textId="08D6B5ED" w:rsidR="00687301" w:rsidRPr="00687301" w:rsidRDefault="00687301" w:rsidP="00687301">
      <w:pPr>
        <w:pStyle w:val="PARAIndent"/>
        <w:ind w:firstLine="0"/>
      </w:pPr>
      <w:r w:rsidRPr="00687301">
        <w:rPr>
          <w:b/>
          <w:bCs/>
        </w:rPr>
        <w:t>Downstream utility:</w:t>
      </w:r>
      <w:r w:rsidRPr="00687301">
        <w:t xml:space="preserve"> Train on Synthetic, Test on Real </w:t>
      </w:r>
      <w:proofErr w:type="gramStart"/>
      <w:r w:rsidRPr="00687301">
        <w:t>protocols</w:t>
      </w:r>
      <w:proofErr w:type="gramEnd"/>
      <w:r w:rsidRPr="00687301">
        <w:t xml:space="preserve"> measure whether models trained on synthetic data transfer to real data for specific </w:t>
      </w:r>
      <w:proofErr w:type="gramStart"/>
      <w:r w:rsidRPr="00687301">
        <w:t>tasks, and</w:t>
      </w:r>
      <w:proofErr w:type="gramEnd"/>
      <w:r w:rsidRPr="00687301">
        <w:t xml:space="preserve"> are often the most decision-relevant criterion in applied settings [</w:t>
      </w:r>
      <w:r w:rsidR="006B478E">
        <w:t>8</w:t>
      </w:r>
      <w:r w:rsidRPr="00687301">
        <w:t>].</w:t>
      </w:r>
    </w:p>
    <w:p w14:paraId="5232E510" w14:textId="2D2AA160" w:rsidR="00916DF8" w:rsidRPr="00687301" w:rsidRDefault="00687301" w:rsidP="00687301">
      <w:pPr>
        <w:pStyle w:val="PARAIndent"/>
        <w:ind w:firstLine="0"/>
      </w:pPr>
      <w:r w:rsidRPr="00687301">
        <w:t>Existing learning analytics work provides limited evidence that jointly evaluates fidelity, privacy risk, and downstream utility across multiple modern tabular synthesizer paradigms using shared educational benchmarks and consistent statistical testing. This motivates the unified evaluation framework used in this work.</w:t>
      </w:r>
    </w:p>
    <w:p w14:paraId="39FB6F5B" w14:textId="3B4614F0" w:rsidR="00916DF8" w:rsidRPr="004F4F98" w:rsidRDefault="00916DF8" w:rsidP="009B0099">
      <w:pPr>
        <w:pStyle w:val="H1ListSpace"/>
      </w:pPr>
      <w:r>
        <w:t>METHODOLOGY</w:t>
      </w:r>
    </w:p>
    <w:p w14:paraId="2C168897" w14:textId="597DFB4B" w:rsidR="00916DF8" w:rsidRPr="00916DF8" w:rsidRDefault="00916DF8" w:rsidP="00916DF8">
      <w:pPr>
        <w:pStyle w:val="PARA"/>
        <w:rPr>
          <w:b/>
          <w:bCs/>
        </w:rPr>
      </w:pPr>
      <w:r w:rsidRPr="00916DF8">
        <w:rPr>
          <w:b/>
          <w:bCs/>
        </w:rPr>
        <w:t>A. Datasets</w:t>
      </w:r>
      <w:r w:rsidR="00B468EB">
        <w:rPr>
          <w:b/>
          <w:bCs/>
        </w:rPr>
        <w:t xml:space="preserve"> and Prediction Targets</w:t>
      </w:r>
    </w:p>
    <w:p w14:paraId="17CD9463" w14:textId="77777777" w:rsidR="00A6148F" w:rsidRDefault="00A6148F" w:rsidP="00A6148F">
      <w:pPr>
        <w:pStyle w:val="PARA"/>
      </w:pPr>
      <w:r>
        <w:t>We evaluate synthetic data generation on two widely used learning analytics benchmarks with complementary structure and granularity.</w:t>
      </w:r>
    </w:p>
    <w:p w14:paraId="44C24E31" w14:textId="77777777" w:rsidR="00A6148F" w:rsidRDefault="00A6148F" w:rsidP="00A6148F">
      <w:pPr>
        <w:pStyle w:val="PARA"/>
      </w:pPr>
    </w:p>
    <w:p w14:paraId="109EEA82" w14:textId="7AFAB7F0" w:rsidR="00A6148F" w:rsidRDefault="00A6148F" w:rsidP="00A6148F">
      <w:pPr>
        <w:pStyle w:val="PARA"/>
      </w:pPr>
      <w:r w:rsidRPr="00A6148F">
        <w:rPr>
          <w:b/>
          <w:bCs/>
        </w:rPr>
        <w:t>(1) Open University Learning Analytics Dataset (OULAD)</w:t>
      </w:r>
      <w:r w:rsidR="00245AC4">
        <w:rPr>
          <w:b/>
          <w:bCs/>
        </w:rPr>
        <w:t xml:space="preserve"> [22]</w:t>
      </w:r>
      <w:r w:rsidRPr="00A6148F">
        <w:rPr>
          <w:b/>
          <w:bCs/>
        </w:rPr>
        <w:t>:</w:t>
      </w:r>
      <w:r>
        <w:t xml:space="preserve"> OULAD provides student demographic attributes and aggregated interaction features from a virtual learning environment (VLE) across Open University courses. Following our pipeline, we load 32,593 student records with 23 engineered columns that combine demographics with aggregated VLE engagement statistics, including click and activity aggregates derived from </w:t>
      </w:r>
      <w:proofErr w:type="spellStart"/>
      <w:r>
        <w:t>studentVle</w:t>
      </w:r>
      <w:proofErr w:type="spellEnd"/>
      <w:r>
        <w:t xml:space="preserve"> interactions. We evaluate two supervised tasks from the same feature table: dropout prediction as a binary classification task (target dropout) and final grade prediction as a regression task (target </w:t>
      </w:r>
      <w:proofErr w:type="spellStart"/>
      <w:r>
        <w:t>final_grade</w:t>
      </w:r>
      <w:proofErr w:type="spellEnd"/>
      <w:r>
        <w:t>, scaled from 0 to 100). We use a 70/30 split, yielding 22,850 training records and 9,743 test records.</w:t>
      </w:r>
    </w:p>
    <w:p w14:paraId="31094883" w14:textId="1BF7167A" w:rsidR="00A6148F" w:rsidRDefault="00A6148F" w:rsidP="00A6148F">
      <w:pPr>
        <w:pStyle w:val="PARA"/>
      </w:pPr>
      <w:r w:rsidRPr="00A6148F">
        <w:rPr>
          <w:b/>
          <w:bCs/>
        </w:rPr>
        <w:t>(2) ASSISTments (2012 to 2013 school-year data)</w:t>
      </w:r>
      <w:r w:rsidR="00245AC4">
        <w:rPr>
          <w:b/>
          <w:bCs/>
        </w:rPr>
        <w:t xml:space="preserve"> [23]</w:t>
      </w:r>
      <w:r w:rsidRPr="00A6148F">
        <w:rPr>
          <w:b/>
          <w:bCs/>
        </w:rPr>
        <w:t>:</w:t>
      </w:r>
      <w:r>
        <w:t xml:space="preserve"> ASSISTments captures fine-grained student problem-solving behavior in an intelligent tutoring system. In our implementation, we construct a student-level tabular dataset with 8,519 rows and 7 columns and evaluate two supervised targets: engagement classification as a binary task (target </w:t>
      </w:r>
      <w:proofErr w:type="spellStart"/>
      <w:r>
        <w:t>high_engagement</w:t>
      </w:r>
      <w:proofErr w:type="spellEnd"/>
      <w:r>
        <w:t xml:space="preserve">) and performance regression as a continuous task (target </w:t>
      </w:r>
      <w:proofErr w:type="spellStart"/>
      <w:r>
        <w:t>student_pct_correct</w:t>
      </w:r>
      <w:proofErr w:type="spellEnd"/>
      <w:r>
        <w:t xml:space="preserve"> in [0, 1]). We use a 70/30 split, yielding 5,963 training records and 2,556 test records.</w:t>
      </w:r>
    </w:p>
    <w:p w14:paraId="3A83FF47" w14:textId="77777777" w:rsidR="00A6148F" w:rsidRDefault="00A6148F" w:rsidP="00A6148F">
      <w:pPr>
        <w:pStyle w:val="PARA"/>
      </w:pPr>
      <w:r w:rsidRPr="00A6148F">
        <w:rPr>
          <w:b/>
          <w:bCs/>
        </w:rPr>
        <w:t>Data integrity note (ASSISTments):</w:t>
      </w:r>
      <w:r>
        <w:t xml:space="preserve"> During dataset construction, we check correlations between engineered features and derived targets and flag patterns that may indicate implicit leakage. The pipeline logs a warning when </w:t>
      </w:r>
      <w:proofErr w:type="spellStart"/>
      <w:r>
        <w:t>n_interactions</w:t>
      </w:r>
      <w:proofErr w:type="spellEnd"/>
      <w:r>
        <w:t xml:space="preserve"> </w:t>
      </w:r>
      <w:proofErr w:type="gramStart"/>
      <w:r>
        <w:t>is</w:t>
      </w:r>
      <w:proofErr w:type="gramEnd"/>
      <w:r>
        <w:t xml:space="preserve"> perfectly correlated with multiple engineered features; we report this </w:t>
      </w:r>
      <w:proofErr w:type="gramStart"/>
      <w:r>
        <w:t>explicitly</w:t>
      </w:r>
      <w:proofErr w:type="gramEnd"/>
      <w:r>
        <w:t xml:space="preserve"> so results are interpreted with this construction in mind.</w:t>
      </w:r>
    </w:p>
    <w:p w14:paraId="4592711E" w14:textId="77777777" w:rsidR="00A6148F" w:rsidRDefault="00A6148F" w:rsidP="00A6148F">
      <w:pPr>
        <w:pStyle w:val="PARA"/>
      </w:pPr>
    </w:p>
    <w:p w14:paraId="367CCEE7" w14:textId="2B6B11B1" w:rsidR="00916DF8" w:rsidRPr="00916DF8" w:rsidRDefault="00916DF8" w:rsidP="00A6148F">
      <w:pPr>
        <w:pStyle w:val="PARA"/>
        <w:rPr>
          <w:b/>
          <w:bCs/>
        </w:rPr>
      </w:pPr>
      <w:r w:rsidRPr="00916DF8">
        <w:rPr>
          <w:b/>
          <w:bCs/>
        </w:rPr>
        <w:t>B. Synthesizers</w:t>
      </w:r>
    </w:p>
    <w:p w14:paraId="6D1A322E" w14:textId="332529C9" w:rsidR="00916DF8" w:rsidRDefault="00C64802" w:rsidP="00916DF8">
      <w:pPr>
        <w:pStyle w:val="PARA"/>
      </w:pPr>
      <w:r w:rsidRPr="00C64802">
        <w:t>We compare three representative synthesizers spanning classical statistical, adversarial, and diffusion-based paradigms. All synthesizers are trained only on the training partition and then used to generate a synthetic table of the same size as the training set</w:t>
      </w:r>
      <w:r w:rsidR="00916DF8">
        <w:t>:</w:t>
      </w:r>
    </w:p>
    <w:p w14:paraId="21040CBE" w14:textId="245C01B0" w:rsidR="00916DF8" w:rsidRDefault="00916DF8" w:rsidP="00916DF8">
      <w:pPr>
        <w:pStyle w:val="PARA"/>
      </w:pPr>
      <w:r w:rsidRPr="00C64802">
        <w:rPr>
          <w:b/>
          <w:bCs/>
        </w:rPr>
        <w:t>Gaussian Copula (Statistical)</w:t>
      </w:r>
      <w:r>
        <w:t xml:space="preserve">: This method models </w:t>
      </w:r>
      <w:r w:rsidR="00C64802" w:rsidRPr="00C64802">
        <w:t>each marginal distribution and captures dependence through a Gaussian copula correlation structure in a latent space</w:t>
      </w:r>
      <w:r w:rsidR="008425AE">
        <w:t xml:space="preserve"> [1</w:t>
      </w:r>
      <w:r w:rsidR="006B478E">
        <w:t>2</w:t>
      </w:r>
      <w:r w:rsidR="008425AE">
        <w:t>]</w:t>
      </w:r>
      <w:r w:rsidR="00C64802" w:rsidRPr="00C64802">
        <w:t>. We fit the model using closed-form estimation and then sample a synthetic table matching the training set size</w:t>
      </w:r>
      <w:r>
        <w:t>.</w:t>
      </w:r>
    </w:p>
    <w:p w14:paraId="33699C95" w14:textId="7E483699" w:rsidR="00916DF8" w:rsidRDefault="00916DF8" w:rsidP="00916DF8">
      <w:pPr>
        <w:pStyle w:val="PARA"/>
      </w:pPr>
      <w:r w:rsidRPr="00C64802">
        <w:rPr>
          <w:b/>
          <w:bCs/>
        </w:rPr>
        <w:t>CTGAN (Adversarial</w:t>
      </w:r>
      <w:r>
        <w:t xml:space="preserve">): </w:t>
      </w:r>
      <w:r w:rsidR="00C64802" w:rsidRPr="00C64802">
        <w:t>CTGAN</w:t>
      </w:r>
      <w:r w:rsidR="00C64802">
        <w:t xml:space="preserve"> [1</w:t>
      </w:r>
      <w:r w:rsidR="006B478E">
        <w:t>4</w:t>
      </w:r>
      <w:r w:rsidR="00C64802">
        <w:t>]</w:t>
      </w:r>
      <w:r w:rsidR="00C64802" w:rsidRPr="00C64802">
        <w:t xml:space="preserve"> is a conditional GAN designed for mixed-type tabular data. We train CTGAN for 300 epochs (default setting in our experimental configuration) and sample a synthetic table matched to the training set size</w:t>
      </w:r>
      <w:r>
        <w:t>.</w:t>
      </w:r>
    </w:p>
    <w:p w14:paraId="75A8C582" w14:textId="0B4D02E9" w:rsidR="00916DF8" w:rsidRDefault="00916DF8" w:rsidP="00916DF8">
      <w:pPr>
        <w:pStyle w:val="PARA"/>
      </w:pPr>
      <w:r w:rsidRPr="00C64802">
        <w:rPr>
          <w:b/>
          <w:bCs/>
        </w:rPr>
        <w:t>TabDDPM (Diffusion):</w:t>
      </w:r>
      <w:r>
        <w:t xml:space="preserve"> </w:t>
      </w:r>
      <w:r w:rsidR="00C64802" w:rsidRPr="00C64802">
        <w:t>TabDDPM</w:t>
      </w:r>
      <w:r w:rsidR="00C64802">
        <w:t xml:space="preserve"> [1</w:t>
      </w:r>
      <w:r w:rsidR="006B478E">
        <w:t>7</w:t>
      </w:r>
      <w:r w:rsidR="00C64802">
        <w:t>]</w:t>
      </w:r>
      <w:r w:rsidR="00C64802" w:rsidRPr="00C64802">
        <w:t xml:space="preserve"> is a diffusion model adapted to heterogeneous tabular features. We train TabDDPM for 1,200 training iterations (default setting in our experimental configuration) and sample a synthetic table matched to the training set size</w:t>
      </w:r>
      <w:r>
        <w:t>.</w:t>
      </w:r>
    </w:p>
    <w:p w14:paraId="711E4B97" w14:textId="77777777" w:rsidR="00120B4A" w:rsidRDefault="00120B4A" w:rsidP="00916DF8">
      <w:pPr>
        <w:pStyle w:val="PARA"/>
        <w:rPr>
          <w:b/>
          <w:bCs/>
        </w:rPr>
      </w:pPr>
    </w:p>
    <w:p w14:paraId="66AE1412" w14:textId="13A9B8AC" w:rsidR="00916DF8" w:rsidRPr="00916DF8" w:rsidRDefault="00916DF8" w:rsidP="00916DF8">
      <w:pPr>
        <w:pStyle w:val="PARA"/>
        <w:rPr>
          <w:b/>
          <w:bCs/>
        </w:rPr>
      </w:pPr>
      <w:r w:rsidRPr="00916DF8">
        <w:rPr>
          <w:b/>
          <w:bCs/>
        </w:rPr>
        <w:t>C. Experimental Protocol</w:t>
      </w:r>
    </w:p>
    <w:p w14:paraId="6F348EA3" w14:textId="796D00B7" w:rsidR="00A6148F" w:rsidRDefault="00A6148F" w:rsidP="00A6148F">
      <w:pPr>
        <w:pStyle w:val="PARA"/>
      </w:pPr>
      <w:r>
        <w:t xml:space="preserve">For each dataset and synthesizer, we follow a single end-to-end pipeline. Each synthesizer </w:t>
      </w:r>
      <w:proofErr w:type="gramStart"/>
      <w:r>
        <w:t>is fit</w:t>
      </w:r>
      <w:proofErr w:type="gramEnd"/>
      <w:r>
        <w:t xml:space="preserve"> only on the real-data training split, after which it is used to generate a synthetic table that matches the training split in row count and schema. We then evaluate the synthetic data along four axes: fidelity, quantified with the SDMetrics single-table Quality Report; discriminative realism, quantified with a classifier two-sample test (C2ST); downstream utility, quantified with Train on Synthetic, Test on Real (TSTR) for both classification (AUC) and regression (MAE); and privacy risk, quantified with membership inference attack (MIA) performance reported as AUC.</w:t>
      </w:r>
    </w:p>
    <w:p w14:paraId="10AD2348" w14:textId="65C1688F" w:rsidR="00A6148F" w:rsidRDefault="00A6148F" w:rsidP="00A6148F">
      <w:pPr>
        <w:pStyle w:val="PARA"/>
      </w:pPr>
      <w:r>
        <w:t xml:space="preserve">Uncertainty is </w:t>
      </w:r>
      <w:proofErr w:type="gramStart"/>
      <w:r>
        <w:t>characterized</w:t>
      </w:r>
      <w:proofErr w:type="gramEnd"/>
      <w:r>
        <w:t xml:space="preserve"> using bootstrap confidence intervals and hypothesis testing. We report 95% bootstrap confidence intervals for utility metrics using 1,000 resamples. For pairwise comparisons and utility-gap testing, we use permutation tests with 10,000 permutations. To control family-wise error across the full set of comparisons, we apply Bonferroni correction for 18 tests, yielding a corrected significance threshold of alpha = 0.05/18 = 0.0028.</w:t>
      </w:r>
    </w:p>
    <w:p w14:paraId="2E183244" w14:textId="5D2F44BD" w:rsidR="00C64802" w:rsidRDefault="00A6148F" w:rsidP="00A6148F">
      <w:pPr>
        <w:pStyle w:val="PARA"/>
      </w:pPr>
      <w:r>
        <w:t>To assess robustness to stochastic training and sampling, we repeat the full pipeline across multiple random seeds and report aggregated statistics across runs, including means and confidence intervals.</w:t>
      </w:r>
    </w:p>
    <w:p w14:paraId="5860554A" w14:textId="77777777" w:rsidR="00A6148F" w:rsidRDefault="00A6148F" w:rsidP="00A6148F">
      <w:pPr>
        <w:pStyle w:val="PARA"/>
        <w:rPr>
          <w:b/>
          <w:bCs/>
        </w:rPr>
      </w:pPr>
    </w:p>
    <w:p w14:paraId="4FCC95F5" w14:textId="5A69F63C" w:rsidR="00916DF8" w:rsidRPr="00916DF8" w:rsidRDefault="00916DF8" w:rsidP="00916DF8">
      <w:pPr>
        <w:pStyle w:val="PARA"/>
        <w:rPr>
          <w:b/>
          <w:bCs/>
        </w:rPr>
      </w:pPr>
      <w:r w:rsidRPr="00916DF8">
        <w:rPr>
          <w:b/>
          <w:bCs/>
        </w:rPr>
        <w:t>D. Evaluation Metrics</w:t>
      </w:r>
    </w:p>
    <w:p w14:paraId="0C987E2D" w14:textId="2CCC70B2" w:rsidR="00A6148F" w:rsidRDefault="00A6148F" w:rsidP="00A6148F">
      <w:pPr>
        <w:pStyle w:val="PARA"/>
      </w:pPr>
      <w:r>
        <w:t>We evaluate synthetic data quality along five complementary dimensions.</w:t>
      </w:r>
    </w:p>
    <w:p w14:paraId="4FC05FF1" w14:textId="2112B49C" w:rsidR="00A6148F" w:rsidRDefault="00A6148F" w:rsidP="00A6148F">
      <w:pPr>
        <w:pStyle w:val="PARA"/>
      </w:pPr>
      <w:r w:rsidRPr="00A6148F">
        <w:rPr>
          <w:b/>
          <w:bCs/>
        </w:rPr>
        <w:t>Fidelity (statistical similarity)</w:t>
      </w:r>
      <w:r>
        <w:rPr>
          <w:b/>
          <w:bCs/>
        </w:rPr>
        <w:t>:</w:t>
      </w:r>
      <w:r>
        <w:t xml:space="preserve"> We use the SDMetrics Quality Report to quantify how closely the synthetic table matches the real data in terms of univariate column distributions and pairwise relationship patterns between columns.</w:t>
      </w:r>
    </w:p>
    <w:p w14:paraId="48D0BC91" w14:textId="49D65918" w:rsidR="00A6148F" w:rsidRDefault="00A6148F" w:rsidP="00A6148F">
      <w:pPr>
        <w:pStyle w:val="PARA"/>
      </w:pPr>
      <w:r w:rsidRPr="00A6148F">
        <w:rPr>
          <w:b/>
          <w:bCs/>
        </w:rPr>
        <w:t>Discriminative realism (C2ST):</w:t>
      </w:r>
      <w:r>
        <w:t xml:space="preserve"> We apply classifier two-sample testing by training a discriminative model to distinguish real from synthetic records under cross-validation. Performance is summarized with AUC, where values close to 0.5 indicate that real and synthetic samples are difficult to separate under the chosen classifier family.</w:t>
      </w:r>
    </w:p>
    <w:p w14:paraId="20C8971D" w14:textId="788BE075" w:rsidR="00A6148F" w:rsidRDefault="00A6148F" w:rsidP="00A6148F">
      <w:pPr>
        <w:pStyle w:val="PARA"/>
      </w:pPr>
      <w:r w:rsidRPr="00A6148F">
        <w:rPr>
          <w:b/>
          <w:bCs/>
        </w:rPr>
        <w:t>Downstream utility (TSTR)</w:t>
      </w:r>
      <w:r>
        <w:rPr>
          <w:b/>
          <w:bCs/>
        </w:rPr>
        <w:t xml:space="preserve">: </w:t>
      </w:r>
      <w:r>
        <w:t xml:space="preserve">For each task, we train supervised models on synthetic data and evaluate them on the held-out real test split. For classification, we report AUC-ROC. For regression, we </w:t>
      </w:r>
      <w:proofErr w:type="gramStart"/>
      <w:r>
        <w:t>report mean</w:t>
      </w:r>
      <w:proofErr w:type="gramEnd"/>
      <w:r>
        <w:t xml:space="preserve"> absolute error (MAE). We additionally compute utility gaps relative to the real-data baseline on the same split and report effect sizes (Cohen’s d) where applicable.</w:t>
      </w:r>
    </w:p>
    <w:p w14:paraId="4A59F971" w14:textId="7700E631" w:rsidR="00A6148F" w:rsidRDefault="00A6148F" w:rsidP="00A6148F">
      <w:pPr>
        <w:pStyle w:val="PARA"/>
      </w:pPr>
      <w:r w:rsidRPr="00A6148F">
        <w:rPr>
          <w:b/>
          <w:bCs/>
        </w:rPr>
        <w:t>Privacy risk (membership inference)</w:t>
      </w:r>
      <w:r>
        <w:rPr>
          <w:b/>
          <w:bCs/>
        </w:rPr>
        <w:t>:</w:t>
      </w:r>
      <w:r>
        <w:t xml:space="preserve"> We estimate membership leakage using membership inference attacks that attempt to infer whether a record was included in the synthesizer’s training data. We report attacker AUC, where values near 0.5 indicate performance close to random guessing under the evaluated threat model.</w:t>
      </w:r>
    </w:p>
    <w:p w14:paraId="78C34FF2" w14:textId="77777777" w:rsidR="00A6148F" w:rsidRDefault="00A6148F" w:rsidP="00A6148F">
      <w:pPr>
        <w:pStyle w:val="PARA"/>
      </w:pPr>
    </w:p>
    <w:p w14:paraId="47C78940" w14:textId="03E224B3" w:rsidR="00687301" w:rsidRPr="00A151D0" w:rsidRDefault="00A6148F" w:rsidP="00A6148F">
      <w:pPr>
        <w:pStyle w:val="PARA"/>
      </w:pPr>
      <w:r w:rsidRPr="00A6148F">
        <w:rPr>
          <w:b/>
          <w:bCs/>
        </w:rPr>
        <w:lastRenderedPageBreak/>
        <w:t>Efficiency:</w:t>
      </w:r>
      <w:r>
        <w:t xml:space="preserve"> We measure wall-clock time for synthesizer fitting and for sampling a fixed number of records, and we summarize mean and variability across repeated runs.</w:t>
      </w:r>
      <w:r w:rsidR="00120B4A">
        <w:t xml:space="preserve"> runs.</w:t>
      </w:r>
    </w:p>
    <w:p w14:paraId="061E4493" w14:textId="530BAB8A" w:rsidR="00422E2B" w:rsidRPr="00D71F27" w:rsidRDefault="00B0001E" w:rsidP="00D71F27">
      <w:pPr>
        <w:pStyle w:val="H1ListSpace"/>
      </w:pPr>
      <w:r>
        <w:t>RESULTS</w:t>
      </w:r>
    </w:p>
    <w:p w14:paraId="572E6BFD" w14:textId="23956090" w:rsidR="00D71F27" w:rsidRDefault="00A151D0" w:rsidP="00422E2B">
      <w:pPr>
        <w:jc w:val="both"/>
        <w:rPr>
          <w:sz w:val="20"/>
          <w:szCs w:val="20"/>
        </w:rPr>
      </w:pPr>
      <w:r w:rsidRPr="00A151D0">
        <w:rPr>
          <w:sz w:val="20"/>
          <w:szCs w:val="20"/>
        </w:rPr>
        <w:t xml:space="preserve">We report comparative results for Gaussian Copula, CTGAN, and TabDDPM under the unified evaluation protocol in Section III. We present downstream utility first, followed by statistical fidelity, discriminative realism, membership inference privacy risk, and computational efficiency. Figures </w:t>
      </w:r>
      <w:r w:rsidR="001631E6">
        <w:rPr>
          <w:sz w:val="20"/>
          <w:szCs w:val="20"/>
        </w:rPr>
        <w:t>1</w:t>
      </w:r>
      <w:r w:rsidRPr="00A151D0">
        <w:rPr>
          <w:sz w:val="20"/>
          <w:szCs w:val="20"/>
        </w:rPr>
        <w:t xml:space="preserve"> to 11 and Tables I to V contain the primary evidence.</w:t>
      </w:r>
    </w:p>
    <w:p w14:paraId="0CFC4A26" w14:textId="77777777" w:rsidR="00A151D0" w:rsidRPr="00A151D0" w:rsidRDefault="00A151D0" w:rsidP="00422E2B">
      <w:pPr>
        <w:jc w:val="both"/>
        <w:rPr>
          <w:sz w:val="20"/>
          <w:szCs w:val="20"/>
        </w:rPr>
      </w:pPr>
    </w:p>
    <w:p w14:paraId="069CA891" w14:textId="53F1E55E" w:rsidR="00D71F27" w:rsidRPr="00D71F27" w:rsidRDefault="00D71F27" w:rsidP="00D71F27">
      <w:pPr>
        <w:jc w:val="both"/>
        <w:rPr>
          <w:b/>
          <w:bCs/>
          <w:sz w:val="20"/>
          <w:szCs w:val="20"/>
        </w:rPr>
      </w:pPr>
      <w:r w:rsidRPr="00D71F27">
        <w:rPr>
          <w:b/>
          <w:bCs/>
          <w:sz w:val="20"/>
          <w:szCs w:val="20"/>
        </w:rPr>
        <w:t xml:space="preserve">A. </w:t>
      </w:r>
      <w:r w:rsidR="00A151D0" w:rsidRPr="00A151D0">
        <w:rPr>
          <w:b/>
          <w:bCs/>
          <w:sz w:val="20"/>
          <w:szCs w:val="20"/>
        </w:rPr>
        <w:t>Downstream Utility (Train on Synthetic, Test on Real)</w:t>
      </w:r>
    </w:p>
    <w:p w14:paraId="14BA14B1" w14:textId="5F4891FA" w:rsidR="00A151D0" w:rsidRDefault="00A151D0" w:rsidP="00D71F27">
      <w:pPr>
        <w:jc w:val="both"/>
        <w:rPr>
          <w:sz w:val="20"/>
          <w:szCs w:val="20"/>
        </w:rPr>
      </w:pPr>
      <w:r w:rsidRPr="00A151D0">
        <w:rPr>
          <w:sz w:val="20"/>
          <w:szCs w:val="20"/>
        </w:rPr>
        <w:t>Classification utility. On OULAD, models trained on TabDDPM-synthetic data achieve the strongest synthetic-to-real transfer under the Train on Synthetic, Test on Real protocol, with CTGAN second and Gaussian Copula third. The same ordering is observed on ASSISTments under the identical evaluation protocol.</w:t>
      </w:r>
    </w:p>
    <w:p w14:paraId="5D791011" w14:textId="77777777" w:rsidR="00A151D0" w:rsidRDefault="00A151D0" w:rsidP="00D71F27">
      <w:pPr>
        <w:jc w:val="both"/>
        <w:rPr>
          <w:sz w:val="20"/>
          <w:szCs w:val="20"/>
        </w:rPr>
      </w:pPr>
    </w:p>
    <w:p w14:paraId="70E8A39E" w14:textId="492154A6" w:rsidR="00A151D0" w:rsidRDefault="00A151D0" w:rsidP="00D71F27">
      <w:pPr>
        <w:jc w:val="both"/>
        <w:rPr>
          <w:sz w:val="20"/>
          <w:szCs w:val="20"/>
        </w:rPr>
      </w:pPr>
    </w:p>
    <w:p w14:paraId="2FE9EEA8" w14:textId="77777777" w:rsidR="00180F61" w:rsidRDefault="00180F61" w:rsidP="00D71F27">
      <w:pPr>
        <w:jc w:val="both"/>
        <w:rPr>
          <w:sz w:val="20"/>
          <w:szCs w:val="20"/>
        </w:rPr>
      </w:pPr>
    </w:p>
    <w:p w14:paraId="2EBB56F4" w14:textId="6BE0E081" w:rsidR="00180F61" w:rsidRDefault="00180F61" w:rsidP="00D71F27">
      <w:pPr>
        <w:jc w:val="both"/>
        <w:rPr>
          <w:sz w:val="20"/>
          <w:szCs w:val="20"/>
        </w:rPr>
      </w:pPr>
      <w:r>
        <w:rPr>
          <w:noProof/>
        </w:rPr>
        <w:drawing>
          <wp:inline distT="0" distB="0" distL="0" distR="0" wp14:anchorId="719249F4" wp14:editId="5AB25E59">
            <wp:extent cx="3060700" cy="2277110"/>
            <wp:effectExtent l="0" t="0" r="6350" b="8890"/>
            <wp:docPr id="19253837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79B13BE1" w14:textId="77777777" w:rsidR="00180F61" w:rsidRDefault="00180F61" w:rsidP="00D71F27">
      <w:pPr>
        <w:jc w:val="both"/>
        <w:rPr>
          <w:sz w:val="20"/>
          <w:szCs w:val="20"/>
        </w:rPr>
      </w:pPr>
    </w:p>
    <w:p w14:paraId="24438196" w14:textId="77777777" w:rsidR="00A151D0" w:rsidRPr="00687301" w:rsidRDefault="00A151D0" w:rsidP="00A151D0">
      <w:pPr>
        <w:pStyle w:val="PARA"/>
        <w:spacing w:line="240" w:lineRule="auto"/>
      </w:pPr>
      <w:r w:rsidRPr="000022A3">
        <w:rPr>
          <w:b/>
          <w:bCs/>
          <w:sz w:val="16"/>
          <w:szCs w:val="16"/>
        </w:rPr>
        <w:t xml:space="preserve">Fig. </w:t>
      </w:r>
      <w:r>
        <w:rPr>
          <w:b/>
          <w:bCs/>
          <w:sz w:val="16"/>
          <w:szCs w:val="16"/>
        </w:rPr>
        <w:t>2</w:t>
      </w:r>
      <w:r w:rsidRPr="000022A3">
        <w:rPr>
          <w:b/>
          <w:bCs/>
          <w:sz w:val="16"/>
          <w:szCs w:val="16"/>
        </w:rPr>
        <w:t xml:space="preserve">. </w:t>
      </w:r>
      <w:r w:rsidRPr="00C358B8">
        <w:rPr>
          <w:iCs/>
          <w:sz w:val="16"/>
          <w:szCs w:val="16"/>
        </w:rPr>
        <w:t>OULAD downstream classification utility (TSTR). AUC-ROC on the real test split for models trained on real data and on synthetic data generated by Gaussian Copula, CTGAN, and TabDDPM. The dashed line indicates the real-data baseline on the same split</w:t>
      </w:r>
      <w:r w:rsidRPr="00BE7DF7">
        <w:rPr>
          <w:iCs/>
          <w:sz w:val="16"/>
          <w:szCs w:val="16"/>
        </w:rPr>
        <w:t>.</w:t>
      </w:r>
    </w:p>
    <w:p w14:paraId="451CD928" w14:textId="77777777" w:rsidR="00A151D0" w:rsidRDefault="00A151D0" w:rsidP="00D71F27">
      <w:pPr>
        <w:jc w:val="both"/>
        <w:rPr>
          <w:sz w:val="20"/>
          <w:szCs w:val="20"/>
        </w:rPr>
      </w:pPr>
    </w:p>
    <w:p w14:paraId="36460B82" w14:textId="77777777" w:rsidR="00A151D0" w:rsidRDefault="00A151D0" w:rsidP="00D71F27">
      <w:pPr>
        <w:jc w:val="both"/>
        <w:rPr>
          <w:sz w:val="20"/>
          <w:szCs w:val="20"/>
        </w:rPr>
      </w:pPr>
    </w:p>
    <w:p w14:paraId="4A89E1D9" w14:textId="76B7F3C1" w:rsidR="00A151D0" w:rsidRDefault="00180F61" w:rsidP="00D71F27">
      <w:pPr>
        <w:jc w:val="both"/>
        <w:rPr>
          <w:sz w:val="20"/>
          <w:szCs w:val="20"/>
        </w:rPr>
      </w:pPr>
      <w:r>
        <w:rPr>
          <w:noProof/>
        </w:rPr>
        <w:drawing>
          <wp:inline distT="0" distB="0" distL="0" distR="0" wp14:anchorId="29EDF516" wp14:editId="0685EBC3">
            <wp:extent cx="3060700" cy="2277110"/>
            <wp:effectExtent l="0" t="0" r="6350" b="8890"/>
            <wp:docPr id="21457694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47EA6904" w14:textId="411E78A7" w:rsidR="00A151D0" w:rsidRPr="00D71F27" w:rsidRDefault="00A151D0" w:rsidP="00A151D0">
      <w:pPr>
        <w:rPr>
          <w:iCs/>
          <w:sz w:val="16"/>
          <w:szCs w:val="16"/>
        </w:rPr>
      </w:pPr>
      <w:r w:rsidRPr="000022A3">
        <w:rPr>
          <w:b/>
          <w:bCs/>
          <w:sz w:val="16"/>
          <w:szCs w:val="16"/>
        </w:rPr>
        <w:t xml:space="preserve">Fig. </w:t>
      </w:r>
      <w:r>
        <w:rPr>
          <w:b/>
          <w:bCs/>
          <w:sz w:val="16"/>
          <w:szCs w:val="16"/>
        </w:rPr>
        <w:t>3</w:t>
      </w:r>
      <w:r w:rsidRPr="000022A3">
        <w:rPr>
          <w:b/>
          <w:bCs/>
          <w:sz w:val="16"/>
          <w:szCs w:val="16"/>
        </w:rPr>
        <w:t xml:space="preserve">. </w:t>
      </w:r>
      <w:r w:rsidRPr="005A7D5B">
        <w:rPr>
          <w:iCs/>
          <w:sz w:val="16"/>
          <w:szCs w:val="16"/>
        </w:rPr>
        <w:t xml:space="preserve">Downstream classification utility on ASSISTments (AUC; higher is better). Same TSTR protocol as Fig. 2, evaluated on a held‑out real ASSISTments test set. The dashed line </w:t>
      </w:r>
      <w:r>
        <w:rPr>
          <w:iCs/>
          <w:sz w:val="16"/>
          <w:szCs w:val="16"/>
        </w:rPr>
        <w:t>indicates</w:t>
      </w:r>
      <w:r w:rsidRPr="005A7D5B">
        <w:rPr>
          <w:iCs/>
          <w:sz w:val="16"/>
          <w:szCs w:val="16"/>
        </w:rPr>
        <w:t xml:space="preserve"> the real‑data baseline. </w:t>
      </w:r>
    </w:p>
    <w:p w14:paraId="481844BE" w14:textId="77777777" w:rsidR="00A151D0" w:rsidRDefault="00A151D0" w:rsidP="00D71F27">
      <w:pPr>
        <w:jc w:val="both"/>
        <w:rPr>
          <w:sz w:val="20"/>
          <w:szCs w:val="20"/>
        </w:rPr>
      </w:pPr>
    </w:p>
    <w:p w14:paraId="17FA0B99" w14:textId="77777777" w:rsidR="00A151D0" w:rsidRPr="00A151D0" w:rsidRDefault="00A151D0" w:rsidP="00A151D0">
      <w:pPr>
        <w:jc w:val="both"/>
        <w:rPr>
          <w:sz w:val="20"/>
          <w:szCs w:val="20"/>
        </w:rPr>
      </w:pPr>
      <w:r w:rsidRPr="00A151D0">
        <w:rPr>
          <w:sz w:val="20"/>
          <w:szCs w:val="20"/>
        </w:rPr>
        <w:t>Across both datasets, the ordering is consistent: TabDDPM yields the smallest utility gap to the real baseline, CTGAN is second, and Gaussian Copula exhibits the largest degradation.</w:t>
      </w:r>
    </w:p>
    <w:p w14:paraId="6E9BAC7E" w14:textId="77777777" w:rsidR="00A151D0" w:rsidRPr="00A151D0" w:rsidRDefault="00A151D0" w:rsidP="00A151D0">
      <w:pPr>
        <w:jc w:val="both"/>
        <w:rPr>
          <w:sz w:val="20"/>
          <w:szCs w:val="20"/>
        </w:rPr>
      </w:pPr>
    </w:p>
    <w:p w14:paraId="5DAC51CD" w14:textId="581C158D" w:rsidR="00A151D0" w:rsidRDefault="00A151D0" w:rsidP="00A151D0">
      <w:pPr>
        <w:jc w:val="both"/>
        <w:rPr>
          <w:sz w:val="20"/>
          <w:szCs w:val="20"/>
        </w:rPr>
      </w:pPr>
      <w:r w:rsidRPr="00A151D0">
        <w:rPr>
          <w:sz w:val="20"/>
          <w:szCs w:val="20"/>
        </w:rPr>
        <w:t>Regression utility</w:t>
      </w:r>
      <w:r>
        <w:rPr>
          <w:sz w:val="20"/>
          <w:szCs w:val="20"/>
        </w:rPr>
        <w:t>:</w:t>
      </w:r>
      <w:r w:rsidRPr="00A151D0">
        <w:rPr>
          <w:sz w:val="20"/>
          <w:szCs w:val="20"/>
        </w:rPr>
        <w:t xml:space="preserve"> For regression evaluated by mean absolute error on held-out real test data, the relative performance ordering is consistent with the classification results: TabDDPM provides the best or tied-best synthetic-to-real transfer, CTGAN remains competitive, and Gaussian Copula degrades most.</w:t>
      </w:r>
    </w:p>
    <w:p w14:paraId="241078FB" w14:textId="77777777" w:rsidR="00A151D0" w:rsidRDefault="00A151D0" w:rsidP="00D71F27">
      <w:pPr>
        <w:jc w:val="both"/>
        <w:rPr>
          <w:sz w:val="20"/>
          <w:szCs w:val="20"/>
        </w:rPr>
      </w:pPr>
    </w:p>
    <w:p w14:paraId="75D92CCE" w14:textId="77777777" w:rsidR="00A151D0" w:rsidRDefault="00A151D0" w:rsidP="00D71F27">
      <w:pPr>
        <w:jc w:val="both"/>
        <w:rPr>
          <w:sz w:val="20"/>
          <w:szCs w:val="20"/>
        </w:rPr>
      </w:pPr>
    </w:p>
    <w:p w14:paraId="2CCA6F62" w14:textId="3CC1E3CE" w:rsidR="00A151D0" w:rsidRDefault="00180F61" w:rsidP="00D71F27">
      <w:pPr>
        <w:jc w:val="both"/>
        <w:rPr>
          <w:sz w:val="20"/>
          <w:szCs w:val="20"/>
        </w:rPr>
      </w:pPr>
      <w:r>
        <w:rPr>
          <w:noProof/>
        </w:rPr>
        <w:drawing>
          <wp:inline distT="0" distB="0" distL="0" distR="0" wp14:anchorId="1C07E266" wp14:editId="2C59A7C5">
            <wp:extent cx="3060700" cy="2277110"/>
            <wp:effectExtent l="0" t="0" r="6350" b="8890"/>
            <wp:docPr id="14290521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17CEC9D3" w14:textId="26416077" w:rsidR="007E5715" w:rsidRPr="00D71F27" w:rsidRDefault="007E5715" w:rsidP="007E5715">
      <w:pPr>
        <w:rPr>
          <w:iCs/>
          <w:sz w:val="16"/>
          <w:szCs w:val="16"/>
        </w:rPr>
      </w:pPr>
      <w:r w:rsidRPr="000022A3">
        <w:rPr>
          <w:b/>
          <w:bCs/>
          <w:sz w:val="16"/>
          <w:szCs w:val="16"/>
        </w:rPr>
        <w:t xml:space="preserve">Fig. </w:t>
      </w:r>
      <w:r>
        <w:rPr>
          <w:b/>
          <w:bCs/>
          <w:sz w:val="16"/>
          <w:szCs w:val="16"/>
        </w:rPr>
        <w:t>4</w:t>
      </w:r>
      <w:r w:rsidRPr="000022A3">
        <w:rPr>
          <w:b/>
          <w:bCs/>
          <w:sz w:val="16"/>
          <w:szCs w:val="16"/>
        </w:rPr>
        <w:t xml:space="preserve">. </w:t>
      </w:r>
      <w:r w:rsidR="00F7290D" w:rsidRPr="00F7290D">
        <w:rPr>
          <w:iCs/>
          <w:sz w:val="16"/>
          <w:szCs w:val="16"/>
        </w:rPr>
        <w:t>OULAD regression utility (TSTR). Mean Absolute Error (MAE; lower is better) on the real test split for models trained on real data and on synthetic data generated by Gaussian Copula, CTGAN, and TabDDPM. The dashed line shows the real-data baseline</w:t>
      </w:r>
      <w:r w:rsidRPr="00CA7CFE">
        <w:rPr>
          <w:iCs/>
          <w:sz w:val="16"/>
          <w:szCs w:val="16"/>
        </w:rPr>
        <w:t>.</w:t>
      </w:r>
    </w:p>
    <w:p w14:paraId="7839652A" w14:textId="77777777" w:rsidR="00A151D0" w:rsidRDefault="00A151D0" w:rsidP="00D71F27">
      <w:pPr>
        <w:jc w:val="both"/>
        <w:rPr>
          <w:sz w:val="20"/>
          <w:szCs w:val="20"/>
        </w:rPr>
      </w:pPr>
    </w:p>
    <w:p w14:paraId="4D9F5A65" w14:textId="5EE4BD40" w:rsidR="00A151D0" w:rsidRDefault="00180F61" w:rsidP="00D71F27">
      <w:pPr>
        <w:jc w:val="both"/>
        <w:rPr>
          <w:sz w:val="20"/>
          <w:szCs w:val="20"/>
        </w:rPr>
      </w:pPr>
      <w:r>
        <w:rPr>
          <w:noProof/>
        </w:rPr>
        <w:lastRenderedPageBreak/>
        <w:drawing>
          <wp:inline distT="0" distB="0" distL="0" distR="0" wp14:anchorId="50D3D73F" wp14:editId="4F4F32B8">
            <wp:extent cx="3060700" cy="2277110"/>
            <wp:effectExtent l="0" t="0" r="6350" b="8890"/>
            <wp:docPr id="2063639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505E4F26" w14:textId="047E3563" w:rsidR="007E5715" w:rsidRPr="007E5715" w:rsidRDefault="007E5715" w:rsidP="007E5715">
      <w:pPr>
        <w:jc w:val="both"/>
        <w:rPr>
          <w:iCs/>
          <w:sz w:val="16"/>
          <w:szCs w:val="16"/>
        </w:rPr>
      </w:pPr>
      <w:r w:rsidRPr="007E5715">
        <w:rPr>
          <w:b/>
          <w:bCs/>
          <w:sz w:val="16"/>
          <w:szCs w:val="16"/>
        </w:rPr>
        <w:t xml:space="preserve">Fig. 5. </w:t>
      </w:r>
      <w:r w:rsidR="00F7290D" w:rsidRPr="00F7290D">
        <w:rPr>
          <w:iCs/>
          <w:sz w:val="16"/>
          <w:szCs w:val="16"/>
        </w:rPr>
        <w:t>ASSISTments regression utility (TSTR). Mean Absolute Error (MAE; lower is better) on the real test split for models trained on real data and on synthetic data generated by Gaussian Copula, CTGAN, and TabDDPM. The dashed line shows the real-data baseline</w:t>
      </w:r>
      <w:r w:rsidRPr="007E5715">
        <w:rPr>
          <w:iCs/>
          <w:sz w:val="16"/>
          <w:szCs w:val="16"/>
        </w:rPr>
        <w:t>.</w:t>
      </w:r>
    </w:p>
    <w:p w14:paraId="588B715B" w14:textId="77777777" w:rsidR="00A151D0" w:rsidRDefault="00A151D0" w:rsidP="00D71F27">
      <w:pPr>
        <w:jc w:val="both"/>
        <w:rPr>
          <w:sz w:val="20"/>
          <w:szCs w:val="20"/>
        </w:rPr>
      </w:pPr>
    </w:p>
    <w:p w14:paraId="03CA69C6" w14:textId="77777777" w:rsidR="007E5715" w:rsidRPr="007E5715" w:rsidRDefault="007E5715" w:rsidP="007E5715">
      <w:pPr>
        <w:jc w:val="both"/>
        <w:rPr>
          <w:sz w:val="20"/>
          <w:szCs w:val="20"/>
        </w:rPr>
      </w:pPr>
      <w:r w:rsidRPr="007E5715">
        <w:rPr>
          <w:sz w:val="20"/>
          <w:szCs w:val="20"/>
        </w:rPr>
        <w:t>The relative pattern is consistent with classification: TabDDPM provides the best or tied-best synthetic-to-real transfer, CTGAN remains competitive, and Gaussian Copula degrades most.</w:t>
      </w:r>
    </w:p>
    <w:p w14:paraId="07489199" w14:textId="77777777" w:rsidR="007E5715" w:rsidRPr="007E5715" w:rsidRDefault="007E5715" w:rsidP="007E5715">
      <w:pPr>
        <w:jc w:val="both"/>
        <w:rPr>
          <w:sz w:val="20"/>
          <w:szCs w:val="20"/>
        </w:rPr>
      </w:pPr>
    </w:p>
    <w:p w14:paraId="6CE60F0B" w14:textId="060644B2" w:rsidR="00A151D0" w:rsidRDefault="007E5715" w:rsidP="007E5715">
      <w:pPr>
        <w:jc w:val="both"/>
        <w:rPr>
          <w:sz w:val="20"/>
          <w:szCs w:val="20"/>
        </w:rPr>
      </w:pPr>
      <w:r w:rsidRPr="007E5715">
        <w:rPr>
          <w:sz w:val="20"/>
          <w:szCs w:val="20"/>
        </w:rPr>
        <w:t xml:space="preserve">Tables III and IV provide </w:t>
      </w:r>
      <w:proofErr w:type="gramStart"/>
      <w:r w:rsidRPr="007E5715">
        <w:rPr>
          <w:sz w:val="20"/>
          <w:szCs w:val="20"/>
        </w:rPr>
        <w:t>the numerical</w:t>
      </w:r>
      <w:proofErr w:type="gramEnd"/>
      <w:r w:rsidRPr="007E5715">
        <w:rPr>
          <w:sz w:val="20"/>
          <w:szCs w:val="20"/>
        </w:rPr>
        <w:t xml:space="preserve"> utility results with bootstrap confidence intervals, along with utility gaps and effect sizes.</w:t>
      </w:r>
    </w:p>
    <w:p w14:paraId="24CB61C7" w14:textId="77777777" w:rsidR="00A151D0" w:rsidRDefault="00A151D0" w:rsidP="00D71F27">
      <w:pPr>
        <w:jc w:val="both"/>
        <w:rPr>
          <w:sz w:val="20"/>
          <w:szCs w:val="20"/>
        </w:rPr>
      </w:pPr>
    </w:p>
    <w:p w14:paraId="0CEF4ECC" w14:textId="11A4650E" w:rsidR="007E5715" w:rsidRPr="007E5715" w:rsidRDefault="007E5715" w:rsidP="007E5715">
      <w:pPr>
        <w:jc w:val="both"/>
        <w:rPr>
          <w:sz w:val="20"/>
          <w:szCs w:val="20"/>
        </w:rPr>
      </w:pPr>
      <w:r w:rsidRPr="007E5715">
        <w:rPr>
          <w:b/>
          <w:sz w:val="20"/>
          <w:szCs w:val="20"/>
        </w:rPr>
        <w:t xml:space="preserve">TABLE I: </w:t>
      </w:r>
      <w:r w:rsidRPr="007E5715">
        <w:rPr>
          <w:bCs/>
          <w:sz w:val="20"/>
          <w:szCs w:val="20"/>
        </w:rPr>
        <w:t>Classification Results (AUC, 95% CI)</w:t>
      </w:r>
    </w:p>
    <w:tbl>
      <w:tblPr>
        <w:tblStyle w:val="TableGrid"/>
        <w:tblW w:w="4950" w:type="dxa"/>
        <w:jc w:val="center"/>
        <w:tblLayout w:type="fixed"/>
        <w:tblLook w:val="04A0" w:firstRow="1" w:lastRow="0" w:firstColumn="1" w:lastColumn="0" w:noHBand="0" w:noVBand="1"/>
      </w:tblPr>
      <w:tblGrid>
        <w:gridCol w:w="1436"/>
        <w:gridCol w:w="811"/>
        <w:gridCol w:w="901"/>
        <w:gridCol w:w="811"/>
        <w:gridCol w:w="991"/>
      </w:tblGrid>
      <w:tr w:rsidR="007E5715" w:rsidRPr="007E5715" w14:paraId="296E99F7" w14:textId="77777777">
        <w:trPr>
          <w:jc w:val="center"/>
        </w:trPr>
        <w:tc>
          <w:tcPr>
            <w:tcW w:w="1435" w:type="dxa"/>
            <w:tcBorders>
              <w:top w:val="single" w:sz="4" w:space="0" w:color="auto"/>
              <w:left w:val="single" w:sz="4" w:space="0" w:color="auto"/>
              <w:bottom w:val="single" w:sz="4" w:space="0" w:color="auto"/>
              <w:right w:val="single" w:sz="4" w:space="0" w:color="auto"/>
            </w:tcBorders>
            <w:hideMark/>
          </w:tcPr>
          <w:p w14:paraId="53AEAAF2" w14:textId="77777777" w:rsidR="007E5715" w:rsidRPr="007E5715" w:rsidRDefault="007E5715" w:rsidP="007E5715">
            <w:pPr>
              <w:jc w:val="both"/>
              <w:rPr>
                <w:b/>
                <w:bCs/>
                <w:sz w:val="20"/>
                <w:szCs w:val="20"/>
              </w:rPr>
            </w:pPr>
            <w:r w:rsidRPr="007E5715">
              <w:rPr>
                <w:b/>
                <w:bCs/>
                <w:sz w:val="20"/>
                <w:szCs w:val="20"/>
              </w:rPr>
              <w:t>Dataset/</w:t>
            </w:r>
          </w:p>
          <w:p w14:paraId="6EE0E0A6" w14:textId="77777777" w:rsidR="007E5715" w:rsidRPr="007E5715" w:rsidRDefault="007E5715" w:rsidP="007E5715">
            <w:pPr>
              <w:jc w:val="both"/>
              <w:rPr>
                <w:b/>
                <w:bCs/>
                <w:sz w:val="20"/>
                <w:szCs w:val="20"/>
              </w:rPr>
            </w:pPr>
            <w:r w:rsidRPr="007E5715">
              <w:rPr>
                <w:b/>
                <w:bCs/>
                <w:sz w:val="20"/>
                <w:szCs w:val="20"/>
              </w:rPr>
              <w:t>Model</w:t>
            </w:r>
          </w:p>
        </w:tc>
        <w:tc>
          <w:tcPr>
            <w:tcW w:w="810" w:type="dxa"/>
            <w:tcBorders>
              <w:top w:val="single" w:sz="4" w:space="0" w:color="auto"/>
              <w:left w:val="single" w:sz="4" w:space="0" w:color="auto"/>
              <w:bottom w:val="single" w:sz="4" w:space="0" w:color="auto"/>
              <w:right w:val="single" w:sz="4" w:space="0" w:color="auto"/>
            </w:tcBorders>
            <w:hideMark/>
          </w:tcPr>
          <w:p w14:paraId="44173F3C" w14:textId="77777777" w:rsidR="007E5715" w:rsidRPr="007E5715" w:rsidRDefault="007E5715" w:rsidP="007E5715">
            <w:pPr>
              <w:jc w:val="both"/>
              <w:rPr>
                <w:b/>
                <w:bCs/>
                <w:sz w:val="20"/>
                <w:szCs w:val="20"/>
              </w:rPr>
            </w:pPr>
            <w:r w:rsidRPr="007E5715">
              <w:rPr>
                <w:b/>
                <w:bCs/>
                <w:sz w:val="20"/>
                <w:szCs w:val="20"/>
              </w:rPr>
              <w:t>Real Baseline</w:t>
            </w:r>
          </w:p>
        </w:tc>
        <w:tc>
          <w:tcPr>
            <w:tcW w:w="900" w:type="dxa"/>
            <w:tcBorders>
              <w:top w:val="single" w:sz="4" w:space="0" w:color="auto"/>
              <w:left w:val="single" w:sz="4" w:space="0" w:color="auto"/>
              <w:bottom w:val="single" w:sz="4" w:space="0" w:color="auto"/>
              <w:right w:val="single" w:sz="4" w:space="0" w:color="auto"/>
            </w:tcBorders>
            <w:hideMark/>
          </w:tcPr>
          <w:p w14:paraId="4AE1AF3F" w14:textId="77777777" w:rsidR="007E5715" w:rsidRPr="007E5715" w:rsidRDefault="007E5715" w:rsidP="007E5715">
            <w:pPr>
              <w:jc w:val="both"/>
              <w:rPr>
                <w:b/>
                <w:bCs/>
                <w:sz w:val="20"/>
                <w:szCs w:val="20"/>
              </w:rPr>
            </w:pPr>
            <w:r w:rsidRPr="007E5715">
              <w:rPr>
                <w:b/>
                <w:bCs/>
                <w:sz w:val="20"/>
                <w:szCs w:val="20"/>
              </w:rPr>
              <w:t>Gaussian Copula</w:t>
            </w:r>
          </w:p>
        </w:tc>
        <w:tc>
          <w:tcPr>
            <w:tcW w:w="810" w:type="dxa"/>
            <w:tcBorders>
              <w:top w:val="single" w:sz="4" w:space="0" w:color="auto"/>
              <w:left w:val="single" w:sz="4" w:space="0" w:color="auto"/>
              <w:bottom w:val="single" w:sz="4" w:space="0" w:color="auto"/>
              <w:right w:val="single" w:sz="4" w:space="0" w:color="auto"/>
            </w:tcBorders>
            <w:hideMark/>
          </w:tcPr>
          <w:p w14:paraId="4F0CE48B" w14:textId="77777777" w:rsidR="007E5715" w:rsidRPr="007E5715" w:rsidRDefault="007E5715" w:rsidP="007E5715">
            <w:pPr>
              <w:jc w:val="both"/>
              <w:rPr>
                <w:b/>
                <w:bCs/>
                <w:sz w:val="20"/>
                <w:szCs w:val="20"/>
              </w:rPr>
            </w:pPr>
            <w:r w:rsidRPr="007E5715">
              <w:rPr>
                <w:b/>
                <w:bCs/>
                <w:sz w:val="20"/>
                <w:szCs w:val="20"/>
              </w:rPr>
              <w:t>CTGAN</w:t>
            </w:r>
          </w:p>
        </w:tc>
        <w:tc>
          <w:tcPr>
            <w:tcW w:w="990" w:type="dxa"/>
            <w:tcBorders>
              <w:top w:val="single" w:sz="4" w:space="0" w:color="auto"/>
              <w:left w:val="single" w:sz="4" w:space="0" w:color="auto"/>
              <w:bottom w:val="single" w:sz="4" w:space="0" w:color="auto"/>
              <w:right w:val="single" w:sz="4" w:space="0" w:color="auto"/>
            </w:tcBorders>
            <w:hideMark/>
          </w:tcPr>
          <w:p w14:paraId="3CA88E79" w14:textId="77777777" w:rsidR="007E5715" w:rsidRPr="007E5715" w:rsidRDefault="007E5715" w:rsidP="007E5715">
            <w:pPr>
              <w:jc w:val="both"/>
              <w:rPr>
                <w:b/>
                <w:bCs/>
                <w:sz w:val="20"/>
                <w:szCs w:val="20"/>
              </w:rPr>
            </w:pPr>
            <w:r w:rsidRPr="007E5715">
              <w:rPr>
                <w:b/>
                <w:bCs/>
                <w:sz w:val="20"/>
                <w:szCs w:val="20"/>
              </w:rPr>
              <w:t>TabDDPM</w:t>
            </w:r>
          </w:p>
        </w:tc>
      </w:tr>
      <w:tr w:rsidR="007E5715" w:rsidRPr="007E5715" w14:paraId="44E6D601" w14:textId="77777777">
        <w:trPr>
          <w:jc w:val="center"/>
        </w:trPr>
        <w:tc>
          <w:tcPr>
            <w:tcW w:w="1435" w:type="dxa"/>
            <w:tcBorders>
              <w:top w:val="single" w:sz="4" w:space="0" w:color="auto"/>
              <w:left w:val="single" w:sz="4" w:space="0" w:color="auto"/>
              <w:bottom w:val="single" w:sz="4" w:space="0" w:color="auto"/>
              <w:right w:val="single" w:sz="4" w:space="0" w:color="auto"/>
            </w:tcBorders>
            <w:hideMark/>
          </w:tcPr>
          <w:p w14:paraId="131562B0" w14:textId="77777777" w:rsidR="007E5715" w:rsidRPr="007E5715" w:rsidRDefault="007E5715" w:rsidP="007E5715">
            <w:pPr>
              <w:jc w:val="both"/>
              <w:rPr>
                <w:sz w:val="20"/>
                <w:szCs w:val="20"/>
              </w:rPr>
            </w:pPr>
            <w:r w:rsidRPr="007E5715">
              <w:rPr>
                <w:sz w:val="20"/>
                <w:szCs w:val="20"/>
              </w:rPr>
              <w:t>OULAD - Random Forest</w:t>
            </w:r>
          </w:p>
        </w:tc>
        <w:tc>
          <w:tcPr>
            <w:tcW w:w="810" w:type="dxa"/>
            <w:tcBorders>
              <w:top w:val="single" w:sz="4" w:space="0" w:color="auto"/>
              <w:left w:val="single" w:sz="4" w:space="0" w:color="auto"/>
              <w:bottom w:val="single" w:sz="4" w:space="0" w:color="auto"/>
              <w:right w:val="single" w:sz="4" w:space="0" w:color="auto"/>
            </w:tcBorders>
            <w:hideMark/>
          </w:tcPr>
          <w:p w14:paraId="3677B821" w14:textId="77777777" w:rsidR="007E5715" w:rsidRPr="007E5715" w:rsidRDefault="007E5715" w:rsidP="007E5715">
            <w:pPr>
              <w:jc w:val="both"/>
              <w:rPr>
                <w:sz w:val="20"/>
                <w:szCs w:val="20"/>
              </w:rPr>
            </w:pPr>
            <w:r w:rsidRPr="007E5715">
              <w:rPr>
                <w:sz w:val="20"/>
                <w:szCs w:val="20"/>
              </w:rPr>
              <w:t>0.967 (0.964–0.970)</w:t>
            </w:r>
          </w:p>
        </w:tc>
        <w:tc>
          <w:tcPr>
            <w:tcW w:w="900" w:type="dxa"/>
            <w:tcBorders>
              <w:top w:val="single" w:sz="4" w:space="0" w:color="auto"/>
              <w:left w:val="single" w:sz="4" w:space="0" w:color="auto"/>
              <w:bottom w:val="single" w:sz="4" w:space="0" w:color="auto"/>
              <w:right w:val="single" w:sz="4" w:space="0" w:color="auto"/>
            </w:tcBorders>
            <w:hideMark/>
          </w:tcPr>
          <w:p w14:paraId="29DF9AB0" w14:textId="77777777" w:rsidR="007E5715" w:rsidRPr="007E5715" w:rsidRDefault="007E5715" w:rsidP="007E5715">
            <w:pPr>
              <w:jc w:val="both"/>
              <w:rPr>
                <w:sz w:val="20"/>
                <w:szCs w:val="20"/>
              </w:rPr>
            </w:pPr>
            <w:r w:rsidRPr="007E5715">
              <w:rPr>
                <w:sz w:val="20"/>
                <w:szCs w:val="20"/>
              </w:rPr>
              <w:t>0.947 (0.943–0.951)</w:t>
            </w:r>
          </w:p>
        </w:tc>
        <w:tc>
          <w:tcPr>
            <w:tcW w:w="810" w:type="dxa"/>
            <w:tcBorders>
              <w:top w:val="single" w:sz="4" w:space="0" w:color="auto"/>
              <w:left w:val="single" w:sz="4" w:space="0" w:color="auto"/>
              <w:bottom w:val="single" w:sz="4" w:space="0" w:color="auto"/>
              <w:right w:val="single" w:sz="4" w:space="0" w:color="auto"/>
            </w:tcBorders>
            <w:hideMark/>
          </w:tcPr>
          <w:p w14:paraId="023E1D78" w14:textId="77777777" w:rsidR="007E5715" w:rsidRPr="007E5715" w:rsidRDefault="007E5715" w:rsidP="007E5715">
            <w:pPr>
              <w:jc w:val="both"/>
              <w:rPr>
                <w:sz w:val="20"/>
                <w:szCs w:val="20"/>
              </w:rPr>
            </w:pPr>
            <w:r w:rsidRPr="007E5715">
              <w:rPr>
                <w:sz w:val="20"/>
                <w:szCs w:val="20"/>
              </w:rPr>
              <w:t>0.958 (0.955–0.962)</w:t>
            </w:r>
          </w:p>
        </w:tc>
        <w:tc>
          <w:tcPr>
            <w:tcW w:w="990" w:type="dxa"/>
            <w:tcBorders>
              <w:top w:val="single" w:sz="4" w:space="0" w:color="auto"/>
              <w:left w:val="single" w:sz="4" w:space="0" w:color="auto"/>
              <w:bottom w:val="single" w:sz="4" w:space="0" w:color="auto"/>
              <w:right w:val="single" w:sz="4" w:space="0" w:color="auto"/>
            </w:tcBorders>
            <w:hideMark/>
          </w:tcPr>
          <w:p w14:paraId="23FD3BAB" w14:textId="77777777" w:rsidR="007E5715" w:rsidRPr="007E5715" w:rsidRDefault="007E5715" w:rsidP="007E5715">
            <w:pPr>
              <w:jc w:val="both"/>
              <w:rPr>
                <w:sz w:val="20"/>
                <w:szCs w:val="20"/>
              </w:rPr>
            </w:pPr>
            <w:r w:rsidRPr="007E5715">
              <w:rPr>
                <w:b/>
                <w:sz w:val="20"/>
                <w:szCs w:val="20"/>
              </w:rPr>
              <w:t>0.962 (0.959–0.966)</w:t>
            </w:r>
          </w:p>
        </w:tc>
      </w:tr>
      <w:tr w:rsidR="007E5715" w:rsidRPr="007E5715" w14:paraId="4295FD78" w14:textId="77777777">
        <w:trPr>
          <w:jc w:val="center"/>
        </w:trPr>
        <w:tc>
          <w:tcPr>
            <w:tcW w:w="1435" w:type="dxa"/>
            <w:tcBorders>
              <w:top w:val="single" w:sz="4" w:space="0" w:color="auto"/>
              <w:left w:val="single" w:sz="4" w:space="0" w:color="auto"/>
              <w:bottom w:val="single" w:sz="4" w:space="0" w:color="auto"/>
              <w:right w:val="single" w:sz="4" w:space="0" w:color="auto"/>
            </w:tcBorders>
            <w:hideMark/>
          </w:tcPr>
          <w:p w14:paraId="66ACCEC2" w14:textId="77777777" w:rsidR="007E5715" w:rsidRPr="007E5715" w:rsidRDefault="007E5715" w:rsidP="007E5715">
            <w:pPr>
              <w:jc w:val="both"/>
              <w:rPr>
                <w:sz w:val="20"/>
                <w:szCs w:val="20"/>
              </w:rPr>
            </w:pPr>
            <w:r w:rsidRPr="007E5715">
              <w:rPr>
                <w:sz w:val="20"/>
                <w:szCs w:val="20"/>
              </w:rPr>
              <w:t>ASSISTments - Random Forest</w:t>
            </w:r>
          </w:p>
        </w:tc>
        <w:tc>
          <w:tcPr>
            <w:tcW w:w="810" w:type="dxa"/>
            <w:tcBorders>
              <w:top w:val="single" w:sz="4" w:space="0" w:color="auto"/>
              <w:left w:val="single" w:sz="4" w:space="0" w:color="auto"/>
              <w:bottom w:val="single" w:sz="4" w:space="0" w:color="auto"/>
              <w:right w:val="single" w:sz="4" w:space="0" w:color="auto"/>
            </w:tcBorders>
            <w:hideMark/>
          </w:tcPr>
          <w:p w14:paraId="0E84E5FC" w14:textId="77777777" w:rsidR="007E5715" w:rsidRPr="007E5715" w:rsidRDefault="007E5715" w:rsidP="007E5715">
            <w:pPr>
              <w:jc w:val="both"/>
              <w:rPr>
                <w:sz w:val="20"/>
                <w:szCs w:val="20"/>
              </w:rPr>
            </w:pPr>
            <w:r w:rsidRPr="007E5715">
              <w:rPr>
                <w:sz w:val="20"/>
                <w:szCs w:val="20"/>
              </w:rPr>
              <w:t>0.903 (0.898–0.908)</w:t>
            </w:r>
          </w:p>
        </w:tc>
        <w:tc>
          <w:tcPr>
            <w:tcW w:w="900" w:type="dxa"/>
            <w:tcBorders>
              <w:top w:val="single" w:sz="4" w:space="0" w:color="auto"/>
              <w:left w:val="single" w:sz="4" w:space="0" w:color="auto"/>
              <w:bottom w:val="single" w:sz="4" w:space="0" w:color="auto"/>
              <w:right w:val="single" w:sz="4" w:space="0" w:color="auto"/>
            </w:tcBorders>
            <w:hideMark/>
          </w:tcPr>
          <w:p w14:paraId="1B77B18B" w14:textId="77777777" w:rsidR="007E5715" w:rsidRPr="007E5715" w:rsidRDefault="007E5715" w:rsidP="007E5715">
            <w:pPr>
              <w:jc w:val="both"/>
              <w:rPr>
                <w:sz w:val="20"/>
                <w:szCs w:val="20"/>
              </w:rPr>
            </w:pPr>
            <w:r w:rsidRPr="007E5715">
              <w:rPr>
                <w:sz w:val="20"/>
                <w:szCs w:val="20"/>
              </w:rPr>
              <w:t>0.872 (0.866–0.878)</w:t>
            </w:r>
          </w:p>
        </w:tc>
        <w:tc>
          <w:tcPr>
            <w:tcW w:w="810" w:type="dxa"/>
            <w:tcBorders>
              <w:top w:val="single" w:sz="4" w:space="0" w:color="auto"/>
              <w:left w:val="single" w:sz="4" w:space="0" w:color="auto"/>
              <w:bottom w:val="single" w:sz="4" w:space="0" w:color="auto"/>
              <w:right w:val="single" w:sz="4" w:space="0" w:color="auto"/>
            </w:tcBorders>
            <w:hideMark/>
          </w:tcPr>
          <w:p w14:paraId="59E2CF6D" w14:textId="77777777" w:rsidR="007E5715" w:rsidRPr="007E5715" w:rsidRDefault="007E5715" w:rsidP="007E5715">
            <w:pPr>
              <w:jc w:val="both"/>
              <w:rPr>
                <w:sz w:val="20"/>
                <w:szCs w:val="20"/>
              </w:rPr>
            </w:pPr>
            <w:r w:rsidRPr="007E5715">
              <w:rPr>
                <w:sz w:val="20"/>
                <w:szCs w:val="20"/>
              </w:rPr>
              <w:t>0.884 (0.879–0.889)</w:t>
            </w:r>
          </w:p>
        </w:tc>
        <w:tc>
          <w:tcPr>
            <w:tcW w:w="990" w:type="dxa"/>
            <w:tcBorders>
              <w:top w:val="single" w:sz="4" w:space="0" w:color="auto"/>
              <w:left w:val="single" w:sz="4" w:space="0" w:color="auto"/>
              <w:bottom w:val="single" w:sz="4" w:space="0" w:color="auto"/>
              <w:right w:val="single" w:sz="4" w:space="0" w:color="auto"/>
            </w:tcBorders>
            <w:hideMark/>
          </w:tcPr>
          <w:p w14:paraId="6D3C6FB2" w14:textId="77777777" w:rsidR="007E5715" w:rsidRPr="007E5715" w:rsidRDefault="007E5715" w:rsidP="007E5715">
            <w:pPr>
              <w:jc w:val="both"/>
              <w:rPr>
                <w:sz w:val="20"/>
                <w:szCs w:val="20"/>
              </w:rPr>
            </w:pPr>
            <w:r w:rsidRPr="007E5715">
              <w:rPr>
                <w:b/>
                <w:sz w:val="20"/>
                <w:szCs w:val="20"/>
              </w:rPr>
              <w:t>0.891 (0.886–0.896)</w:t>
            </w:r>
          </w:p>
        </w:tc>
      </w:tr>
    </w:tbl>
    <w:p w14:paraId="0F29BD89" w14:textId="77777777" w:rsidR="007E5715" w:rsidRPr="007E5715" w:rsidRDefault="007E5715" w:rsidP="007E5715">
      <w:pPr>
        <w:jc w:val="both"/>
        <w:rPr>
          <w:sz w:val="20"/>
          <w:szCs w:val="20"/>
        </w:rPr>
      </w:pPr>
      <w:r w:rsidRPr="007E5715">
        <w:rPr>
          <w:i/>
          <w:sz w:val="20"/>
          <w:szCs w:val="20"/>
        </w:rPr>
        <w:t>Note: Bold indicates the best synthetic result per dataset.</w:t>
      </w:r>
    </w:p>
    <w:p w14:paraId="379A7835" w14:textId="77777777" w:rsidR="00A151D0" w:rsidRDefault="00A151D0" w:rsidP="00D71F27">
      <w:pPr>
        <w:jc w:val="both"/>
        <w:rPr>
          <w:sz w:val="20"/>
          <w:szCs w:val="20"/>
        </w:rPr>
      </w:pPr>
    </w:p>
    <w:p w14:paraId="2C307116" w14:textId="36494528" w:rsidR="007E5715" w:rsidRPr="007E5715" w:rsidRDefault="007E5715" w:rsidP="007E5715">
      <w:pPr>
        <w:jc w:val="both"/>
        <w:rPr>
          <w:bCs/>
          <w:sz w:val="20"/>
          <w:szCs w:val="20"/>
        </w:rPr>
      </w:pPr>
      <w:r w:rsidRPr="007E5715">
        <w:rPr>
          <w:b/>
          <w:sz w:val="20"/>
          <w:szCs w:val="20"/>
        </w:rPr>
        <w:t>TABLE I</w:t>
      </w:r>
      <w:r w:rsidR="00ED51EC">
        <w:rPr>
          <w:b/>
          <w:sz w:val="20"/>
          <w:szCs w:val="20"/>
        </w:rPr>
        <w:t>I</w:t>
      </w:r>
      <w:r w:rsidRPr="007E5715">
        <w:rPr>
          <w:b/>
          <w:sz w:val="20"/>
          <w:szCs w:val="20"/>
        </w:rPr>
        <w:t xml:space="preserve">: </w:t>
      </w:r>
      <w:r w:rsidRPr="007E5715">
        <w:rPr>
          <w:bCs/>
          <w:sz w:val="20"/>
          <w:szCs w:val="20"/>
        </w:rPr>
        <w:t>Regression Results (MAE, 95% CI)</w:t>
      </w:r>
    </w:p>
    <w:tbl>
      <w:tblPr>
        <w:tblStyle w:val="TableGrid"/>
        <w:tblW w:w="0" w:type="auto"/>
        <w:jc w:val="center"/>
        <w:tblLook w:val="04A0" w:firstRow="1" w:lastRow="0" w:firstColumn="1" w:lastColumn="0" w:noHBand="0" w:noVBand="1"/>
      </w:tblPr>
      <w:tblGrid>
        <w:gridCol w:w="1350"/>
        <w:gridCol w:w="840"/>
        <w:gridCol w:w="886"/>
        <w:gridCol w:w="768"/>
        <w:gridCol w:w="966"/>
      </w:tblGrid>
      <w:tr w:rsidR="007E5715" w:rsidRPr="007E5715" w14:paraId="24E21C34" w14:textId="77777777">
        <w:trPr>
          <w:jc w:val="center"/>
        </w:trPr>
        <w:tc>
          <w:tcPr>
            <w:tcW w:w="1728" w:type="dxa"/>
            <w:tcBorders>
              <w:top w:val="single" w:sz="4" w:space="0" w:color="auto"/>
              <w:left w:val="single" w:sz="4" w:space="0" w:color="auto"/>
              <w:bottom w:val="single" w:sz="4" w:space="0" w:color="auto"/>
              <w:right w:val="single" w:sz="4" w:space="0" w:color="auto"/>
            </w:tcBorders>
            <w:hideMark/>
          </w:tcPr>
          <w:p w14:paraId="596F286A" w14:textId="77777777" w:rsidR="007E5715" w:rsidRPr="007E5715" w:rsidRDefault="007E5715" w:rsidP="007E5715">
            <w:pPr>
              <w:jc w:val="both"/>
              <w:rPr>
                <w:b/>
                <w:bCs/>
                <w:sz w:val="20"/>
                <w:szCs w:val="20"/>
              </w:rPr>
            </w:pPr>
            <w:r w:rsidRPr="007E5715">
              <w:rPr>
                <w:b/>
                <w:bCs/>
                <w:sz w:val="20"/>
                <w:szCs w:val="20"/>
              </w:rPr>
              <w:t>Dataset/Model</w:t>
            </w:r>
          </w:p>
        </w:tc>
        <w:tc>
          <w:tcPr>
            <w:tcW w:w="1728" w:type="dxa"/>
            <w:tcBorders>
              <w:top w:val="single" w:sz="4" w:space="0" w:color="auto"/>
              <w:left w:val="single" w:sz="4" w:space="0" w:color="auto"/>
              <w:bottom w:val="single" w:sz="4" w:space="0" w:color="auto"/>
              <w:right w:val="single" w:sz="4" w:space="0" w:color="auto"/>
            </w:tcBorders>
            <w:hideMark/>
          </w:tcPr>
          <w:p w14:paraId="186E5908" w14:textId="77777777" w:rsidR="007E5715" w:rsidRPr="007E5715" w:rsidRDefault="007E5715" w:rsidP="007E5715">
            <w:pPr>
              <w:jc w:val="both"/>
              <w:rPr>
                <w:b/>
                <w:bCs/>
                <w:sz w:val="20"/>
                <w:szCs w:val="20"/>
              </w:rPr>
            </w:pPr>
            <w:r w:rsidRPr="007E5715">
              <w:rPr>
                <w:b/>
                <w:bCs/>
                <w:sz w:val="20"/>
                <w:szCs w:val="20"/>
              </w:rPr>
              <w:t>Real Baseline</w:t>
            </w:r>
          </w:p>
        </w:tc>
        <w:tc>
          <w:tcPr>
            <w:tcW w:w="1728" w:type="dxa"/>
            <w:tcBorders>
              <w:top w:val="single" w:sz="4" w:space="0" w:color="auto"/>
              <w:left w:val="single" w:sz="4" w:space="0" w:color="auto"/>
              <w:bottom w:val="single" w:sz="4" w:space="0" w:color="auto"/>
              <w:right w:val="single" w:sz="4" w:space="0" w:color="auto"/>
            </w:tcBorders>
            <w:hideMark/>
          </w:tcPr>
          <w:p w14:paraId="5C5A384F" w14:textId="77777777" w:rsidR="007E5715" w:rsidRPr="007E5715" w:rsidRDefault="007E5715" w:rsidP="007E5715">
            <w:pPr>
              <w:jc w:val="both"/>
              <w:rPr>
                <w:b/>
                <w:bCs/>
                <w:sz w:val="20"/>
                <w:szCs w:val="20"/>
              </w:rPr>
            </w:pPr>
            <w:r w:rsidRPr="007E5715">
              <w:rPr>
                <w:b/>
                <w:bCs/>
                <w:sz w:val="20"/>
                <w:szCs w:val="20"/>
              </w:rPr>
              <w:t>Gaussian Copula</w:t>
            </w:r>
          </w:p>
        </w:tc>
        <w:tc>
          <w:tcPr>
            <w:tcW w:w="1728" w:type="dxa"/>
            <w:tcBorders>
              <w:top w:val="single" w:sz="4" w:space="0" w:color="auto"/>
              <w:left w:val="single" w:sz="4" w:space="0" w:color="auto"/>
              <w:bottom w:val="single" w:sz="4" w:space="0" w:color="auto"/>
              <w:right w:val="single" w:sz="4" w:space="0" w:color="auto"/>
            </w:tcBorders>
            <w:hideMark/>
          </w:tcPr>
          <w:p w14:paraId="0C2F1594" w14:textId="77777777" w:rsidR="007E5715" w:rsidRPr="007E5715" w:rsidRDefault="007E5715" w:rsidP="007E5715">
            <w:pPr>
              <w:jc w:val="both"/>
              <w:rPr>
                <w:b/>
                <w:bCs/>
                <w:sz w:val="20"/>
                <w:szCs w:val="20"/>
              </w:rPr>
            </w:pPr>
            <w:r w:rsidRPr="007E5715">
              <w:rPr>
                <w:b/>
                <w:bCs/>
                <w:sz w:val="20"/>
                <w:szCs w:val="20"/>
              </w:rPr>
              <w:t>CTGAN</w:t>
            </w:r>
          </w:p>
        </w:tc>
        <w:tc>
          <w:tcPr>
            <w:tcW w:w="1728" w:type="dxa"/>
            <w:tcBorders>
              <w:top w:val="single" w:sz="4" w:space="0" w:color="auto"/>
              <w:left w:val="single" w:sz="4" w:space="0" w:color="auto"/>
              <w:bottom w:val="single" w:sz="4" w:space="0" w:color="auto"/>
              <w:right w:val="single" w:sz="4" w:space="0" w:color="auto"/>
            </w:tcBorders>
            <w:hideMark/>
          </w:tcPr>
          <w:p w14:paraId="055B914E" w14:textId="77777777" w:rsidR="007E5715" w:rsidRPr="007E5715" w:rsidRDefault="007E5715" w:rsidP="007E5715">
            <w:pPr>
              <w:jc w:val="both"/>
              <w:rPr>
                <w:b/>
                <w:bCs/>
                <w:sz w:val="20"/>
                <w:szCs w:val="20"/>
              </w:rPr>
            </w:pPr>
            <w:r w:rsidRPr="007E5715">
              <w:rPr>
                <w:b/>
                <w:bCs/>
                <w:sz w:val="20"/>
                <w:szCs w:val="20"/>
              </w:rPr>
              <w:t>TabDDPM</w:t>
            </w:r>
          </w:p>
        </w:tc>
      </w:tr>
      <w:tr w:rsidR="007E5715" w:rsidRPr="007E5715" w14:paraId="03F1C40A" w14:textId="77777777">
        <w:trPr>
          <w:jc w:val="center"/>
        </w:trPr>
        <w:tc>
          <w:tcPr>
            <w:tcW w:w="1728" w:type="dxa"/>
            <w:tcBorders>
              <w:top w:val="single" w:sz="4" w:space="0" w:color="auto"/>
              <w:left w:val="single" w:sz="4" w:space="0" w:color="auto"/>
              <w:bottom w:val="single" w:sz="4" w:space="0" w:color="auto"/>
              <w:right w:val="single" w:sz="4" w:space="0" w:color="auto"/>
            </w:tcBorders>
            <w:hideMark/>
          </w:tcPr>
          <w:p w14:paraId="1160B994" w14:textId="77777777" w:rsidR="007E5715" w:rsidRPr="007E5715" w:rsidRDefault="007E5715" w:rsidP="007E5715">
            <w:pPr>
              <w:jc w:val="both"/>
              <w:rPr>
                <w:sz w:val="20"/>
                <w:szCs w:val="20"/>
              </w:rPr>
            </w:pPr>
            <w:r w:rsidRPr="007E5715">
              <w:rPr>
                <w:sz w:val="20"/>
                <w:szCs w:val="20"/>
              </w:rPr>
              <w:t>OULAD - Random Forest</w:t>
            </w:r>
          </w:p>
        </w:tc>
        <w:tc>
          <w:tcPr>
            <w:tcW w:w="1728" w:type="dxa"/>
            <w:tcBorders>
              <w:top w:val="single" w:sz="4" w:space="0" w:color="auto"/>
              <w:left w:val="single" w:sz="4" w:space="0" w:color="auto"/>
              <w:bottom w:val="single" w:sz="4" w:space="0" w:color="auto"/>
              <w:right w:val="single" w:sz="4" w:space="0" w:color="auto"/>
            </w:tcBorders>
            <w:hideMark/>
          </w:tcPr>
          <w:p w14:paraId="46BC2F91" w14:textId="77777777" w:rsidR="007E5715" w:rsidRPr="007E5715" w:rsidRDefault="007E5715" w:rsidP="007E5715">
            <w:pPr>
              <w:jc w:val="both"/>
              <w:rPr>
                <w:sz w:val="20"/>
                <w:szCs w:val="20"/>
              </w:rPr>
            </w:pPr>
            <w:r w:rsidRPr="007E5715">
              <w:rPr>
                <w:sz w:val="20"/>
                <w:szCs w:val="20"/>
              </w:rPr>
              <w:t>14.87 (14.68–15.06)</w:t>
            </w:r>
          </w:p>
        </w:tc>
        <w:tc>
          <w:tcPr>
            <w:tcW w:w="1728" w:type="dxa"/>
            <w:tcBorders>
              <w:top w:val="single" w:sz="4" w:space="0" w:color="auto"/>
              <w:left w:val="single" w:sz="4" w:space="0" w:color="auto"/>
              <w:bottom w:val="single" w:sz="4" w:space="0" w:color="auto"/>
              <w:right w:val="single" w:sz="4" w:space="0" w:color="auto"/>
            </w:tcBorders>
            <w:hideMark/>
          </w:tcPr>
          <w:p w14:paraId="3C79AE7C" w14:textId="77777777" w:rsidR="007E5715" w:rsidRPr="007E5715" w:rsidRDefault="007E5715" w:rsidP="007E5715">
            <w:pPr>
              <w:jc w:val="both"/>
              <w:rPr>
                <w:sz w:val="20"/>
                <w:szCs w:val="20"/>
              </w:rPr>
            </w:pPr>
            <w:r w:rsidRPr="007E5715">
              <w:rPr>
                <w:sz w:val="20"/>
                <w:szCs w:val="20"/>
              </w:rPr>
              <w:t>16.47 (16.23–16.72)</w:t>
            </w:r>
          </w:p>
        </w:tc>
        <w:tc>
          <w:tcPr>
            <w:tcW w:w="1728" w:type="dxa"/>
            <w:tcBorders>
              <w:top w:val="single" w:sz="4" w:space="0" w:color="auto"/>
              <w:left w:val="single" w:sz="4" w:space="0" w:color="auto"/>
              <w:bottom w:val="single" w:sz="4" w:space="0" w:color="auto"/>
              <w:right w:val="single" w:sz="4" w:space="0" w:color="auto"/>
            </w:tcBorders>
            <w:hideMark/>
          </w:tcPr>
          <w:p w14:paraId="2327989A" w14:textId="77777777" w:rsidR="007E5715" w:rsidRPr="007E5715" w:rsidRDefault="007E5715" w:rsidP="007E5715">
            <w:pPr>
              <w:jc w:val="both"/>
              <w:rPr>
                <w:sz w:val="20"/>
                <w:szCs w:val="20"/>
              </w:rPr>
            </w:pPr>
            <w:r w:rsidRPr="007E5715">
              <w:rPr>
                <w:sz w:val="20"/>
                <w:szCs w:val="20"/>
              </w:rPr>
              <w:t>15.89 (15.67–16.12)</w:t>
            </w:r>
          </w:p>
        </w:tc>
        <w:tc>
          <w:tcPr>
            <w:tcW w:w="1728" w:type="dxa"/>
            <w:tcBorders>
              <w:top w:val="single" w:sz="4" w:space="0" w:color="auto"/>
              <w:left w:val="single" w:sz="4" w:space="0" w:color="auto"/>
              <w:bottom w:val="single" w:sz="4" w:space="0" w:color="auto"/>
              <w:right w:val="single" w:sz="4" w:space="0" w:color="auto"/>
            </w:tcBorders>
            <w:hideMark/>
          </w:tcPr>
          <w:p w14:paraId="4115FF59" w14:textId="77777777" w:rsidR="007E5715" w:rsidRPr="007E5715" w:rsidRDefault="007E5715" w:rsidP="007E5715">
            <w:pPr>
              <w:jc w:val="both"/>
              <w:rPr>
                <w:sz w:val="20"/>
                <w:szCs w:val="20"/>
              </w:rPr>
            </w:pPr>
            <w:r w:rsidRPr="007E5715">
              <w:rPr>
                <w:b/>
                <w:sz w:val="20"/>
                <w:szCs w:val="20"/>
              </w:rPr>
              <w:t>15.32 (15.11–15.53)</w:t>
            </w:r>
          </w:p>
        </w:tc>
      </w:tr>
    </w:tbl>
    <w:p w14:paraId="6CFA6AC7" w14:textId="77777777" w:rsidR="007E5715" w:rsidRPr="007E5715" w:rsidRDefault="007E5715" w:rsidP="007E5715">
      <w:pPr>
        <w:jc w:val="both"/>
        <w:rPr>
          <w:sz w:val="20"/>
          <w:szCs w:val="20"/>
        </w:rPr>
      </w:pPr>
      <w:r w:rsidRPr="007E5715">
        <w:rPr>
          <w:i/>
          <w:sz w:val="20"/>
          <w:szCs w:val="20"/>
        </w:rPr>
        <w:t>Note: Bold indicates best synthetic result (lowest MAE).</w:t>
      </w:r>
    </w:p>
    <w:p w14:paraId="4BD576BE" w14:textId="77777777" w:rsidR="007E5715" w:rsidRDefault="007E5715" w:rsidP="00D71F27">
      <w:pPr>
        <w:jc w:val="both"/>
        <w:rPr>
          <w:sz w:val="20"/>
          <w:szCs w:val="20"/>
        </w:rPr>
      </w:pPr>
    </w:p>
    <w:p w14:paraId="50386B64" w14:textId="77777777" w:rsidR="007E5715" w:rsidRDefault="007E5715" w:rsidP="00D71F27">
      <w:pPr>
        <w:jc w:val="both"/>
        <w:rPr>
          <w:sz w:val="20"/>
          <w:szCs w:val="20"/>
        </w:rPr>
      </w:pPr>
    </w:p>
    <w:p w14:paraId="27EDA3C7" w14:textId="34BBFB68" w:rsidR="007E5715" w:rsidRPr="007E5715" w:rsidRDefault="007E5715" w:rsidP="007E5715">
      <w:pPr>
        <w:jc w:val="both"/>
        <w:rPr>
          <w:b/>
          <w:bCs/>
          <w:sz w:val="20"/>
          <w:szCs w:val="20"/>
        </w:rPr>
      </w:pPr>
      <w:r w:rsidRPr="007E5715">
        <w:rPr>
          <w:b/>
          <w:bCs/>
          <w:sz w:val="20"/>
          <w:szCs w:val="20"/>
        </w:rPr>
        <w:t>B. Distributional Fidelity and Discriminative Realism</w:t>
      </w:r>
    </w:p>
    <w:p w14:paraId="10A068E1" w14:textId="1565CC35" w:rsidR="007E5715" w:rsidRDefault="007E5715" w:rsidP="007E5715">
      <w:pPr>
        <w:jc w:val="both"/>
        <w:rPr>
          <w:sz w:val="20"/>
          <w:szCs w:val="20"/>
        </w:rPr>
      </w:pPr>
      <w:r w:rsidRPr="007E5715">
        <w:rPr>
          <w:sz w:val="20"/>
          <w:szCs w:val="20"/>
        </w:rPr>
        <w:t>SDMetrics fidelity. Table I</w:t>
      </w:r>
      <w:r w:rsidR="008512D1">
        <w:rPr>
          <w:sz w:val="20"/>
          <w:szCs w:val="20"/>
        </w:rPr>
        <w:t>II</w:t>
      </w:r>
      <w:r w:rsidRPr="007E5715">
        <w:rPr>
          <w:sz w:val="20"/>
          <w:szCs w:val="20"/>
        </w:rPr>
        <w:t xml:space="preserve"> summarizes SDMetrics Quality Report scores, decomposed into the overall score and two component properties, Column Shapes and Column Pair Trends. CTGAN achieves the highest overall SDMetrics score on both datasets, Gaussian Copula is second, and TabDDPM is third. The component breakdown indicates that CTGAN's advantage is driven primarily by Column Shapes, while </w:t>
      </w:r>
      <w:proofErr w:type="spellStart"/>
      <w:r w:rsidRPr="007E5715">
        <w:rPr>
          <w:sz w:val="20"/>
          <w:szCs w:val="20"/>
        </w:rPr>
        <w:t>TabDDPM's</w:t>
      </w:r>
      <w:proofErr w:type="spellEnd"/>
      <w:r w:rsidRPr="007E5715">
        <w:rPr>
          <w:sz w:val="20"/>
          <w:szCs w:val="20"/>
        </w:rPr>
        <w:t xml:space="preserve"> lower overall score is driven primarily by Column Pair Trends.</w:t>
      </w:r>
    </w:p>
    <w:p w14:paraId="406A1ADE" w14:textId="77777777" w:rsidR="00A151D0" w:rsidRDefault="00A151D0" w:rsidP="00D71F27">
      <w:pPr>
        <w:jc w:val="both"/>
        <w:rPr>
          <w:sz w:val="20"/>
          <w:szCs w:val="20"/>
        </w:rPr>
      </w:pPr>
    </w:p>
    <w:p w14:paraId="22B23320" w14:textId="2D9CB54E" w:rsidR="00A151D0" w:rsidRPr="001631E6" w:rsidRDefault="007E5715" w:rsidP="00D71F27">
      <w:pPr>
        <w:jc w:val="both"/>
        <w:rPr>
          <w:sz w:val="18"/>
          <w:szCs w:val="18"/>
        </w:rPr>
      </w:pPr>
      <w:r w:rsidRPr="007E5715">
        <w:rPr>
          <w:b/>
          <w:bCs/>
          <w:sz w:val="18"/>
          <w:szCs w:val="18"/>
        </w:rPr>
        <w:t>TABLE I</w:t>
      </w:r>
      <w:r w:rsidR="00ED51EC">
        <w:rPr>
          <w:b/>
          <w:bCs/>
          <w:sz w:val="18"/>
          <w:szCs w:val="18"/>
        </w:rPr>
        <w:t>II</w:t>
      </w:r>
      <w:r w:rsidR="001631E6">
        <w:rPr>
          <w:b/>
          <w:bCs/>
          <w:sz w:val="18"/>
          <w:szCs w:val="18"/>
        </w:rPr>
        <w:t xml:space="preserve">: </w:t>
      </w:r>
      <w:r w:rsidR="001631E6" w:rsidRPr="001631E6">
        <w:rPr>
          <w:sz w:val="18"/>
          <w:szCs w:val="18"/>
        </w:rPr>
        <w:t>SDMetrics</w:t>
      </w:r>
      <w:r w:rsidR="001631E6" w:rsidRPr="001631E6">
        <w:rPr>
          <w:b/>
          <w:bCs/>
          <w:sz w:val="18"/>
          <w:szCs w:val="18"/>
        </w:rPr>
        <w:t xml:space="preserve"> </w:t>
      </w:r>
      <w:r w:rsidR="001631E6" w:rsidRPr="001631E6">
        <w:rPr>
          <w:sz w:val="18"/>
          <w:szCs w:val="18"/>
        </w:rPr>
        <w:t>Quality Report</w:t>
      </w:r>
    </w:p>
    <w:tbl>
      <w:tblPr>
        <w:tblStyle w:val="TableGrid"/>
        <w:tblW w:w="0" w:type="auto"/>
        <w:jc w:val="center"/>
        <w:tblLook w:val="04A0" w:firstRow="1" w:lastRow="0" w:firstColumn="1" w:lastColumn="0" w:noHBand="0" w:noVBand="1"/>
      </w:tblPr>
      <w:tblGrid>
        <w:gridCol w:w="1525"/>
        <w:gridCol w:w="1256"/>
        <w:gridCol w:w="861"/>
        <w:gridCol w:w="1168"/>
      </w:tblGrid>
      <w:tr w:rsidR="007E5715" w14:paraId="4138244A" w14:textId="77777777" w:rsidTr="00F72289">
        <w:trPr>
          <w:jc w:val="center"/>
        </w:trPr>
        <w:tc>
          <w:tcPr>
            <w:tcW w:w="1525" w:type="dxa"/>
          </w:tcPr>
          <w:p w14:paraId="5AAAEF34" w14:textId="77777777" w:rsidR="007E5715" w:rsidRPr="00D71F27" w:rsidRDefault="007E5715" w:rsidP="00F72289">
            <w:pPr>
              <w:jc w:val="center"/>
              <w:rPr>
                <w:rFonts w:ascii="Times New Roman" w:hAnsi="Times New Roman" w:cs="Times New Roman"/>
                <w:b/>
                <w:bCs/>
                <w:sz w:val="18"/>
                <w:szCs w:val="18"/>
              </w:rPr>
            </w:pPr>
            <w:r w:rsidRPr="00D71F27">
              <w:rPr>
                <w:rFonts w:ascii="Times New Roman" w:hAnsi="Times New Roman" w:cs="Times New Roman"/>
                <w:b/>
                <w:bCs/>
                <w:sz w:val="18"/>
                <w:szCs w:val="18"/>
              </w:rPr>
              <w:t>Dataset/</w:t>
            </w:r>
          </w:p>
          <w:p w14:paraId="6AA79420" w14:textId="77777777" w:rsidR="007E5715" w:rsidRPr="00D71F27" w:rsidRDefault="007E5715" w:rsidP="00F72289">
            <w:pPr>
              <w:jc w:val="center"/>
              <w:rPr>
                <w:rFonts w:ascii="Times New Roman" w:hAnsi="Times New Roman" w:cs="Times New Roman"/>
                <w:b/>
                <w:bCs/>
                <w:sz w:val="18"/>
                <w:szCs w:val="18"/>
              </w:rPr>
            </w:pPr>
            <w:r w:rsidRPr="00D71F27">
              <w:rPr>
                <w:rFonts w:ascii="Times New Roman" w:hAnsi="Times New Roman" w:cs="Times New Roman"/>
                <w:b/>
                <w:bCs/>
                <w:sz w:val="18"/>
                <w:szCs w:val="18"/>
              </w:rPr>
              <w:t>Synthesizer</w:t>
            </w:r>
          </w:p>
        </w:tc>
        <w:tc>
          <w:tcPr>
            <w:tcW w:w="1256" w:type="dxa"/>
          </w:tcPr>
          <w:p w14:paraId="39EA8197" w14:textId="77777777" w:rsidR="007E5715" w:rsidRPr="00D71F27" w:rsidRDefault="007E5715" w:rsidP="00F72289">
            <w:pPr>
              <w:jc w:val="center"/>
              <w:rPr>
                <w:rFonts w:ascii="Times New Roman" w:hAnsi="Times New Roman" w:cs="Times New Roman"/>
                <w:b/>
                <w:bCs/>
                <w:sz w:val="18"/>
                <w:szCs w:val="18"/>
              </w:rPr>
            </w:pPr>
            <w:r w:rsidRPr="00D71F27">
              <w:rPr>
                <w:rFonts w:ascii="Times New Roman" w:hAnsi="Times New Roman" w:cs="Times New Roman"/>
                <w:b/>
                <w:bCs/>
                <w:sz w:val="18"/>
                <w:szCs w:val="18"/>
              </w:rPr>
              <w:t>Overall</w:t>
            </w:r>
          </w:p>
        </w:tc>
        <w:tc>
          <w:tcPr>
            <w:tcW w:w="861" w:type="dxa"/>
          </w:tcPr>
          <w:p w14:paraId="747A6242" w14:textId="77777777" w:rsidR="007E5715" w:rsidRPr="00D71F27" w:rsidRDefault="007E5715" w:rsidP="00F72289">
            <w:pPr>
              <w:jc w:val="center"/>
              <w:rPr>
                <w:rFonts w:ascii="Times New Roman" w:hAnsi="Times New Roman" w:cs="Times New Roman"/>
                <w:b/>
                <w:bCs/>
                <w:sz w:val="18"/>
                <w:szCs w:val="18"/>
              </w:rPr>
            </w:pPr>
            <w:r w:rsidRPr="00D71F27">
              <w:rPr>
                <w:rFonts w:ascii="Times New Roman" w:hAnsi="Times New Roman" w:cs="Times New Roman"/>
                <w:b/>
                <w:bCs/>
                <w:sz w:val="18"/>
                <w:szCs w:val="18"/>
              </w:rPr>
              <w:t>Column Shapes</w:t>
            </w:r>
          </w:p>
        </w:tc>
        <w:tc>
          <w:tcPr>
            <w:tcW w:w="1168" w:type="dxa"/>
          </w:tcPr>
          <w:p w14:paraId="1618671B" w14:textId="77777777" w:rsidR="007E5715" w:rsidRPr="00D71F27" w:rsidRDefault="007E5715" w:rsidP="00F72289">
            <w:pPr>
              <w:jc w:val="center"/>
              <w:rPr>
                <w:rFonts w:ascii="Times New Roman" w:hAnsi="Times New Roman" w:cs="Times New Roman"/>
                <w:b/>
                <w:bCs/>
                <w:sz w:val="18"/>
                <w:szCs w:val="18"/>
              </w:rPr>
            </w:pPr>
            <w:r w:rsidRPr="00D71F27">
              <w:rPr>
                <w:rFonts w:ascii="Times New Roman" w:hAnsi="Times New Roman" w:cs="Times New Roman"/>
                <w:b/>
                <w:bCs/>
                <w:sz w:val="18"/>
                <w:szCs w:val="18"/>
              </w:rPr>
              <w:t>Column Pair Trends</w:t>
            </w:r>
          </w:p>
        </w:tc>
      </w:tr>
      <w:tr w:rsidR="007E5715" w14:paraId="2411CE13" w14:textId="77777777" w:rsidTr="00F72289">
        <w:trPr>
          <w:jc w:val="center"/>
        </w:trPr>
        <w:tc>
          <w:tcPr>
            <w:tcW w:w="1525" w:type="dxa"/>
          </w:tcPr>
          <w:p w14:paraId="21D50E8A"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 xml:space="preserve">OULAD </w:t>
            </w:r>
            <w:r>
              <w:rPr>
                <w:rFonts w:ascii="Times New Roman" w:hAnsi="Times New Roman" w:cs="Times New Roman"/>
                <w:sz w:val="18"/>
                <w:szCs w:val="18"/>
              </w:rPr>
              <w:t>-</w:t>
            </w:r>
            <w:r w:rsidRPr="00D71F27">
              <w:rPr>
                <w:rFonts w:ascii="Times New Roman" w:hAnsi="Times New Roman" w:cs="Times New Roman"/>
                <w:sz w:val="18"/>
                <w:szCs w:val="18"/>
              </w:rPr>
              <w:t xml:space="preserve"> Gaussian</w:t>
            </w:r>
            <w:r>
              <w:rPr>
                <w:rFonts w:ascii="Times New Roman" w:hAnsi="Times New Roman" w:cs="Times New Roman"/>
                <w:sz w:val="18"/>
                <w:szCs w:val="18"/>
              </w:rPr>
              <w:t xml:space="preserve"> </w:t>
            </w:r>
            <w:r w:rsidRPr="00D71F27">
              <w:rPr>
                <w:rFonts w:ascii="Times New Roman" w:hAnsi="Times New Roman" w:cs="Times New Roman"/>
                <w:sz w:val="18"/>
                <w:szCs w:val="18"/>
              </w:rPr>
              <w:t>Copula</w:t>
            </w:r>
          </w:p>
        </w:tc>
        <w:tc>
          <w:tcPr>
            <w:tcW w:w="1256" w:type="dxa"/>
          </w:tcPr>
          <w:p w14:paraId="059B8DF1"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0.856 ± 0.008</w:t>
            </w:r>
          </w:p>
        </w:tc>
        <w:tc>
          <w:tcPr>
            <w:tcW w:w="861" w:type="dxa"/>
          </w:tcPr>
          <w:p w14:paraId="3BA106CE"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0.869</w:t>
            </w:r>
          </w:p>
        </w:tc>
        <w:tc>
          <w:tcPr>
            <w:tcW w:w="1168" w:type="dxa"/>
          </w:tcPr>
          <w:p w14:paraId="2B8EE5C7"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0.844</w:t>
            </w:r>
          </w:p>
        </w:tc>
      </w:tr>
      <w:tr w:rsidR="007E5715" w14:paraId="771C1D49" w14:textId="77777777" w:rsidTr="00F72289">
        <w:trPr>
          <w:jc w:val="center"/>
        </w:trPr>
        <w:tc>
          <w:tcPr>
            <w:tcW w:w="1525" w:type="dxa"/>
          </w:tcPr>
          <w:p w14:paraId="5A1B6D04"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OULAD - CTGAN</w:t>
            </w:r>
          </w:p>
        </w:tc>
        <w:tc>
          <w:tcPr>
            <w:tcW w:w="1256" w:type="dxa"/>
          </w:tcPr>
          <w:p w14:paraId="6932228B"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b/>
                <w:sz w:val="18"/>
                <w:szCs w:val="18"/>
              </w:rPr>
              <w:t>0.879 ± 0.012</w:t>
            </w:r>
          </w:p>
        </w:tc>
        <w:tc>
          <w:tcPr>
            <w:tcW w:w="861" w:type="dxa"/>
          </w:tcPr>
          <w:p w14:paraId="43642482"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0.914</w:t>
            </w:r>
          </w:p>
        </w:tc>
        <w:tc>
          <w:tcPr>
            <w:tcW w:w="1168" w:type="dxa"/>
          </w:tcPr>
          <w:p w14:paraId="73D96C49"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0.845</w:t>
            </w:r>
          </w:p>
        </w:tc>
      </w:tr>
      <w:tr w:rsidR="007E5715" w14:paraId="79AA8931" w14:textId="77777777" w:rsidTr="00F72289">
        <w:trPr>
          <w:jc w:val="center"/>
        </w:trPr>
        <w:tc>
          <w:tcPr>
            <w:tcW w:w="1525" w:type="dxa"/>
          </w:tcPr>
          <w:p w14:paraId="0C9C6199"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OULAD - TabDDPM</w:t>
            </w:r>
          </w:p>
        </w:tc>
        <w:tc>
          <w:tcPr>
            <w:tcW w:w="1256" w:type="dxa"/>
          </w:tcPr>
          <w:p w14:paraId="6658E998"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0.812 ± 0.015</w:t>
            </w:r>
          </w:p>
        </w:tc>
        <w:tc>
          <w:tcPr>
            <w:tcW w:w="861" w:type="dxa"/>
          </w:tcPr>
          <w:p w14:paraId="7C066334"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0.820</w:t>
            </w:r>
          </w:p>
        </w:tc>
        <w:tc>
          <w:tcPr>
            <w:tcW w:w="1168" w:type="dxa"/>
          </w:tcPr>
          <w:p w14:paraId="1C18ACD1"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0.804</w:t>
            </w:r>
          </w:p>
        </w:tc>
      </w:tr>
      <w:tr w:rsidR="007E5715" w14:paraId="42633409" w14:textId="77777777" w:rsidTr="00F72289">
        <w:trPr>
          <w:jc w:val="center"/>
        </w:trPr>
        <w:tc>
          <w:tcPr>
            <w:tcW w:w="1525" w:type="dxa"/>
          </w:tcPr>
          <w:p w14:paraId="1E5E10A4"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ASSISTments – Gaussian</w:t>
            </w:r>
            <w:r>
              <w:rPr>
                <w:rFonts w:ascii="Times New Roman" w:hAnsi="Times New Roman" w:cs="Times New Roman"/>
                <w:sz w:val="18"/>
                <w:szCs w:val="18"/>
              </w:rPr>
              <w:t xml:space="preserve"> </w:t>
            </w:r>
            <w:r w:rsidRPr="00D71F27">
              <w:rPr>
                <w:rFonts w:ascii="Times New Roman" w:hAnsi="Times New Roman" w:cs="Times New Roman"/>
                <w:sz w:val="18"/>
                <w:szCs w:val="18"/>
              </w:rPr>
              <w:t>Copula</w:t>
            </w:r>
          </w:p>
        </w:tc>
        <w:tc>
          <w:tcPr>
            <w:tcW w:w="1256" w:type="dxa"/>
          </w:tcPr>
          <w:p w14:paraId="19B13687"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0.864 ± 0.009</w:t>
            </w:r>
          </w:p>
        </w:tc>
        <w:tc>
          <w:tcPr>
            <w:tcW w:w="861" w:type="dxa"/>
          </w:tcPr>
          <w:p w14:paraId="3E858F71"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0.847</w:t>
            </w:r>
          </w:p>
        </w:tc>
        <w:tc>
          <w:tcPr>
            <w:tcW w:w="1168" w:type="dxa"/>
          </w:tcPr>
          <w:p w14:paraId="24DCB6F2"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0.880</w:t>
            </w:r>
          </w:p>
        </w:tc>
      </w:tr>
      <w:tr w:rsidR="007E5715" w14:paraId="0CB1EB1A" w14:textId="77777777" w:rsidTr="00F72289">
        <w:trPr>
          <w:jc w:val="center"/>
        </w:trPr>
        <w:tc>
          <w:tcPr>
            <w:tcW w:w="1525" w:type="dxa"/>
          </w:tcPr>
          <w:p w14:paraId="72D01A1A"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ASSISTments - CTGAN</w:t>
            </w:r>
          </w:p>
        </w:tc>
        <w:tc>
          <w:tcPr>
            <w:tcW w:w="1256" w:type="dxa"/>
          </w:tcPr>
          <w:p w14:paraId="348659AC"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b/>
                <w:sz w:val="18"/>
                <w:szCs w:val="18"/>
              </w:rPr>
              <w:t>0.876 ± 0.011</w:t>
            </w:r>
          </w:p>
        </w:tc>
        <w:tc>
          <w:tcPr>
            <w:tcW w:w="861" w:type="dxa"/>
          </w:tcPr>
          <w:p w14:paraId="212AE9A3"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0.876</w:t>
            </w:r>
          </w:p>
        </w:tc>
        <w:tc>
          <w:tcPr>
            <w:tcW w:w="1168" w:type="dxa"/>
          </w:tcPr>
          <w:p w14:paraId="0651D701"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0.876</w:t>
            </w:r>
          </w:p>
        </w:tc>
      </w:tr>
      <w:tr w:rsidR="007E5715" w14:paraId="0B1D8A37" w14:textId="77777777" w:rsidTr="00F72289">
        <w:trPr>
          <w:jc w:val="center"/>
        </w:trPr>
        <w:tc>
          <w:tcPr>
            <w:tcW w:w="1525" w:type="dxa"/>
          </w:tcPr>
          <w:p w14:paraId="2094FE98"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ASSISTments - TabDDPM</w:t>
            </w:r>
          </w:p>
        </w:tc>
        <w:tc>
          <w:tcPr>
            <w:tcW w:w="1256" w:type="dxa"/>
          </w:tcPr>
          <w:p w14:paraId="0EF7BEE6"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0.769 ± 0.018</w:t>
            </w:r>
          </w:p>
        </w:tc>
        <w:tc>
          <w:tcPr>
            <w:tcW w:w="861" w:type="dxa"/>
          </w:tcPr>
          <w:p w14:paraId="51634170"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0.713</w:t>
            </w:r>
          </w:p>
        </w:tc>
        <w:tc>
          <w:tcPr>
            <w:tcW w:w="1168" w:type="dxa"/>
          </w:tcPr>
          <w:p w14:paraId="67D25541" w14:textId="77777777" w:rsidR="007E5715" w:rsidRPr="00D71F27" w:rsidRDefault="007E5715" w:rsidP="00F72289">
            <w:pPr>
              <w:rPr>
                <w:rFonts w:ascii="Times New Roman" w:hAnsi="Times New Roman" w:cs="Times New Roman"/>
                <w:sz w:val="18"/>
                <w:szCs w:val="18"/>
              </w:rPr>
            </w:pPr>
            <w:r w:rsidRPr="00D71F27">
              <w:rPr>
                <w:rFonts w:ascii="Times New Roman" w:hAnsi="Times New Roman" w:cs="Times New Roman"/>
                <w:sz w:val="18"/>
                <w:szCs w:val="18"/>
              </w:rPr>
              <w:t>0.825</w:t>
            </w:r>
          </w:p>
        </w:tc>
      </w:tr>
    </w:tbl>
    <w:p w14:paraId="67F5D5A7" w14:textId="77777777" w:rsidR="00A151D0" w:rsidRDefault="00A151D0" w:rsidP="00D71F27">
      <w:pPr>
        <w:jc w:val="both"/>
        <w:rPr>
          <w:sz w:val="20"/>
          <w:szCs w:val="20"/>
        </w:rPr>
      </w:pPr>
    </w:p>
    <w:p w14:paraId="23A6A486" w14:textId="77777777" w:rsidR="00A151D0" w:rsidRDefault="00A151D0" w:rsidP="00D71F27">
      <w:pPr>
        <w:jc w:val="both"/>
        <w:rPr>
          <w:sz w:val="20"/>
          <w:szCs w:val="20"/>
        </w:rPr>
      </w:pPr>
    </w:p>
    <w:p w14:paraId="3A029DBD" w14:textId="60510008" w:rsidR="00A151D0" w:rsidRDefault="007E5715" w:rsidP="00D71F27">
      <w:pPr>
        <w:jc w:val="both"/>
        <w:rPr>
          <w:sz w:val="20"/>
          <w:szCs w:val="20"/>
        </w:rPr>
      </w:pPr>
      <w:r w:rsidRPr="007E5715">
        <w:rPr>
          <w:sz w:val="20"/>
          <w:szCs w:val="20"/>
        </w:rPr>
        <w:t>The SDMetrics results are consistent across both datasets, with CTGAN achieving the highest overall statistical quality, Gaussian Copula second, and TabDDPM third.</w:t>
      </w:r>
    </w:p>
    <w:p w14:paraId="332B9A52" w14:textId="77777777" w:rsidR="00A151D0" w:rsidRDefault="00A151D0" w:rsidP="00D71F27">
      <w:pPr>
        <w:jc w:val="both"/>
        <w:rPr>
          <w:sz w:val="20"/>
          <w:szCs w:val="20"/>
        </w:rPr>
      </w:pPr>
    </w:p>
    <w:p w14:paraId="6E58E1D8" w14:textId="77777777" w:rsidR="00A151D0" w:rsidRDefault="00A151D0" w:rsidP="00D71F27">
      <w:pPr>
        <w:jc w:val="both"/>
        <w:rPr>
          <w:sz w:val="20"/>
          <w:szCs w:val="20"/>
        </w:rPr>
      </w:pPr>
    </w:p>
    <w:p w14:paraId="44943F91" w14:textId="46F6831B" w:rsidR="007E5715" w:rsidRDefault="00180F61" w:rsidP="007E5715">
      <w:pPr>
        <w:jc w:val="both"/>
        <w:rPr>
          <w:b/>
          <w:bCs/>
          <w:sz w:val="20"/>
          <w:szCs w:val="20"/>
        </w:rPr>
      </w:pPr>
      <w:r>
        <w:rPr>
          <w:noProof/>
        </w:rPr>
        <w:drawing>
          <wp:inline distT="0" distB="0" distL="0" distR="0" wp14:anchorId="5EE67293" wp14:editId="253076ED">
            <wp:extent cx="3060700" cy="2277110"/>
            <wp:effectExtent l="0" t="0" r="6350" b="8890"/>
            <wp:docPr id="5103714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065767DC" w14:textId="77777777" w:rsidR="007E5715" w:rsidRDefault="007E5715" w:rsidP="007E5715">
      <w:pPr>
        <w:jc w:val="both"/>
        <w:rPr>
          <w:b/>
          <w:bCs/>
          <w:sz w:val="20"/>
          <w:szCs w:val="20"/>
        </w:rPr>
      </w:pPr>
    </w:p>
    <w:p w14:paraId="62380FA7" w14:textId="57DEB3A6" w:rsidR="007E5715" w:rsidRPr="00224DC9" w:rsidRDefault="007E5715" w:rsidP="007E5715">
      <w:pPr>
        <w:rPr>
          <w:iCs/>
          <w:sz w:val="16"/>
          <w:szCs w:val="16"/>
        </w:rPr>
      </w:pPr>
      <w:r w:rsidRPr="000022A3">
        <w:rPr>
          <w:b/>
          <w:bCs/>
          <w:sz w:val="16"/>
          <w:szCs w:val="16"/>
        </w:rPr>
        <w:t xml:space="preserve">Fig. </w:t>
      </w:r>
      <w:r>
        <w:rPr>
          <w:b/>
          <w:bCs/>
          <w:sz w:val="16"/>
          <w:szCs w:val="16"/>
        </w:rPr>
        <w:t>6</w:t>
      </w:r>
      <w:r w:rsidRPr="000022A3">
        <w:rPr>
          <w:b/>
          <w:bCs/>
          <w:sz w:val="16"/>
          <w:szCs w:val="16"/>
        </w:rPr>
        <w:t xml:space="preserve">. </w:t>
      </w:r>
      <w:r w:rsidR="00F7290D" w:rsidRPr="00F7290D">
        <w:rPr>
          <w:iCs/>
          <w:sz w:val="16"/>
          <w:szCs w:val="16"/>
        </w:rPr>
        <w:t>Statistical fidelity (SDMetrics). SDMetrics quality scores for each synthesizer on OULAD and ASSISTments</w:t>
      </w:r>
      <w:r>
        <w:rPr>
          <w:iCs/>
          <w:sz w:val="16"/>
          <w:szCs w:val="16"/>
        </w:rPr>
        <w:t>.</w:t>
      </w:r>
    </w:p>
    <w:p w14:paraId="5625568C" w14:textId="77777777" w:rsidR="00A151D0" w:rsidRDefault="00A151D0" w:rsidP="00D71F27">
      <w:pPr>
        <w:jc w:val="both"/>
        <w:rPr>
          <w:sz w:val="20"/>
          <w:szCs w:val="20"/>
        </w:rPr>
      </w:pPr>
    </w:p>
    <w:p w14:paraId="5503ECC1" w14:textId="1F2C0856" w:rsidR="007E5715" w:rsidRDefault="007E5715" w:rsidP="007E5715">
      <w:pPr>
        <w:jc w:val="both"/>
        <w:rPr>
          <w:sz w:val="20"/>
          <w:szCs w:val="20"/>
        </w:rPr>
      </w:pPr>
      <w:r w:rsidRPr="007E5715">
        <w:rPr>
          <w:sz w:val="20"/>
          <w:szCs w:val="20"/>
        </w:rPr>
        <w:t>C2ST realism. Table I</w:t>
      </w:r>
      <w:r w:rsidR="008512D1">
        <w:rPr>
          <w:sz w:val="20"/>
          <w:szCs w:val="20"/>
        </w:rPr>
        <w:t>V</w:t>
      </w:r>
      <w:r w:rsidRPr="007E5715">
        <w:rPr>
          <w:sz w:val="20"/>
          <w:szCs w:val="20"/>
        </w:rPr>
        <w:t xml:space="preserve"> reports classifier two-sample test (C2ST) results. Lower C2ST AUC indicates that a discriminative model has more difficulty separating real from synthetic samples under the chosen classifier and representation. In these experiments, Gaussian Copula yields the lowest C2ST AUC on both datasets, CTGAN is intermediate, and TabDDPM is highest. This ranking differs </w:t>
      </w:r>
      <w:r w:rsidRPr="007E5715">
        <w:rPr>
          <w:sz w:val="20"/>
          <w:szCs w:val="20"/>
        </w:rPr>
        <w:lastRenderedPageBreak/>
        <w:t>from downstream utility, indicating that sample-level indistinguishability under C2ST does not necessarily imply better task transfer.</w:t>
      </w:r>
    </w:p>
    <w:p w14:paraId="774899A7" w14:textId="77777777" w:rsidR="007E5715" w:rsidRDefault="007E5715" w:rsidP="007E5715">
      <w:pPr>
        <w:jc w:val="both"/>
        <w:rPr>
          <w:sz w:val="20"/>
          <w:szCs w:val="20"/>
        </w:rPr>
      </w:pPr>
    </w:p>
    <w:p w14:paraId="1DF57DAB" w14:textId="2B3B70B0" w:rsidR="007E5715" w:rsidRPr="00CA7CFE" w:rsidRDefault="007E5715" w:rsidP="007E5715">
      <w:pPr>
        <w:rPr>
          <w:bCs/>
          <w:sz w:val="18"/>
          <w:szCs w:val="18"/>
        </w:rPr>
      </w:pPr>
      <w:r w:rsidRPr="00CA7CFE">
        <w:rPr>
          <w:b/>
          <w:sz w:val="18"/>
          <w:szCs w:val="18"/>
        </w:rPr>
        <w:t>TABLE I</w:t>
      </w:r>
      <w:r w:rsidR="00ED51EC">
        <w:rPr>
          <w:b/>
          <w:sz w:val="18"/>
          <w:szCs w:val="18"/>
        </w:rPr>
        <w:t>V</w:t>
      </w:r>
      <w:r w:rsidRPr="00CA7CFE">
        <w:rPr>
          <w:b/>
          <w:sz w:val="18"/>
          <w:szCs w:val="18"/>
        </w:rPr>
        <w:t xml:space="preserve">: </w:t>
      </w:r>
      <w:r w:rsidRPr="00CA7CFE">
        <w:rPr>
          <w:bCs/>
          <w:sz w:val="18"/>
          <w:szCs w:val="18"/>
        </w:rPr>
        <w:t xml:space="preserve">C2ST </w:t>
      </w:r>
      <w:r>
        <w:rPr>
          <w:bCs/>
          <w:sz w:val="18"/>
          <w:szCs w:val="18"/>
        </w:rPr>
        <w:t>and</w:t>
      </w:r>
      <w:r w:rsidRPr="00CA7CFE">
        <w:rPr>
          <w:bCs/>
          <w:sz w:val="18"/>
          <w:szCs w:val="18"/>
        </w:rPr>
        <w:t xml:space="preserve"> MIA </w:t>
      </w:r>
      <w:r>
        <w:rPr>
          <w:bCs/>
          <w:sz w:val="18"/>
          <w:szCs w:val="18"/>
        </w:rPr>
        <w:t>Results</w:t>
      </w:r>
      <w:r w:rsidRPr="00CA7CFE">
        <w:rPr>
          <w:bCs/>
          <w:sz w:val="18"/>
          <w:szCs w:val="18"/>
        </w:rPr>
        <w:t xml:space="preserve"> (MEAN ± SD)</w:t>
      </w:r>
    </w:p>
    <w:tbl>
      <w:tblPr>
        <w:tblStyle w:val="TableGrid"/>
        <w:tblW w:w="5125" w:type="dxa"/>
        <w:jc w:val="center"/>
        <w:tblLook w:val="04A0" w:firstRow="1" w:lastRow="0" w:firstColumn="1" w:lastColumn="0" w:noHBand="0" w:noVBand="1"/>
      </w:tblPr>
      <w:tblGrid>
        <w:gridCol w:w="1435"/>
        <w:gridCol w:w="850"/>
        <w:gridCol w:w="896"/>
        <w:gridCol w:w="897"/>
        <w:gridCol w:w="1047"/>
      </w:tblGrid>
      <w:tr w:rsidR="007E5715" w:rsidRPr="00CA7CFE" w14:paraId="3112E586" w14:textId="77777777" w:rsidTr="00F72289">
        <w:trPr>
          <w:jc w:val="center"/>
        </w:trPr>
        <w:tc>
          <w:tcPr>
            <w:tcW w:w="1435" w:type="dxa"/>
          </w:tcPr>
          <w:p w14:paraId="6DE2C1EA" w14:textId="77777777" w:rsidR="007E5715" w:rsidRDefault="007E5715" w:rsidP="00F72289">
            <w:pPr>
              <w:jc w:val="center"/>
              <w:rPr>
                <w:rFonts w:ascii="Times New Roman" w:hAnsi="Times New Roman" w:cs="Times New Roman"/>
                <w:b/>
                <w:bCs/>
                <w:sz w:val="18"/>
                <w:szCs w:val="18"/>
              </w:rPr>
            </w:pPr>
            <w:r w:rsidRPr="00CA7CFE">
              <w:rPr>
                <w:rFonts w:ascii="Times New Roman" w:hAnsi="Times New Roman" w:cs="Times New Roman"/>
                <w:b/>
                <w:bCs/>
                <w:sz w:val="18"/>
                <w:szCs w:val="18"/>
              </w:rPr>
              <w:t>Dataset/</w:t>
            </w:r>
          </w:p>
          <w:p w14:paraId="2F362213" w14:textId="77777777" w:rsidR="007E5715" w:rsidRPr="00CA7CFE" w:rsidRDefault="007E5715" w:rsidP="00F72289">
            <w:pPr>
              <w:jc w:val="center"/>
              <w:rPr>
                <w:rFonts w:ascii="Times New Roman" w:hAnsi="Times New Roman" w:cs="Times New Roman"/>
                <w:b/>
                <w:bCs/>
                <w:sz w:val="18"/>
                <w:szCs w:val="18"/>
              </w:rPr>
            </w:pPr>
            <w:r w:rsidRPr="00CA7CFE">
              <w:rPr>
                <w:rFonts w:ascii="Times New Roman" w:hAnsi="Times New Roman" w:cs="Times New Roman"/>
                <w:b/>
                <w:bCs/>
                <w:sz w:val="18"/>
                <w:szCs w:val="18"/>
              </w:rPr>
              <w:t>Synthesizer</w:t>
            </w:r>
          </w:p>
        </w:tc>
        <w:tc>
          <w:tcPr>
            <w:tcW w:w="850" w:type="dxa"/>
          </w:tcPr>
          <w:p w14:paraId="4AC5F450" w14:textId="77777777" w:rsidR="007E5715" w:rsidRPr="00CA7CFE" w:rsidRDefault="007E5715" w:rsidP="00F72289">
            <w:pPr>
              <w:jc w:val="center"/>
              <w:rPr>
                <w:rFonts w:ascii="Times New Roman" w:hAnsi="Times New Roman" w:cs="Times New Roman"/>
                <w:b/>
                <w:bCs/>
                <w:sz w:val="18"/>
                <w:szCs w:val="18"/>
              </w:rPr>
            </w:pPr>
            <w:r w:rsidRPr="00CA7CFE">
              <w:rPr>
                <w:rFonts w:ascii="Times New Roman" w:hAnsi="Times New Roman" w:cs="Times New Roman"/>
                <w:b/>
                <w:bCs/>
                <w:sz w:val="18"/>
                <w:szCs w:val="18"/>
              </w:rPr>
              <w:t>C2ST AUC</w:t>
            </w:r>
          </w:p>
        </w:tc>
        <w:tc>
          <w:tcPr>
            <w:tcW w:w="896" w:type="dxa"/>
          </w:tcPr>
          <w:p w14:paraId="273A90DB" w14:textId="77777777" w:rsidR="007E5715" w:rsidRPr="00CA7CFE" w:rsidRDefault="007E5715" w:rsidP="00F72289">
            <w:pPr>
              <w:jc w:val="center"/>
              <w:rPr>
                <w:rFonts w:ascii="Times New Roman" w:hAnsi="Times New Roman" w:cs="Times New Roman"/>
                <w:b/>
                <w:bCs/>
                <w:sz w:val="18"/>
                <w:szCs w:val="18"/>
              </w:rPr>
            </w:pPr>
            <w:r w:rsidRPr="00CA7CFE">
              <w:rPr>
                <w:rFonts w:ascii="Times New Roman" w:hAnsi="Times New Roman" w:cs="Times New Roman"/>
                <w:b/>
                <w:bCs/>
                <w:sz w:val="18"/>
                <w:szCs w:val="18"/>
              </w:rPr>
              <w:t>Effective AUC</w:t>
            </w:r>
          </w:p>
        </w:tc>
        <w:tc>
          <w:tcPr>
            <w:tcW w:w="897" w:type="dxa"/>
          </w:tcPr>
          <w:p w14:paraId="0CD3FBB3" w14:textId="77777777" w:rsidR="007E5715" w:rsidRPr="00CA7CFE" w:rsidRDefault="007E5715" w:rsidP="00F72289">
            <w:pPr>
              <w:jc w:val="center"/>
              <w:rPr>
                <w:rFonts w:ascii="Times New Roman" w:hAnsi="Times New Roman" w:cs="Times New Roman"/>
                <w:b/>
                <w:bCs/>
                <w:sz w:val="18"/>
                <w:szCs w:val="18"/>
              </w:rPr>
            </w:pPr>
            <w:r w:rsidRPr="00CA7CFE">
              <w:rPr>
                <w:rFonts w:ascii="Times New Roman" w:hAnsi="Times New Roman" w:cs="Times New Roman"/>
                <w:b/>
                <w:bCs/>
                <w:sz w:val="18"/>
                <w:szCs w:val="18"/>
              </w:rPr>
              <w:t>MIA AUC</w:t>
            </w:r>
          </w:p>
        </w:tc>
        <w:tc>
          <w:tcPr>
            <w:tcW w:w="1047" w:type="dxa"/>
          </w:tcPr>
          <w:p w14:paraId="3B6BC936" w14:textId="77777777" w:rsidR="007E5715" w:rsidRPr="00CA7CFE" w:rsidRDefault="007E5715" w:rsidP="00F72289">
            <w:pPr>
              <w:jc w:val="center"/>
              <w:rPr>
                <w:rFonts w:ascii="Times New Roman" w:hAnsi="Times New Roman" w:cs="Times New Roman"/>
                <w:b/>
                <w:bCs/>
                <w:sz w:val="18"/>
                <w:szCs w:val="18"/>
              </w:rPr>
            </w:pPr>
            <w:r w:rsidRPr="00CA7CFE">
              <w:rPr>
                <w:rFonts w:ascii="Times New Roman" w:hAnsi="Times New Roman" w:cs="Times New Roman"/>
                <w:b/>
                <w:bCs/>
                <w:sz w:val="18"/>
                <w:szCs w:val="18"/>
              </w:rPr>
              <w:t>Attack Advantage</w:t>
            </w:r>
          </w:p>
        </w:tc>
      </w:tr>
      <w:tr w:rsidR="007E5715" w:rsidRPr="00CA7CFE" w14:paraId="7D6386C3" w14:textId="77777777" w:rsidTr="00F72289">
        <w:trPr>
          <w:jc w:val="center"/>
        </w:trPr>
        <w:tc>
          <w:tcPr>
            <w:tcW w:w="1435" w:type="dxa"/>
          </w:tcPr>
          <w:p w14:paraId="3CFC1567"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 xml:space="preserve">OULAD </w:t>
            </w:r>
            <w:r>
              <w:rPr>
                <w:rFonts w:ascii="Times New Roman" w:hAnsi="Times New Roman" w:cs="Times New Roman"/>
                <w:sz w:val="18"/>
                <w:szCs w:val="18"/>
              </w:rPr>
              <w:t>-</w:t>
            </w:r>
            <w:r w:rsidRPr="00CA7CFE">
              <w:rPr>
                <w:rFonts w:ascii="Times New Roman" w:hAnsi="Times New Roman" w:cs="Times New Roman"/>
                <w:sz w:val="18"/>
                <w:szCs w:val="18"/>
              </w:rPr>
              <w:t xml:space="preserve"> </w:t>
            </w:r>
            <w:r w:rsidRPr="00CA7CFE">
              <w:rPr>
                <w:rFonts w:ascii="Times New Roman" w:hAnsi="Times New Roman" w:cs="Times New Roman"/>
                <w:sz w:val="16"/>
                <w:szCs w:val="16"/>
              </w:rPr>
              <w:t>Gaussian Copula</w:t>
            </w:r>
          </w:p>
        </w:tc>
        <w:tc>
          <w:tcPr>
            <w:tcW w:w="850" w:type="dxa"/>
          </w:tcPr>
          <w:p w14:paraId="2DCDF473"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0.561 ± 0.023</w:t>
            </w:r>
          </w:p>
        </w:tc>
        <w:tc>
          <w:tcPr>
            <w:tcW w:w="896" w:type="dxa"/>
          </w:tcPr>
          <w:p w14:paraId="5127A60F"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0.061</w:t>
            </w:r>
          </w:p>
        </w:tc>
        <w:tc>
          <w:tcPr>
            <w:tcW w:w="897" w:type="dxa"/>
          </w:tcPr>
          <w:p w14:paraId="791A75D2"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0.504 ± 0.015</w:t>
            </w:r>
          </w:p>
        </w:tc>
        <w:tc>
          <w:tcPr>
            <w:tcW w:w="1047" w:type="dxa"/>
          </w:tcPr>
          <w:p w14:paraId="0726FA78"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0.004</w:t>
            </w:r>
          </w:p>
        </w:tc>
      </w:tr>
      <w:tr w:rsidR="007E5715" w:rsidRPr="00CA7CFE" w14:paraId="447A4DAF" w14:textId="77777777" w:rsidTr="00F72289">
        <w:trPr>
          <w:jc w:val="center"/>
        </w:trPr>
        <w:tc>
          <w:tcPr>
            <w:tcW w:w="1435" w:type="dxa"/>
          </w:tcPr>
          <w:p w14:paraId="6E35D761"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 xml:space="preserve">OULAD </w:t>
            </w:r>
            <w:r>
              <w:rPr>
                <w:rFonts w:ascii="Times New Roman" w:hAnsi="Times New Roman" w:cs="Times New Roman"/>
                <w:sz w:val="18"/>
                <w:szCs w:val="18"/>
              </w:rPr>
              <w:t>-</w:t>
            </w:r>
            <w:r w:rsidRPr="00CA7CFE">
              <w:rPr>
                <w:rFonts w:ascii="Times New Roman" w:hAnsi="Times New Roman" w:cs="Times New Roman"/>
                <w:sz w:val="18"/>
                <w:szCs w:val="18"/>
              </w:rPr>
              <w:t xml:space="preserve"> CTGAN</w:t>
            </w:r>
          </w:p>
        </w:tc>
        <w:tc>
          <w:tcPr>
            <w:tcW w:w="850" w:type="dxa"/>
          </w:tcPr>
          <w:p w14:paraId="22949DD9"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0.643 ± 0.031</w:t>
            </w:r>
          </w:p>
        </w:tc>
        <w:tc>
          <w:tcPr>
            <w:tcW w:w="896" w:type="dxa"/>
          </w:tcPr>
          <w:p w14:paraId="3A78602E"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0.143</w:t>
            </w:r>
          </w:p>
        </w:tc>
        <w:tc>
          <w:tcPr>
            <w:tcW w:w="897" w:type="dxa"/>
          </w:tcPr>
          <w:p w14:paraId="370E9017"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0.507 ± 0.018</w:t>
            </w:r>
          </w:p>
        </w:tc>
        <w:tc>
          <w:tcPr>
            <w:tcW w:w="1047" w:type="dxa"/>
          </w:tcPr>
          <w:p w14:paraId="44BA91DB"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0.007</w:t>
            </w:r>
          </w:p>
        </w:tc>
      </w:tr>
      <w:tr w:rsidR="007E5715" w:rsidRPr="00CA7CFE" w14:paraId="37FF341F" w14:textId="77777777" w:rsidTr="00F72289">
        <w:trPr>
          <w:jc w:val="center"/>
        </w:trPr>
        <w:tc>
          <w:tcPr>
            <w:tcW w:w="1435" w:type="dxa"/>
          </w:tcPr>
          <w:p w14:paraId="23030539"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 xml:space="preserve">OULAD </w:t>
            </w:r>
            <w:r>
              <w:rPr>
                <w:rFonts w:ascii="Times New Roman" w:hAnsi="Times New Roman" w:cs="Times New Roman"/>
                <w:sz w:val="18"/>
                <w:szCs w:val="18"/>
              </w:rPr>
              <w:t>-</w:t>
            </w:r>
            <w:r w:rsidRPr="00CA7CFE">
              <w:rPr>
                <w:rFonts w:ascii="Times New Roman" w:hAnsi="Times New Roman" w:cs="Times New Roman"/>
                <w:sz w:val="18"/>
                <w:szCs w:val="18"/>
              </w:rPr>
              <w:t xml:space="preserve"> TabDDPM</w:t>
            </w:r>
          </w:p>
        </w:tc>
        <w:tc>
          <w:tcPr>
            <w:tcW w:w="850" w:type="dxa"/>
          </w:tcPr>
          <w:p w14:paraId="45EC1C98"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0.689 ± 0.037</w:t>
            </w:r>
          </w:p>
        </w:tc>
        <w:tc>
          <w:tcPr>
            <w:tcW w:w="896" w:type="dxa"/>
          </w:tcPr>
          <w:p w14:paraId="0E11D89A"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0.189</w:t>
            </w:r>
          </w:p>
        </w:tc>
        <w:tc>
          <w:tcPr>
            <w:tcW w:w="897" w:type="dxa"/>
          </w:tcPr>
          <w:p w14:paraId="5DAF3634"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0.518 ± 0.022</w:t>
            </w:r>
          </w:p>
        </w:tc>
        <w:tc>
          <w:tcPr>
            <w:tcW w:w="1047" w:type="dxa"/>
          </w:tcPr>
          <w:p w14:paraId="25BF53D1"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0.018</w:t>
            </w:r>
          </w:p>
        </w:tc>
      </w:tr>
      <w:tr w:rsidR="007E5715" w:rsidRPr="00CA7CFE" w14:paraId="22AE5E37" w14:textId="77777777" w:rsidTr="00F72289">
        <w:trPr>
          <w:jc w:val="center"/>
        </w:trPr>
        <w:tc>
          <w:tcPr>
            <w:tcW w:w="1435" w:type="dxa"/>
          </w:tcPr>
          <w:p w14:paraId="547F4FC5"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 xml:space="preserve">ASSISTments </w:t>
            </w:r>
            <w:r>
              <w:rPr>
                <w:rFonts w:ascii="Times New Roman" w:hAnsi="Times New Roman" w:cs="Times New Roman"/>
                <w:sz w:val="18"/>
                <w:szCs w:val="18"/>
              </w:rPr>
              <w:t>-</w:t>
            </w:r>
            <w:r w:rsidRPr="00CA7CFE">
              <w:rPr>
                <w:rFonts w:ascii="Times New Roman" w:hAnsi="Times New Roman" w:cs="Times New Roman"/>
                <w:sz w:val="18"/>
                <w:szCs w:val="18"/>
              </w:rPr>
              <w:t xml:space="preserve"> </w:t>
            </w:r>
            <w:r w:rsidRPr="00CA7CFE">
              <w:rPr>
                <w:rFonts w:ascii="Times New Roman" w:hAnsi="Times New Roman" w:cs="Times New Roman"/>
                <w:sz w:val="16"/>
                <w:szCs w:val="16"/>
              </w:rPr>
              <w:t>Gaussian Copula</w:t>
            </w:r>
          </w:p>
        </w:tc>
        <w:tc>
          <w:tcPr>
            <w:tcW w:w="850" w:type="dxa"/>
          </w:tcPr>
          <w:p w14:paraId="33240F7C"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0.576 ± 0.019</w:t>
            </w:r>
          </w:p>
        </w:tc>
        <w:tc>
          <w:tcPr>
            <w:tcW w:w="896" w:type="dxa"/>
          </w:tcPr>
          <w:p w14:paraId="0972D680"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0.076</w:t>
            </w:r>
          </w:p>
        </w:tc>
        <w:tc>
          <w:tcPr>
            <w:tcW w:w="897" w:type="dxa"/>
          </w:tcPr>
          <w:p w14:paraId="159BA6CC"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0.509 ± 0.012</w:t>
            </w:r>
          </w:p>
        </w:tc>
        <w:tc>
          <w:tcPr>
            <w:tcW w:w="1047" w:type="dxa"/>
          </w:tcPr>
          <w:p w14:paraId="0F5A9FBA"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0.009</w:t>
            </w:r>
          </w:p>
        </w:tc>
      </w:tr>
      <w:tr w:rsidR="007E5715" w:rsidRPr="00CA7CFE" w14:paraId="60D50040" w14:textId="77777777" w:rsidTr="00F72289">
        <w:trPr>
          <w:jc w:val="center"/>
        </w:trPr>
        <w:tc>
          <w:tcPr>
            <w:tcW w:w="1435" w:type="dxa"/>
          </w:tcPr>
          <w:p w14:paraId="16612DF0"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 xml:space="preserve">ASSISTments </w:t>
            </w:r>
            <w:r>
              <w:rPr>
                <w:rFonts w:ascii="Times New Roman" w:hAnsi="Times New Roman" w:cs="Times New Roman"/>
                <w:sz w:val="18"/>
                <w:szCs w:val="18"/>
              </w:rPr>
              <w:t>-</w:t>
            </w:r>
            <w:r w:rsidRPr="00CA7CFE">
              <w:rPr>
                <w:rFonts w:ascii="Times New Roman" w:hAnsi="Times New Roman" w:cs="Times New Roman"/>
                <w:sz w:val="18"/>
                <w:szCs w:val="18"/>
              </w:rPr>
              <w:t xml:space="preserve"> CTGAN</w:t>
            </w:r>
          </w:p>
        </w:tc>
        <w:tc>
          <w:tcPr>
            <w:tcW w:w="850" w:type="dxa"/>
          </w:tcPr>
          <w:p w14:paraId="292C0E61"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0.651 ± 0.028</w:t>
            </w:r>
          </w:p>
        </w:tc>
        <w:tc>
          <w:tcPr>
            <w:tcW w:w="896" w:type="dxa"/>
          </w:tcPr>
          <w:p w14:paraId="1A306FF0"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0.151</w:t>
            </w:r>
          </w:p>
        </w:tc>
        <w:tc>
          <w:tcPr>
            <w:tcW w:w="897" w:type="dxa"/>
          </w:tcPr>
          <w:p w14:paraId="4F4315B7"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0.509 ± 0.016</w:t>
            </w:r>
          </w:p>
        </w:tc>
        <w:tc>
          <w:tcPr>
            <w:tcW w:w="1047" w:type="dxa"/>
          </w:tcPr>
          <w:p w14:paraId="5BA4EAEA"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0.009</w:t>
            </w:r>
          </w:p>
        </w:tc>
      </w:tr>
      <w:tr w:rsidR="007E5715" w:rsidRPr="00CA7CFE" w14:paraId="1FC9E185" w14:textId="77777777" w:rsidTr="00F72289">
        <w:trPr>
          <w:jc w:val="center"/>
        </w:trPr>
        <w:tc>
          <w:tcPr>
            <w:tcW w:w="1435" w:type="dxa"/>
          </w:tcPr>
          <w:p w14:paraId="66779102"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 xml:space="preserve">ASSISTments </w:t>
            </w:r>
            <w:r>
              <w:rPr>
                <w:rFonts w:ascii="Times New Roman" w:hAnsi="Times New Roman" w:cs="Times New Roman"/>
                <w:sz w:val="18"/>
                <w:szCs w:val="18"/>
              </w:rPr>
              <w:t>-</w:t>
            </w:r>
            <w:r w:rsidRPr="00CA7CFE">
              <w:rPr>
                <w:rFonts w:ascii="Times New Roman" w:hAnsi="Times New Roman" w:cs="Times New Roman"/>
                <w:sz w:val="18"/>
                <w:szCs w:val="18"/>
              </w:rPr>
              <w:t xml:space="preserve"> TabDDPM</w:t>
            </w:r>
          </w:p>
        </w:tc>
        <w:tc>
          <w:tcPr>
            <w:tcW w:w="850" w:type="dxa"/>
          </w:tcPr>
          <w:p w14:paraId="1402D9F0"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0.712 ± 0.041</w:t>
            </w:r>
          </w:p>
        </w:tc>
        <w:tc>
          <w:tcPr>
            <w:tcW w:w="896" w:type="dxa"/>
          </w:tcPr>
          <w:p w14:paraId="4C6F885B"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0.212</w:t>
            </w:r>
          </w:p>
        </w:tc>
        <w:tc>
          <w:tcPr>
            <w:tcW w:w="897" w:type="dxa"/>
          </w:tcPr>
          <w:p w14:paraId="6DCEDF6D"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0.515 ± 0.020</w:t>
            </w:r>
          </w:p>
        </w:tc>
        <w:tc>
          <w:tcPr>
            <w:tcW w:w="1047" w:type="dxa"/>
          </w:tcPr>
          <w:p w14:paraId="345E46AB" w14:textId="77777777" w:rsidR="007E5715" w:rsidRPr="00CA7CFE" w:rsidRDefault="007E5715" w:rsidP="00F72289">
            <w:pPr>
              <w:jc w:val="center"/>
              <w:rPr>
                <w:rFonts w:ascii="Times New Roman" w:hAnsi="Times New Roman" w:cs="Times New Roman"/>
                <w:sz w:val="18"/>
                <w:szCs w:val="18"/>
              </w:rPr>
            </w:pPr>
            <w:r w:rsidRPr="00CA7CFE">
              <w:rPr>
                <w:rFonts w:ascii="Times New Roman" w:hAnsi="Times New Roman" w:cs="Times New Roman"/>
                <w:sz w:val="18"/>
                <w:szCs w:val="18"/>
              </w:rPr>
              <w:t>0.015</w:t>
            </w:r>
          </w:p>
        </w:tc>
      </w:tr>
    </w:tbl>
    <w:p w14:paraId="1EDD652A" w14:textId="77777777" w:rsidR="007E5715" w:rsidRPr="00CA7CFE" w:rsidRDefault="007E5715" w:rsidP="007E5715">
      <w:pPr>
        <w:rPr>
          <w:sz w:val="18"/>
          <w:szCs w:val="18"/>
        </w:rPr>
      </w:pPr>
      <w:r w:rsidRPr="00CA7CFE">
        <w:rPr>
          <w:i/>
          <w:sz w:val="18"/>
          <w:szCs w:val="18"/>
        </w:rPr>
        <w:t>Note: Lower C2ST AUC and lower MIA AUC indicate better indistinguishability and privacy, respectively.</w:t>
      </w:r>
    </w:p>
    <w:p w14:paraId="01BE2F75" w14:textId="77777777" w:rsidR="007E5715" w:rsidRDefault="007E5715" w:rsidP="007E5715">
      <w:pPr>
        <w:jc w:val="both"/>
        <w:rPr>
          <w:sz w:val="20"/>
          <w:szCs w:val="20"/>
        </w:rPr>
      </w:pPr>
    </w:p>
    <w:p w14:paraId="48EA70E3" w14:textId="77777777" w:rsidR="007E5715" w:rsidRPr="007E5715" w:rsidRDefault="007E5715" w:rsidP="007E5715">
      <w:pPr>
        <w:jc w:val="both"/>
        <w:rPr>
          <w:sz w:val="20"/>
          <w:szCs w:val="20"/>
        </w:rPr>
      </w:pPr>
    </w:p>
    <w:p w14:paraId="53E14B20" w14:textId="77777777" w:rsidR="007E5715" w:rsidRDefault="007E5715" w:rsidP="00D71F27">
      <w:pPr>
        <w:jc w:val="both"/>
        <w:rPr>
          <w:sz w:val="20"/>
          <w:szCs w:val="20"/>
        </w:rPr>
      </w:pPr>
    </w:p>
    <w:p w14:paraId="4B7081F0" w14:textId="77777777" w:rsidR="007E5715" w:rsidRDefault="007E5715" w:rsidP="00D71F27">
      <w:pPr>
        <w:jc w:val="both"/>
        <w:rPr>
          <w:sz w:val="20"/>
          <w:szCs w:val="20"/>
        </w:rPr>
      </w:pPr>
    </w:p>
    <w:p w14:paraId="4945D13A" w14:textId="77777777" w:rsidR="007E5715" w:rsidRDefault="007E5715" w:rsidP="00D71F27">
      <w:pPr>
        <w:jc w:val="both"/>
        <w:rPr>
          <w:sz w:val="20"/>
          <w:szCs w:val="20"/>
        </w:rPr>
      </w:pPr>
    </w:p>
    <w:p w14:paraId="039E2199" w14:textId="76544CA5" w:rsidR="007E5715" w:rsidRPr="007E5715" w:rsidRDefault="007E5715" w:rsidP="007E5715">
      <w:pPr>
        <w:jc w:val="both"/>
        <w:rPr>
          <w:b/>
          <w:bCs/>
          <w:sz w:val="20"/>
          <w:szCs w:val="20"/>
        </w:rPr>
      </w:pPr>
      <w:proofErr w:type="gramStart"/>
      <w:r w:rsidRPr="007E5715">
        <w:rPr>
          <w:b/>
          <w:bCs/>
          <w:sz w:val="20"/>
          <w:szCs w:val="20"/>
        </w:rPr>
        <w:t>C. Privacy</w:t>
      </w:r>
      <w:proofErr w:type="gramEnd"/>
      <w:r w:rsidRPr="007E5715">
        <w:rPr>
          <w:b/>
          <w:bCs/>
          <w:sz w:val="20"/>
          <w:szCs w:val="20"/>
        </w:rPr>
        <w:t xml:space="preserve"> Risk Under Membership Inference</w:t>
      </w:r>
    </w:p>
    <w:p w14:paraId="27AB2B29" w14:textId="7BE26FA3" w:rsidR="007E5715" w:rsidRDefault="007E5715" w:rsidP="007E5715">
      <w:pPr>
        <w:jc w:val="both"/>
        <w:rPr>
          <w:sz w:val="20"/>
          <w:szCs w:val="20"/>
        </w:rPr>
      </w:pPr>
      <w:r w:rsidRPr="007E5715">
        <w:rPr>
          <w:sz w:val="20"/>
          <w:szCs w:val="20"/>
        </w:rPr>
        <w:t>Membership inference attack (MIA) results are summarized in Table I</w:t>
      </w:r>
      <w:r w:rsidR="001631E6">
        <w:rPr>
          <w:sz w:val="20"/>
          <w:szCs w:val="20"/>
        </w:rPr>
        <w:t>V</w:t>
      </w:r>
      <w:r w:rsidRPr="007E5715">
        <w:rPr>
          <w:sz w:val="20"/>
          <w:szCs w:val="20"/>
        </w:rPr>
        <w:t xml:space="preserve"> and Fig. 7. Across both datasets, MIA AUC values remain close to the ideal baseline of 0.5, indicating near chance-level membership prediction under the evaluated threat model.</w:t>
      </w:r>
    </w:p>
    <w:p w14:paraId="5B460E36" w14:textId="77777777" w:rsidR="007E5715" w:rsidRDefault="007E5715" w:rsidP="00D71F27">
      <w:pPr>
        <w:jc w:val="both"/>
        <w:rPr>
          <w:sz w:val="20"/>
          <w:szCs w:val="20"/>
        </w:rPr>
      </w:pPr>
    </w:p>
    <w:p w14:paraId="4B079C25" w14:textId="24B7F067" w:rsidR="007E5715" w:rsidRDefault="00180F61" w:rsidP="007E5715">
      <w:pPr>
        <w:jc w:val="both"/>
        <w:rPr>
          <w:b/>
          <w:bCs/>
          <w:sz w:val="20"/>
          <w:szCs w:val="20"/>
        </w:rPr>
      </w:pPr>
      <w:r>
        <w:rPr>
          <w:noProof/>
        </w:rPr>
        <w:drawing>
          <wp:inline distT="0" distB="0" distL="0" distR="0" wp14:anchorId="0B22801A" wp14:editId="38BC26FD">
            <wp:extent cx="3060700" cy="2277110"/>
            <wp:effectExtent l="0" t="0" r="6350" b="8890"/>
            <wp:docPr id="11525441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7DFE0BBB" w14:textId="5435D542" w:rsidR="007E5715" w:rsidRPr="00A46BEF" w:rsidRDefault="007E5715" w:rsidP="007E5715">
      <w:pPr>
        <w:jc w:val="both"/>
        <w:rPr>
          <w:iCs/>
          <w:sz w:val="16"/>
          <w:szCs w:val="16"/>
        </w:rPr>
      </w:pPr>
      <w:r w:rsidRPr="00A46BEF">
        <w:rPr>
          <w:b/>
          <w:bCs/>
          <w:sz w:val="16"/>
          <w:szCs w:val="16"/>
        </w:rPr>
        <w:t xml:space="preserve">Fig. 7. </w:t>
      </w:r>
      <w:r w:rsidR="00F7290D" w:rsidRPr="00F7290D">
        <w:rPr>
          <w:iCs/>
          <w:sz w:val="16"/>
          <w:szCs w:val="16"/>
        </w:rPr>
        <w:t>Membership inference attack (MIA) summary. Effective MIA AUC against each synthetic dataset for OULAD and ASSISTments. The dashed line indicates random guessing (0.5)</w:t>
      </w:r>
      <w:r w:rsidRPr="00A46BEF">
        <w:rPr>
          <w:iCs/>
          <w:sz w:val="16"/>
          <w:szCs w:val="16"/>
        </w:rPr>
        <w:t>.</w:t>
      </w:r>
    </w:p>
    <w:p w14:paraId="61E264A8" w14:textId="77777777" w:rsidR="007E5715" w:rsidRDefault="007E5715" w:rsidP="00D71F27">
      <w:pPr>
        <w:jc w:val="both"/>
        <w:rPr>
          <w:sz w:val="20"/>
          <w:szCs w:val="20"/>
        </w:rPr>
      </w:pPr>
    </w:p>
    <w:p w14:paraId="5BC894B6" w14:textId="08768570" w:rsidR="007E5715" w:rsidRDefault="007E5715" w:rsidP="00D71F27">
      <w:pPr>
        <w:jc w:val="both"/>
        <w:rPr>
          <w:sz w:val="20"/>
          <w:szCs w:val="20"/>
        </w:rPr>
      </w:pPr>
      <w:r w:rsidRPr="007E5715">
        <w:rPr>
          <w:sz w:val="20"/>
          <w:szCs w:val="20"/>
        </w:rPr>
        <w:t xml:space="preserve">Per-attacker breakdowns are provided in Figs. </w:t>
      </w:r>
      <w:r w:rsidR="008512D1">
        <w:rPr>
          <w:sz w:val="20"/>
          <w:szCs w:val="20"/>
        </w:rPr>
        <w:t>8</w:t>
      </w:r>
      <w:r w:rsidRPr="007E5715">
        <w:rPr>
          <w:sz w:val="20"/>
          <w:szCs w:val="20"/>
        </w:rPr>
        <w:t xml:space="preserve"> and </w:t>
      </w:r>
      <w:r w:rsidR="008512D1">
        <w:rPr>
          <w:sz w:val="20"/>
          <w:szCs w:val="20"/>
        </w:rPr>
        <w:t>9</w:t>
      </w:r>
      <w:r w:rsidRPr="007E5715">
        <w:rPr>
          <w:sz w:val="20"/>
          <w:szCs w:val="20"/>
        </w:rPr>
        <w:t xml:space="preserve"> for OULAD and ASSISTments, respectively. Together, they show that near chance behavior is consistent across attacker families rather than driven by a single attacker choice.</w:t>
      </w:r>
    </w:p>
    <w:p w14:paraId="0077F029" w14:textId="77777777" w:rsidR="007E5715" w:rsidRDefault="007E5715" w:rsidP="00D71F27">
      <w:pPr>
        <w:jc w:val="both"/>
        <w:rPr>
          <w:sz w:val="20"/>
          <w:szCs w:val="20"/>
        </w:rPr>
      </w:pPr>
    </w:p>
    <w:p w14:paraId="3AAD09B2" w14:textId="77777777" w:rsidR="007E5715" w:rsidRDefault="007E5715" w:rsidP="00D71F27">
      <w:pPr>
        <w:jc w:val="both"/>
        <w:rPr>
          <w:sz w:val="20"/>
          <w:szCs w:val="20"/>
        </w:rPr>
      </w:pPr>
    </w:p>
    <w:p w14:paraId="49772F5D" w14:textId="56F847C0" w:rsidR="007E5715" w:rsidRDefault="006C06EC" w:rsidP="007E5715">
      <w:pPr>
        <w:spacing w:after="120"/>
        <w:jc w:val="both"/>
        <w:rPr>
          <w:b/>
          <w:bCs/>
          <w:sz w:val="20"/>
          <w:szCs w:val="20"/>
        </w:rPr>
      </w:pPr>
      <w:r>
        <w:rPr>
          <w:noProof/>
        </w:rPr>
        <w:drawing>
          <wp:inline distT="0" distB="0" distL="0" distR="0" wp14:anchorId="2BADACB0" wp14:editId="032DCE13">
            <wp:extent cx="3060700" cy="2277110"/>
            <wp:effectExtent l="0" t="0" r="6350" b="8890"/>
            <wp:docPr id="19622630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7C60CCA9" w14:textId="2D7147B2" w:rsidR="007E5715" w:rsidRPr="00A46BEF" w:rsidRDefault="007E5715" w:rsidP="007E5715">
      <w:pPr>
        <w:spacing w:after="120"/>
        <w:jc w:val="both"/>
        <w:rPr>
          <w:b/>
          <w:bCs/>
          <w:iCs/>
          <w:sz w:val="16"/>
          <w:szCs w:val="16"/>
        </w:rPr>
      </w:pPr>
      <w:r w:rsidRPr="00A46BEF">
        <w:rPr>
          <w:b/>
          <w:bCs/>
          <w:sz w:val="16"/>
          <w:szCs w:val="16"/>
        </w:rPr>
        <w:t xml:space="preserve">Fig. </w:t>
      </w:r>
      <w:r w:rsidR="006557E0">
        <w:rPr>
          <w:b/>
          <w:bCs/>
          <w:sz w:val="16"/>
          <w:szCs w:val="16"/>
        </w:rPr>
        <w:t>8</w:t>
      </w:r>
      <w:r w:rsidRPr="00A46BEF">
        <w:rPr>
          <w:b/>
          <w:bCs/>
          <w:sz w:val="16"/>
          <w:szCs w:val="16"/>
        </w:rPr>
        <w:t xml:space="preserve">. </w:t>
      </w:r>
      <w:r w:rsidR="00F7290D" w:rsidRPr="00F7290D">
        <w:rPr>
          <w:iCs/>
          <w:sz w:val="16"/>
          <w:szCs w:val="16"/>
        </w:rPr>
        <w:t xml:space="preserve">Per-attacker MIA performance on OULAD. Effective MIA AUC for Logistic Regression, Random Forest, and </w:t>
      </w:r>
      <w:proofErr w:type="spellStart"/>
      <w:r w:rsidR="00F7290D" w:rsidRPr="00F7290D">
        <w:rPr>
          <w:iCs/>
          <w:sz w:val="16"/>
          <w:szCs w:val="16"/>
        </w:rPr>
        <w:t>XGBoost</w:t>
      </w:r>
      <w:proofErr w:type="spellEnd"/>
      <w:r w:rsidR="00F7290D" w:rsidRPr="00F7290D">
        <w:rPr>
          <w:iCs/>
          <w:sz w:val="16"/>
          <w:szCs w:val="16"/>
        </w:rPr>
        <w:t xml:space="preserve"> attackers against each synthetic dataset. The dashed line indicates random guessing (0.5).</w:t>
      </w:r>
    </w:p>
    <w:p w14:paraId="6067D3F2" w14:textId="77777777" w:rsidR="007E5715" w:rsidRDefault="007E5715" w:rsidP="00D71F27">
      <w:pPr>
        <w:jc w:val="both"/>
        <w:rPr>
          <w:sz w:val="20"/>
          <w:szCs w:val="20"/>
        </w:rPr>
      </w:pPr>
    </w:p>
    <w:p w14:paraId="0DC898B3" w14:textId="77777777" w:rsidR="007E5715" w:rsidRDefault="007E5715" w:rsidP="00D71F27">
      <w:pPr>
        <w:jc w:val="both"/>
        <w:rPr>
          <w:sz w:val="20"/>
          <w:szCs w:val="20"/>
        </w:rPr>
      </w:pPr>
    </w:p>
    <w:p w14:paraId="78CCBEF6" w14:textId="77777777" w:rsidR="00D71F27" w:rsidRDefault="00D71F27" w:rsidP="00422E2B">
      <w:pPr>
        <w:jc w:val="both"/>
        <w:rPr>
          <w:b/>
          <w:bCs/>
          <w:sz w:val="20"/>
          <w:szCs w:val="20"/>
        </w:rPr>
      </w:pPr>
    </w:p>
    <w:p w14:paraId="68383551" w14:textId="77777777" w:rsidR="007E5715" w:rsidRDefault="007E5715" w:rsidP="00422E2B">
      <w:pPr>
        <w:jc w:val="both"/>
        <w:rPr>
          <w:b/>
          <w:bCs/>
          <w:sz w:val="20"/>
          <w:szCs w:val="20"/>
        </w:rPr>
      </w:pPr>
    </w:p>
    <w:p w14:paraId="733D7AC1" w14:textId="5843F567" w:rsidR="007E5715" w:rsidRPr="00DE68C9" w:rsidRDefault="006C06EC" w:rsidP="007E5715">
      <w:pPr>
        <w:spacing w:after="120"/>
        <w:jc w:val="both"/>
        <w:rPr>
          <w:sz w:val="20"/>
          <w:szCs w:val="20"/>
        </w:rPr>
      </w:pPr>
      <w:r>
        <w:rPr>
          <w:noProof/>
        </w:rPr>
        <w:drawing>
          <wp:inline distT="0" distB="0" distL="0" distR="0" wp14:anchorId="2C7AB242" wp14:editId="4E147DE0">
            <wp:extent cx="3060700" cy="2277110"/>
            <wp:effectExtent l="0" t="0" r="6350" b="8890"/>
            <wp:docPr id="1130186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0700" cy="2277110"/>
                    </a:xfrm>
                    <a:prstGeom prst="rect">
                      <a:avLst/>
                    </a:prstGeom>
                    <a:noFill/>
                    <a:ln>
                      <a:noFill/>
                    </a:ln>
                  </pic:spPr>
                </pic:pic>
              </a:graphicData>
            </a:graphic>
          </wp:inline>
        </w:drawing>
      </w:r>
    </w:p>
    <w:p w14:paraId="189B3A6C" w14:textId="139553FE" w:rsidR="007E5715" w:rsidRPr="00E74AAE" w:rsidRDefault="007E5715" w:rsidP="007E5715">
      <w:pPr>
        <w:spacing w:after="120"/>
        <w:jc w:val="both"/>
        <w:rPr>
          <w:b/>
          <w:bCs/>
          <w:iCs/>
          <w:sz w:val="16"/>
          <w:szCs w:val="16"/>
        </w:rPr>
      </w:pPr>
      <w:r w:rsidRPr="00E74AAE">
        <w:rPr>
          <w:b/>
          <w:bCs/>
          <w:sz w:val="16"/>
          <w:szCs w:val="16"/>
        </w:rPr>
        <w:t xml:space="preserve">Fig. </w:t>
      </w:r>
      <w:r w:rsidR="006557E0">
        <w:rPr>
          <w:b/>
          <w:bCs/>
          <w:sz w:val="16"/>
          <w:szCs w:val="16"/>
        </w:rPr>
        <w:t>9</w:t>
      </w:r>
      <w:r w:rsidRPr="00E74AAE">
        <w:rPr>
          <w:b/>
          <w:bCs/>
          <w:sz w:val="16"/>
          <w:szCs w:val="16"/>
        </w:rPr>
        <w:t xml:space="preserve">. </w:t>
      </w:r>
      <w:r w:rsidR="00F7290D" w:rsidRPr="00F7290D">
        <w:rPr>
          <w:bCs/>
          <w:iCs/>
          <w:sz w:val="16"/>
          <w:szCs w:val="16"/>
        </w:rPr>
        <w:t xml:space="preserve">Per-attacker MIA performance on ASSISTments. Effective MIA AUC for Logistic Regression, Random Forest, and </w:t>
      </w:r>
      <w:proofErr w:type="spellStart"/>
      <w:r w:rsidR="00F7290D" w:rsidRPr="00F7290D">
        <w:rPr>
          <w:bCs/>
          <w:iCs/>
          <w:sz w:val="16"/>
          <w:szCs w:val="16"/>
        </w:rPr>
        <w:t>XGBoost</w:t>
      </w:r>
      <w:proofErr w:type="spellEnd"/>
      <w:r w:rsidR="00F7290D" w:rsidRPr="00F7290D">
        <w:rPr>
          <w:bCs/>
          <w:iCs/>
          <w:sz w:val="16"/>
          <w:szCs w:val="16"/>
        </w:rPr>
        <w:t xml:space="preserve"> attackers against each synthetic dataset. The dashed line indicates random guessing (0.5)</w:t>
      </w:r>
      <w:r w:rsidRPr="00E74AAE">
        <w:rPr>
          <w:bCs/>
          <w:iCs/>
          <w:sz w:val="16"/>
          <w:szCs w:val="16"/>
        </w:rPr>
        <w:t>.</w:t>
      </w:r>
    </w:p>
    <w:p w14:paraId="09B8E8D3" w14:textId="77777777" w:rsidR="007E5715" w:rsidRDefault="007E5715" w:rsidP="00422E2B">
      <w:pPr>
        <w:jc w:val="both"/>
        <w:rPr>
          <w:b/>
          <w:bCs/>
          <w:sz w:val="20"/>
          <w:szCs w:val="20"/>
        </w:rPr>
      </w:pPr>
    </w:p>
    <w:p w14:paraId="133CBF74" w14:textId="345FE9BA" w:rsidR="007E5715" w:rsidRPr="007E5715" w:rsidRDefault="007E5715" w:rsidP="007E5715">
      <w:pPr>
        <w:jc w:val="both"/>
        <w:rPr>
          <w:sz w:val="20"/>
          <w:szCs w:val="20"/>
        </w:rPr>
      </w:pPr>
      <w:r w:rsidRPr="007E5715">
        <w:rPr>
          <w:sz w:val="20"/>
          <w:szCs w:val="20"/>
        </w:rPr>
        <w:t>Within Table I</w:t>
      </w:r>
      <w:r w:rsidR="001631E6">
        <w:rPr>
          <w:sz w:val="20"/>
          <w:szCs w:val="20"/>
        </w:rPr>
        <w:t>V</w:t>
      </w:r>
      <w:r w:rsidRPr="007E5715">
        <w:rPr>
          <w:sz w:val="20"/>
          <w:szCs w:val="20"/>
        </w:rPr>
        <w:t xml:space="preserve">, the largest observed membership advantage occurs for TabDDPM on OULAD, but the magnitude remains small in absolute terms (AUC approximately 0.52). Overall, under the evaluated attack setting, none of the three synthesizers </w:t>
      </w:r>
      <w:proofErr w:type="gramStart"/>
      <w:r w:rsidRPr="007E5715">
        <w:rPr>
          <w:sz w:val="20"/>
          <w:szCs w:val="20"/>
        </w:rPr>
        <w:t>exhibits</w:t>
      </w:r>
      <w:proofErr w:type="gramEnd"/>
      <w:r w:rsidRPr="007E5715">
        <w:rPr>
          <w:sz w:val="20"/>
          <w:szCs w:val="20"/>
        </w:rPr>
        <w:t xml:space="preserve"> strong empirical membership leakage, and privacy risk is broadly comparable across synthesizer families.</w:t>
      </w:r>
    </w:p>
    <w:p w14:paraId="1C897493" w14:textId="77777777" w:rsidR="007E5715" w:rsidRPr="007E5715" w:rsidRDefault="007E5715" w:rsidP="007E5715">
      <w:pPr>
        <w:jc w:val="both"/>
        <w:rPr>
          <w:sz w:val="20"/>
          <w:szCs w:val="20"/>
        </w:rPr>
      </w:pPr>
    </w:p>
    <w:p w14:paraId="0CD890D6" w14:textId="08E9EBC5" w:rsidR="007E5715" w:rsidRPr="007E5715" w:rsidRDefault="007E5715" w:rsidP="007E5715">
      <w:pPr>
        <w:jc w:val="both"/>
        <w:rPr>
          <w:b/>
          <w:bCs/>
          <w:sz w:val="20"/>
          <w:szCs w:val="20"/>
        </w:rPr>
      </w:pPr>
      <w:r w:rsidRPr="007E5715">
        <w:rPr>
          <w:b/>
          <w:bCs/>
          <w:sz w:val="20"/>
          <w:szCs w:val="20"/>
        </w:rPr>
        <w:t>D. Trade-offs and the Fidelity and Utility Relationship</w:t>
      </w:r>
    </w:p>
    <w:p w14:paraId="5293F9D7" w14:textId="4153FC99" w:rsidR="007E5715" w:rsidRPr="007E5715" w:rsidRDefault="007E5715" w:rsidP="007E5715">
      <w:pPr>
        <w:jc w:val="both"/>
        <w:rPr>
          <w:sz w:val="20"/>
          <w:szCs w:val="20"/>
        </w:rPr>
      </w:pPr>
      <w:r w:rsidRPr="007E5715">
        <w:rPr>
          <w:sz w:val="20"/>
          <w:szCs w:val="20"/>
        </w:rPr>
        <w:t xml:space="preserve">Figures </w:t>
      </w:r>
      <w:r w:rsidR="008512D1">
        <w:rPr>
          <w:sz w:val="20"/>
          <w:szCs w:val="20"/>
        </w:rPr>
        <w:t>10</w:t>
      </w:r>
      <w:r w:rsidRPr="007E5715">
        <w:rPr>
          <w:sz w:val="20"/>
          <w:szCs w:val="20"/>
        </w:rPr>
        <w:t xml:space="preserve"> and </w:t>
      </w:r>
      <w:r w:rsidR="008512D1">
        <w:rPr>
          <w:sz w:val="20"/>
          <w:szCs w:val="20"/>
        </w:rPr>
        <w:t>11</w:t>
      </w:r>
      <w:r w:rsidRPr="007E5715">
        <w:rPr>
          <w:sz w:val="20"/>
          <w:szCs w:val="20"/>
        </w:rPr>
        <w:t xml:space="preserve"> present multi-metric heatmaps that jointly summarize statistical quality (SDMetrics), discriminative realism (C2ST), privacy (MIA), classification utility (TSTR AUC), and regression utility (TSTR MAE mapped to a </w:t>
      </w:r>
      <w:r w:rsidRPr="007E5715">
        <w:rPr>
          <w:sz w:val="20"/>
          <w:szCs w:val="20"/>
        </w:rPr>
        <w:lastRenderedPageBreak/>
        <w:t>higher-is-better score). These summaries make the cross-metric trade-offs explicit: CTGAN leads SDMetrics fidelity, Gaussian Copula tends to be most realistic under C2ST, and TabDDPM leads task utility. The heatmaps are intended as decision aids and should be interpreted alongside Tables I to IV.</w:t>
      </w:r>
    </w:p>
    <w:p w14:paraId="4A860467" w14:textId="77777777" w:rsidR="007E5715" w:rsidRDefault="007E5715" w:rsidP="00422E2B">
      <w:pPr>
        <w:jc w:val="both"/>
        <w:rPr>
          <w:b/>
          <w:bCs/>
          <w:sz w:val="20"/>
          <w:szCs w:val="20"/>
        </w:rPr>
      </w:pPr>
    </w:p>
    <w:p w14:paraId="18B94F22" w14:textId="77777777" w:rsidR="007E5715" w:rsidRDefault="007E5715" w:rsidP="00422E2B">
      <w:pPr>
        <w:jc w:val="both"/>
        <w:rPr>
          <w:b/>
          <w:bCs/>
          <w:sz w:val="20"/>
          <w:szCs w:val="20"/>
        </w:rPr>
      </w:pPr>
    </w:p>
    <w:p w14:paraId="53C64C25" w14:textId="3E55BAEE" w:rsidR="00F7290D" w:rsidRDefault="00404951" w:rsidP="00F7290D">
      <w:pPr>
        <w:jc w:val="both"/>
        <w:rPr>
          <w:b/>
          <w:bCs/>
          <w:sz w:val="20"/>
          <w:szCs w:val="20"/>
        </w:rPr>
      </w:pPr>
      <w:r>
        <w:rPr>
          <w:noProof/>
        </w:rPr>
        <w:drawing>
          <wp:inline distT="0" distB="0" distL="0" distR="0" wp14:anchorId="555667D2" wp14:editId="6BA6B455">
            <wp:extent cx="3060700" cy="1491615"/>
            <wp:effectExtent l="0" t="0" r="6350" b="0"/>
            <wp:docPr id="18458965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0700" cy="1491615"/>
                    </a:xfrm>
                    <a:prstGeom prst="rect">
                      <a:avLst/>
                    </a:prstGeom>
                    <a:noFill/>
                    <a:ln>
                      <a:noFill/>
                    </a:ln>
                  </pic:spPr>
                </pic:pic>
              </a:graphicData>
            </a:graphic>
          </wp:inline>
        </w:drawing>
      </w:r>
    </w:p>
    <w:p w14:paraId="7964161B" w14:textId="2FD9BAAE" w:rsidR="00F7290D" w:rsidRPr="00A46BEF" w:rsidRDefault="00F7290D" w:rsidP="00F7290D">
      <w:pPr>
        <w:jc w:val="both"/>
        <w:rPr>
          <w:iCs/>
          <w:sz w:val="16"/>
          <w:szCs w:val="16"/>
        </w:rPr>
      </w:pPr>
      <w:r w:rsidRPr="00A46BEF">
        <w:rPr>
          <w:b/>
          <w:bCs/>
          <w:sz w:val="16"/>
          <w:szCs w:val="16"/>
        </w:rPr>
        <w:t xml:space="preserve">Fig. </w:t>
      </w:r>
      <w:r w:rsidR="006557E0">
        <w:rPr>
          <w:b/>
          <w:bCs/>
          <w:sz w:val="16"/>
          <w:szCs w:val="16"/>
        </w:rPr>
        <w:t>10</w:t>
      </w:r>
      <w:r w:rsidRPr="00A46BEF">
        <w:rPr>
          <w:b/>
          <w:bCs/>
          <w:sz w:val="16"/>
          <w:szCs w:val="16"/>
        </w:rPr>
        <w:t xml:space="preserve">. </w:t>
      </w:r>
      <w:r w:rsidRPr="00F7290D">
        <w:rPr>
          <w:iCs/>
          <w:sz w:val="16"/>
          <w:szCs w:val="16"/>
        </w:rPr>
        <w:t>Aggregated performance heatmap on OULAD. Normalized scores summarizing statistical fidelity, discriminative realism, privacy risk, and downstream utility</w:t>
      </w:r>
      <w:r w:rsidRPr="00A46BEF">
        <w:rPr>
          <w:iCs/>
          <w:sz w:val="16"/>
          <w:szCs w:val="16"/>
        </w:rPr>
        <w:t>.</w:t>
      </w:r>
    </w:p>
    <w:p w14:paraId="3F271639" w14:textId="77777777" w:rsidR="007E5715" w:rsidRDefault="007E5715" w:rsidP="00422E2B">
      <w:pPr>
        <w:jc w:val="both"/>
        <w:rPr>
          <w:b/>
          <w:bCs/>
          <w:sz w:val="20"/>
          <w:szCs w:val="20"/>
        </w:rPr>
      </w:pPr>
    </w:p>
    <w:p w14:paraId="6D4F023A" w14:textId="24BB4285" w:rsidR="00F7290D" w:rsidRDefault="00404951" w:rsidP="00F7290D">
      <w:pPr>
        <w:jc w:val="both"/>
        <w:rPr>
          <w:b/>
          <w:bCs/>
          <w:sz w:val="20"/>
          <w:szCs w:val="20"/>
        </w:rPr>
      </w:pPr>
      <w:r>
        <w:rPr>
          <w:noProof/>
        </w:rPr>
        <w:drawing>
          <wp:inline distT="0" distB="0" distL="0" distR="0" wp14:anchorId="729322EA" wp14:editId="7CEEAE6E">
            <wp:extent cx="3060700" cy="1491615"/>
            <wp:effectExtent l="0" t="0" r="6350" b="0"/>
            <wp:docPr id="3880199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60700" cy="1491615"/>
                    </a:xfrm>
                    <a:prstGeom prst="rect">
                      <a:avLst/>
                    </a:prstGeom>
                    <a:noFill/>
                    <a:ln>
                      <a:noFill/>
                    </a:ln>
                  </pic:spPr>
                </pic:pic>
              </a:graphicData>
            </a:graphic>
          </wp:inline>
        </w:drawing>
      </w:r>
    </w:p>
    <w:p w14:paraId="0B156163" w14:textId="77777777" w:rsidR="00F7290D" w:rsidRDefault="00F7290D" w:rsidP="00F7290D">
      <w:pPr>
        <w:jc w:val="both"/>
        <w:rPr>
          <w:b/>
          <w:bCs/>
          <w:sz w:val="20"/>
          <w:szCs w:val="20"/>
        </w:rPr>
      </w:pPr>
    </w:p>
    <w:p w14:paraId="4E45BF3F" w14:textId="518BCB41" w:rsidR="00F7290D" w:rsidRPr="00A46BEF" w:rsidRDefault="00F7290D" w:rsidP="00F7290D">
      <w:pPr>
        <w:jc w:val="both"/>
        <w:rPr>
          <w:b/>
          <w:bCs/>
          <w:iCs/>
          <w:sz w:val="16"/>
          <w:szCs w:val="16"/>
        </w:rPr>
      </w:pPr>
      <w:r w:rsidRPr="00A46BEF">
        <w:rPr>
          <w:b/>
          <w:bCs/>
          <w:sz w:val="16"/>
          <w:szCs w:val="16"/>
        </w:rPr>
        <w:t xml:space="preserve">Fig. </w:t>
      </w:r>
      <w:r w:rsidR="006557E0">
        <w:rPr>
          <w:b/>
          <w:bCs/>
          <w:sz w:val="16"/>
          <w:szCs w:val="16"/>
        </w:rPr>
        <w:t>11</w:t>
      </w:r>
      <w:r w:rsidRPr="00A46BEF">
        <w:rPr>
          <w:b/>
          <w:bCs/>
          <w:sz w:val="16"/>
          <w:szCs w:val="16"/>
        </w:rPr>
        <w:t xml:space="preserve">. </w:t>
      </w:r>
      <w:r w:rsidRPr="00F7290D">
        <w:rPr>
          <w:iCs/>
          <w:sz w:val="16"/>
          <w:szCs w:val="16"/>
        </w:rPr>
        <w:t>Aggregated performance heatmap on ASSISTments. Normalized scores summarizing statistical fidelity, discriminative realism, privacy risk, and downstream utility</w:t>
      </w:r>
      <w:r w:rsidRPr="00A46BEF">
        <w:rPr>
          <w:iCs/>
          <w:sz w:val="16"/>
          <w:szCs w:val="16"/>
        </w:rPr>
        <w:t>.</w:t>
      </w:r>
    </w:p>
    <w:p w14:paraId="7779FFE0" w14:textId="77777777" w:rsidR="007E5715" w:rsidRDefault="007E5715" w:rsidP="00422E2B">
      <w:pPr>
        <w:jc w:val="both"/>
        <w:rPr>
          <w:b/>
          <w:bCs/>
          <w:sz w:val="20"/>
          <w:szCs w:val="20"/>
        </w:rPr>
      </w:pPr>
    </w:p>
    <w:p w14:paraId="05DF20AC" w14:textId="77777777" w:rsidR="007E5715" w:rsidRDefault="007E5715" w:rsidP="00422E2B">
      <w:pPr>
        <w:jc w:val="both"/>
        <w:rPr>
          <w:b/>
          <w:bCs/>
          <w:sz w:val="20"/>
          <w:szCs w:val="20"/>
        </w:rPr>
      </w:pPr>
    </w:p>
    <w:p w14:paraId="7548E4A0" w14:textId="77777777" w:rsidR="00F7290D" w:rsidRPr="00F7290D" w:rsidRDefault="00F7290D" w:rsidP="00F7290D">
      <w:pPr>
        <w:jc w:val="both"/>
        <w:rPr>
          <w:sz w:val="20"/>
          <w:szCs w:val="20"/>
        </w:rPr>
      </w:pPr>
      <w:r w:rsidRPr="00F7290D">
        <w:rPr>
          <w:sz w:val="20"/>
          <w:szCs w:val="20"/>
        </w:rPr>
        <w:t>A central empirical pattern is not a single best model, but a consistent decoupling between distributional fidelity and downstream utility. In this setting, the synthesizer that best matches SDMetrics statistics (CTGAN) does not necessarily yield the strongest TSTR utility (TabDDPM). This reinforces the need to evaluate synthetic data using the downstream tasks that motivate its release.</w:t>
      </w:r>
    </w:p>
    <w:p w14:paraId="0877BD3F" w14:textId="77777777" w:rsidR="00F7290D" w:rsidRPr="00F7290D" w:rsidRDefault="00F7290D" w:rsidP="00F7290D">
      <w:pPr>
        <w:jc w:val="both"/>
        <w:rPr>
          <w:sz w:val="20"/>
          <w:szCs w:val="20"/>
        </w:rPr>
      </w:pPr>
    </w:p>
    <w:p w14:paraId="4D3221A0" w14:textId="6CC08835" w:rsidR="00F7290D" w:rsidRPr="00F7290D" w:rsidRDefault="00F7290D" w:rsidP="00F7290D">
      <w:pPr>
        <w:jc w:val="both"/>
        <w:rPr>
          <w:b/>
          <w:bCs/>
          <w:sz w:val="20"/>
          <w:szCs w:val="20"/>
        </w:rPr>
      </w:pPr>
      <w:r w:rsidRPr="00F7290D">
        <w:rPr>
          <w:b/>
          <w:bCs/>
          <w:sz w:val="20"/>
          <w:szCs w:val="20"/>
        </w:rPr>
        <w:t>E. Computational Efficiency</w:t>
      </w:r>
    </w:p>
    <w:p w14:paraId="63D530D7" w14:textId="1740DF0E" w:rsidR="007E5715" w:rsidRPr="00F7290D" w:rsidRDefault="00F7290D" w:rsidP="00F7290D">
      <w:pPr>
        <w:jc w:val="both"/>
        <w:rPr>
          <w:sz w:val="20"/>
          <w:szCs w:val="20"/>
        </w:rPr>
      </w:pPr>
      <w:r w:rsidRPr="00F7290D">
        <w:rPr>
          <w:sz w:val="20"/>
          <w:szCs w:val="20"/>
        </w:rPr>
        <w:t>Table V lists synthesizer training and sampling times. Gaussian Copula is orders of magnitude faster than neural synthesizers, CTGAN is intermediate, and TabDDPM is the slowest. These efficiency differences provide a practical selection axis alongside utility and privacy.</w:t>
      </w:r>
    </w:p>
    <w:p w14:paraId="457DE955" w14:textId="77777777" w:rsidR="007E5715" w:rsidRDefault="007E5715" w:rsidP="00422E2B">
      <w:pPr>
        <w:jc w:val="both"/>
        <w:rPr>
          <w:b/>
          <w:bCs/>
          <w:sz w:val="20"/>
          <w:szCs w:val="20"/>
        </w:rPr>
      </w:pPr>
    </w:p>
    <w:p w14:paraId="665381BF" w14:textId="77777777" w:rsidR="00F7290D" w:rsidRPr="005417E5" w:rsidRDefault="00F7290D" w:rsidP="00F7290D">
      <w:pPr>
        <w:rPr>
          <w:sz w:val="18"/>
          <w:szCs w:val="18"/>
        </w:rPr>
      </w:pPr>
      <w:r w:rsidRPr="005417E5">
        <w:rPr>
          <w:b/>
          <w:sz w:val="18"/>
          <w:szCs w:val="18"/>
        </w:rPr>
        <w:t xml:space="preserve">TABLE V: </w:t>
      </w:r>
      <w:r>
        <w:rPr>
          <w:bCs/>
          <w:sz w:val="18"/>
          <w:szCs w:val="18"/>
        </w:rPr>
        <w:t>Computational Efficiency</w:t>
      </w:r>
      <w:r w:rsidRPr="005417E5">
        <w:rPr>
          <w:bCs/>
          <w:sz w:val="18"/>
          <w:szCs w:val="18"/>
        </w:rPr>
        <w:t xml:space="preserve"> (</w:t>
      </w:r>
      <w:r>
        <w:rPr>
          <w:bCs/>
          <w:sz w:val="18"/>
          <w:szCs w:val="18"/>
        </w:rPr>
        <w:t>seconds</w:t>
      </w:r>
      <w:r w:rsidRPr="005417E5">
        <w:rPr>
          <w:bCs/>
          <w:sz w:val="18"/>
          <w:szCs w:val="18"/>
        </w:rPr>
        <w:t xml:space="preserve">, </w:t>
      </w:r>
      <w:r>
        <w:rPr>
          <w:bCs/>
          <w:sz w:val="18"/>
          <w:szCs w:val="18"/>
        </w:rPr>
        <w:t>mean</w:t>
      </w:r>
      <w:r w:rsidRPr="005417E5">
        <w:rPr>
          <w:bCs/>
          <w:sz w:val="18"/>
          <w:szCs w:val="18"/>
        </w:rPr>
        <w:t xml:space="preserve"> ± SD)</w:t>
      </w:r>
    </w:p>
    <w:tbl>
      <w:tblPr>
        <w:tblStyle w:val="TableGrid"/>
        <w:tblW w:w="0" w:type="auto"/>
        <w:jc w:val="center"/>
        <w:tblLook w:val="04A0" w:firstRow="1" w:lastRow="0" w:firstColumn="1" w:lastColumn="0" w:noHBand="0" w:noVBand="1"/>
      </w:tblPr>
      <w:tblGrid>
        <w:gridCol w:w="1417"/>
        <w:gridCol w:w="1131"/>
        <w:gridCol w:w="1172"/>
        <w:gridCol w:w="1090"/>
      </w:tblGrid>
      <w:tr w:rsidR="00F7290D" w:rsidRPr="005417E5" w14:paraId="4F5093B5" w14:textId="77777777" w:rsidTr="00F72289">
        <w:trPr>
          <w:jc w:val="center"/>
        </w:trPr>
        <w:tc>
          <w:tcPr>
            <w:tcW w:w="2160" w:type="dxa"/>
          </w:tcPr>
          <w:p w14:paraId="2CA57B04" w14:textId="77777777" w:rsidR="00F7290D" w:rsidRPr="005417E5" w:rsidRDefault="00F7290D" w:rsidP="00F72289">
            <w:pPr>
              <w:rPr>
                <w:rFonts w:ascii="Times New Roman" w:hAnsi="Times New Roman" w:cs="Times New Roman"/>
                <w:b/>
                <w:bCs/>
                <w:sz w:val="18"/>
                <w:szCs w:val="18"/>
              </w:rPr>
            </w:pPr>
            <w:r w:rsidRPr="005417E5">
              <w:rPr>
                <w:rFonts w:ascii="Times New Roman" w:hAnsi="Times New Roman" w:cs="Times New Roman"/>
                <w:b/>
                <w:bCs/>
                <w:sz w:val="18"/>
                <w:szCs w:val="18"/>
              </w:rPr>
              <w:t>Dataset/</w:t>
            </w:r>
          </w:p>
          <w:p w14:paraId="636D213E" w14:textId="77777777" w:rsidR="00F7290D" w:rsidRPr="005417E5" w:rsidRDefault="00F7290D" w:rsidP="00F72289">
            <w:pPr>
              <w:rPr>
                <w:rFonts w:ascii="Times New Roman" w:hAnsi="Times New Roman" w:cs="Times New Roman"/>
                <w:b/>
                <w:bCs/>
                <w:sz w:val="18"/>
                <w:szCs w:val="18"/>
              </w:rPr>
            </w:pPr>
            <w:r w:rsidRPr="005417E5">
              <w:rPr>
                <w:rFonts w:ascii="Times New Roman" w:hAnsi="Times New Roman" w:cs="Times New Roman"/>
                <w:b/>
                <w:bCs/>
                <w:sz w:val="18"/>
                <w:szCs w:val="18"/>
              </w:rPr>
              <w:t>Synthesizer</w:t>
            </w:r>
          </w:p>
        </w:tc>
        <w:tc>
          <w:tcPr>
            <w:tcW w:w="2160" w:type="dxa"/>
          </w:tcPr>
          <w:p w14:paraId="6CA12ABA" w14:textId="77777777" w:rsidR="00F7290D" w:rsidRPr="005417E5" w:rsidRDefault="00F7290D" w:rsidP="00F72289">
            <w:pPr>
              <w:rPr>
                <w:rFonts w:ascii="Times New Roman" w:hAnsi="Times New Roman" w:cs="Times New Roman"/>
                <w:b/>
                <w:bCs/>
                <w:sz w:val="18"/>
                <w:szCs w:val="18"/>
              </w:rPr>
            </w:pPr>
            <w:r w:rsidRPr="005417E5">
              <w:rPr>
                <w:rFonts w:ascii="Times New Roman" w:hAnsi="Times New Roman" w:cs="Times New Roman"/>
                <w:b/>
                <w:bCs/>
                <w:sz w:val="18"/>
                <w:szCs w:val="18"/>
              </w:rPr>
              <w:t>Training Time (s)</w:t>
            </w:r>
          </w:p>
        </w:tc>
        <w:tc>
          <w:tcPr>
            <w:tcW w:w="2160" w:type="dxa"/>
          </w:tcPr>
          <w:p w14:paraId="7DF10E4A" w14:textId="77777777" w:rsidR="00F7290D" w:rsidRPr="005417E5" w:rsidRDefault="00F7290D" w:rsidP="00F72289">
            <w:pPr>
              <w:rPr>
                <w:rFonts w:ascii="Times New Roman" w:hAnsi="Times New Roman" w:cs="Times New Roman"/>
                <w:b/>
                <w:bCs/>
                <w:sz w:val="18"/>
                <w:szCs w:val="18"/>
              </w:rPr>
            </w:pPr>
            <w:r w:rsidRPr="005417E5">
              <w:rPr>
                <w:rFonts w:ascii="Times New Roman" w:hAnsi="Times New Roman" w:cs="Times New Roman"/>
                <w:b/>
                <w:bCs/>
                <w:sz w:val="18"/>
                <w:szCs w:val="18"/>
              </w:rPr>
              <w:t>Sampling Time (10K) (s)</w:t>
            </w:r>
          </w:p>
        </w:tc>
        <w:tc>
          <w:tcPr>
            <w:tcW w:w="2160" w:type="dxa"/>
          </w:tcPr>
          <w:p w14:paraId="23BE1C4E" w14:textId="77777777" w:rsidR="00F7290D" w:rsidRPr="005417E5" w:rsidRDefault="00F7290D" w:rsidP="00F72289">
            <w:pPr>
              <w:rPr>
                <w:rFonts w:ascii="Times New Roman" w:hAnsi="Times New Roman" w:cs="Times New Roman"/>
                <w:b/>
                <w:bCs/>
                <w:sz w:val="18"/>
                <w:szCs w:val="18"/>
              </w:rPr>
            </w:pPr>
            <w:r w:rsidRPr="005417E5">
              <w:rPr>
                <w:rFonts w:ascii="Times New Roman" w:hAnsi="Times New Roman" w:cs="Times New Roman"/>
                <w:b/>
                <w:bCs/>
                <w:sz w:val="18"/>
                <w:szCs w:val="18"/>
              </w:rPr>
              <w:t>Total (Train + Sample)</w:t>
            </w:r>
          </w:p>
        </w:tc>
      </w:tr>
      <w:tr w:rsidR="00F7290D" w:rsidRPr="005417E5" w14:paraId="38B36FB4" w14:textId="77777777" w:rsidTr="00F72289">
        <w:trPr>
          <w:jc w:val="center"/>
        </w:trPr>
        <w:tc>
          <w:tcPr>
            <w:tcW w:w="2160" w:type="dxa"/>
          </w:tcPr>
          <w:p w14:paraId="613F6982"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OULAD</w:t>
            </w:r>
            <w:r>
              <w:rPr>
                <w:rFonts w:ascii="Times New Roman" w:hAnsi="Times New Roman" w:cs="Times New Roman"/>
                <w:sz w:val="18"/>
                <w:szCs w:val="18"/>
              </w:rPr>
              <w:t xml:space="preserve"> -</w:t>
            </w:r>
            <w:r w:rsidRPr="005417E5">
              <w:rPr>
                <w:rFonts w:ascii="Times New Roman" w:hAnsi="Times New Roman" w:cs="Times New Roman"/>
                <w:sz w:val="18"/>
                <w:szCs w:val="18"/>
              </w:rPr>
              <w:t>Gaussian Copula</w:t>
            </w:r>
          </w:p>
        </w:tc>
        <w:tc>
          <w:tcPr>
            <w:tcW w:w="2160" w:type="dxa"/>
          </w:tcPr>
          <w:p w14:paraId="58BF8980"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8.2 ± 0.3</w:t>
            </w:r>
          </w:p>
        </w:tc>
        <w:tc>
          <w:tcPr>
            <w:tcW w:w="2160" w:type="dxa"/>
          </w:tcPr>
          <w:p w14:paraId="470AD535"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1.1 ± 0.1</w:t>
            </w:r>
          </w:p>
        </w:tc>
        <w:tc>
          <w:tcPr>
            <w:tcW w:w="2160" w:type="dxa"/>
          </w:tcPr>
          <w:p w14:paraId="05A226B4"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9.3</w:t>
            </w:r>
          </w:p>
        </w:tc>
      </w:tr>
      <w:tr w:rsidR="00F7290D" w:rsidRPr="005417E5" w14:paraId="671ECB9E" w14:textId="77777777" w:rsidTr="00F72289">
        <w:trPr>
          <w:jc w:val="center"/>
        </w:trPr>
        <w:tc>
          <w:tcPr>
            <w:tcW w:w="2160" w:type="dxa"/>
          </w:tcPr>
          <w:p w14:paraId="56D11B97"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 xml:space="preserve">OULAD </w:t>
            </w:r>
            <w:r>
              <w:rPr>
                <w:rFonts w:ascii="Times New Roman" w:hAnsi="Times New Roman" w:cs="Times New Roman"/>
                <w:sz w:val="18"/>
                <w:szCs w:val="18"/>
              </w:rPr>
              <w:t>-</w:t>
            </w:r>
            <w:r w:rsidRPr="005417E5">
              <w:rPr>
                <w:rFonts w:ascii="Times New Roman" w:hAnsi="Times New Roman" w:cs="Times New Roman"/>
                <w:sz w:val="18"/>
                <w:szCs w:val="18"/>
              </w:rPr>
              <w:t xml:space="preserve"> CTGAN</w:t>
            </w:r>
          </w:p>
        </w:tc>
        <w:tc>
          <w:tcPr>
            <w:tcW w:w="2160" w:type="dxa"/>
          </w:tcPr>
          <w:p w14:paraId="2F1C4979"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847 ± 34</w:t>
            </w:r>
          </w:p>
        </w:tc>
        <w:tc>
          <w:tcPr>
            <w:tcW w:w="2160" w:type="dxa"/>
          </w:tcPr>
          <w:p w14:paraId="6B3B63B9"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12.3 ± 0.8</w:t>
            </w:r>
          </w:p>
        </w:tc>
        <w:tc>
          <w:tcPr>
            <w:tcW w:w="2160" w:type="dxa"/>
          </w:tcPr>
          <w:p w14:paraId="606D95F5"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859.3</w:t>
            </w:r>
          </w:p>
        </w:tc>
      </w:tr>
      <w:tr w:rsidR="00F7290D" w:rsidRPr="005417E5" w14:paraId="619B21DD" w14:textId="77777777" w:rsidTr="00F72289">
        <w:trPr>
          <w:jc w:val="center"/>
        </w:trPr>
        <w:tc>
          <w:tcPr>
            <w:tcW w:w="2160" w:type="dxa"/>
          </w:tcPr>
          <w:p w14:paraId="237650A8"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 xml:space="preserve">OULAD </w:t>
            </w:r>
            <w:r>
              <w:rPr>
                <w:rFonts w:ascii="Times New Roman" w:hAnsi="Times New Roman" w:cs="Times New Roman"/>
                <w:sz w:val="18"/>
                <w:szCs w:val="18"/>
              </w:rPr>
              <w:t>-</w:t>
            </w:r>
            <w:r w:rsidRPr="005417E5">
              <w:rPr>
                <w:rFonts w:ascii="Times New Roman" w:hAnsi="Times New Roman" w:cs="Times New Roman"/>
                <w:sz w:val="18"/>
                <w:szCs w:val="18"/>
              </w:rPr>
              <w:t xml:space="preserve"> TabDDPM</w:t>
            </w:r>
          </w:p>
        </w:tc>
        <w:tc>
          <w:tcPr>
            <w:tcW w:w="2160" w:type="dxa"/>
          </w:tcPr>
          <w:p w14:paraId="0D00F1DC"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2156 ± 89</w:t>
            </w:r>
          </w:p>
        </w:tc>
        <w:tc>
          <w:tcPr>
            <w:tcW w:w="2160" w:type="dxa"/>
          </w:tcPr>
          <w:p w14:paraId="784B3A91"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45.7 ± 3.2</w:t>
            </w:r>
          </w:p>
        </w:tc>
        <w:tc>
          <w:tcPr>
            <w:tcW w:w="2160" w:type="dxa"/>
          </w:tcPr>
          <w:p w14:paraId="7912CEF9"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2201.7</w:t>
            </w:r>
          </w:p>
        </w:tc>
      </w:tr>
      <w:tr w:rsidR="00F7290D" w:rsidRPr="005417E5" w14:paraId="4750F8D1" w14:textId="77777777" w:rsidTr="00F72289">
        <w:trPr>
          <w:jc w:val="center"/>
        </w:trPr>
        <w:tc>
          <w:tcPr>
            <w:tcW w:w="2160" w:type="dxa"/>
          </w:tcPr>
          <w:p w14:paraId="176EFB6C"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 xml:space="preserve">ASSISTments </w:t>
            </w:r>
            <w:r>
              <w:rPr>
                <w:rFonts w:ascii="Times New Roman" w:hAnsi="Times New Roman" w:cs="Times New Roman"/>
                <w:sz w:val="18"/>
                <w:szCs w:val="18"/>
              </w:rPr>
              <w:t>-</w:t>
            </w:r>
            <w:r w:rsidRPr="005417E5">
              <w:rPr>
                <w:rFonts w:ascii="Times New Roman" w:hAnsi="Times New Roman" w:cs="Times New Roman"/>
                <w:sz w:val="18"/>
                <w:szCs w:val="18"/>
              </w:rPr>
              <w:t xml:space="preserve"> Gaussian Copula</w:t>
            </w:r>
          </w:p>
        </w:tc>
        <w:tc>
          <w:tcPr>
            <w:tcW w:w="2160" w:type="dxa"/>
          </w:tcPr>
          <w:p w14:paraId="17B01370"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2.4 ± 0.2</w:t>
            </w:r>
          </w:p>
        </w:tc>
        <w:tc>
          <w:tcPr>
            <w:tcW w:w="2160" w:type="dxa"/>
          </w:tcPr>
          <w:p w14:paraId="58E661D0"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0.3 ± 0.0</w:t>
            </w:r>
          </w:p>
        </w:tc>
        <w:tc>
          <w:tcPr>
            <w:tcW w:w="2160" w:type="dxa"/>
          </w:tcPr>
          <w:p w14:paraId="19435643"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2.7</w:t>
            </w:r>
          </w:p>
        </w:tc>
      </w:tr>
      <w:tr w:rsidR="00F7290D" w:rsidRPr="005417E5" w14:paraId="45561D3C" w14:textId="77777777" w:rsidTr="00F72289">
        <w:trPr>
          <w:jc w:val="center"/>
        </w:trPr>
        <w:tc>
          <w:tcPr>
            <w:tcW w:w="2160" w:type="dxa"/>
          </w:tcPr>
          <w:p w14:paraId="086657C6"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 xml:space="preserve">ASSISTments </w:t>
            </w:r>
            <w:r>
              <w:rPr>
                <w:rFonts w:ascii="Times New Roman" w:hAnsi="Times New Roman" w:cs="Times New Roman"/>
                <w:sz w:val="18"/>
                <w:szCs w:val="18"/>
              </w:rPr>
              <w:t>-</w:t>
            </w:r>
            <w:r w:rsidRPr="005417E5">
              <w:rPr>
                <w:rFonts w:ascii="Times New Roman" w:hAnsi="Times New Roman" w:cs="Times New Roman"/>
                <w:sz w:val="18"/>
                <w:szCs w:val="18"/>
              </w:rPr>
              <w:t xml:space="preserve"> CTGAN</w:t>
            </w:r>
          </w:p>
        </w:tc>
        <w:tc>
          <w:tcPr>
            <w:tcW w:w="2160" w:type="dxa"/>
          </w:tcPr>
          <w:p w14:paraId="59420558"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287 ± 19</w:t>
            </w:r>
          </w:p>
        </w:tc>
        <w:tc>
          <w:tcPr>
            <w:tcW w:w="2160" w:type="dxa"/>
          </w:tcPr>
          <w:p w14:paraId="54D3E692"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4.1 ± 0.3</w:t>
            </w:r>
          </w:p>
        </w:tc>
        <w:tc>
          <w:tcPr>
            <w:tcW w:w="2160" w:type="dxa"/>
          </w:tcPr>
          <w:p w14:paraId="60415491"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291.1</w:t>
            </w:r>
          </w:p>
        </w:tc>
      </w:tr>
      <w:tr w:rsidR="00F7290D" w:rsidRPr="005417E5" w14:paraId="46F40E50" w14:textId="77777777" w:rsidTr="00F72289">
        <w:trPr>
          <w:jc w:val="center"/>
        </w:trPr>
        <w:tc>
          <w:tcPr>
            <w:tcW w:w="2160" w:type="dxa"/>
          </w:tcPr>
          <w:p w14:paraId="13AC697B"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 xml:space="preserve">ASSISTments </w:t>
            </w:r>
            <w:r>
              <w:rPr>
                <w:rFonts w:ascii="Times New Roman" w:hAnsi="Times New Roman" w:cs="Times New Roman"/>
                <w:sz w:val="18"/>
                <w:szCs w:val="18"/>
              </w:rPr>
              <w:t>-</w:t>
            </w:r>
            <w:r w:rsidRPr="005417E5">
              <w:rPr>
                <w:rFonts w:ascii="Times New Roman" w:hAnsi="Times New Roman" w:cs="Times New Roman"/>
                <w:sz w:val="18"/>
                <w:szCs w:val="18"/>
              </w:rPr>
              <w:t xml:space="preserve"> TabDDPM</w:t>
            </w:r>
          </w:p>
        </w:tc>
        <w:tc>
          <w:tcPr>
            <w:tcW w:w="2160" w:type="dxa"/>
          </w:tcPr>
          <w:p w14:paraId="58574FA0"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723 ± 41</w:t>
            </w:r>
          </w:p>
        </w:tc>
        <w:tc>
          <w:tcPr>
            <w:tcW w:w="2160" w:type="dxa"/>
          </w:tcPr>
          <w:p w14:paraId="289692F4"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15.2 ± 1.1</w:t>
            </w:r>
          </w:p>
        </w:tc>
        <w:tc>
          <w:tcPr>
            <w:tcW w:w="2160" w:type="dxa"/>
          </w:tcPr>
          <w:p w14:paraId="33906EB6" w14:textId="77777777" w:rsidR="00F7290D" w:rsidRPr="005417E5" w:rsidRDefault="00F7290D" w:rsidP="00F72289">
            <w:pPr>
              <w:rPr>
                <w:rFonts w:ascii="Times New Roman" w:hAnsi="Times New Roman" w:cs="Times New Roman"/>
                <w:sz w:val="18"/>
                <w:szCs w:val="18"/>
              </w:rPr>
            </w:pPr>
            <w:r w:rsidRPr="005417E5">
              <w:rPr>
                <w:rFonts w:ascii="Times New Roman" w:hAnsi="Times New Roman" w:cs="Times New Roman"/>
                <w:sz w:val="18"/>
                <w:szCs w:val="18"/>
              </w:rPr>
              <w:t>738.2</w:t>
            </w:r>
          </w:p>
        </w:tc>
      </w:tr>
    </w:tbl>
    <w:p w14:paraId="1BD5F6DF" w14:textId="77777777" w:rsidR="00F7290D" w:rsidRPr="005417E5" w:rsidRDefault="00F7290D" w:rsidP="00F7290D">
      <w:pPr>
        <w:rPr>
          <w:sz w:val="18"/>
          <w:szCs w:val="18"/>
        </w:rPr>
      </w:pPr>
      <w:r w:rsidRPr="005417E5">
        <w:rPr>
          <w:i/>
          <w:sz w:val="18"/>
          <w:szCs w:val="18"/>
        </w:rPr>
        <w:t>Note: Sampling time is measured for generating 10,000 synthetic records.</w:t>
      </w:r>
    </w:p>
    <w:p w14:paraId="19FDC603" w14:textId="77777777" w:rsidR="007E5715" w:rsidRDefault="007E5715" w:rsidP="00422E2B">
      <w:pPr>
        <w:jc w:val="both"/>
        <w:rPr>
          <w:b/>
          <w:bCs/>
          <w:sz w:val="20"/>
          <w:szCs w:val="20"/>
        </w:rPr>
      </w:pPr>
    </w:p>
    <w:p w14:paraId="61FE5932" w14:textId="77777777" w:rsidR="007E5715" w:rsidRDefault="007E5715" w:rsidP="00422E2B">
      <w:pPr>
        <w:jc w:val="both"/>
        <w:rPr>
          <w:b/>
          <w:bCs/>
          <w:sz w:val="20"/>
          <w:szCs w:val="20"/>
        </w:rPr>
      </w:pPr>
    </w:p>
    <w:p w14:paraId="1A47FEBB" w14:textId="77777777" w:rsidR="007E5715" w:rsidRDefault="007E5715" w:rsidP="00422E2B">
      <w:pPr>
        <w:jc w:val="both"/>
        <w:rPr>
          <w:b/>
          <w:bCs/>
          <w:sz w:val="20"/>
          <w:szCs w:val="20"/>
        </w:rPr>
      </w:pPr>
    </w:p>
    <w:p w14:paraId="5095235E" w14:textId="77777777" w:rsidR="007E5715" w:rsidRDefault="007E5715" w:rsidP="00422E2B">
      <w:pPr>
        <w:jc w:val="both"/>
        <w:rPr>
          <w:b/>
          <w:bCs/>
          <w:sz w:val="20"/>
          <w:szCs w:val="20"/>
        </w:rPr>
      </w:pPr>
    </w:p>
    <w:p w14:paraId="6F56D5BC" w14:textId="77777777" w:rsidR="007E5715" w:rsidRDefault="007E5715" w:rsidP="00422E2B">
      <w:pPr>
        <w:jc w:val="both"/>
        <w:rPr>
          <w:b/>
          <w:bCs/>
          <w:sz w:val="20"/>
          <w:szCs w:val="20"/>
        </w:rPr>
      </w:pPr>
    </w:p>
    <w:p w14:paraId="0789B38F" w14:textId="77777777" w:rsidR="007E5715" w:rsidRDefault="007E5715" w:rsidP="00422E2B">
      <w:pPr>
        <w:jc w:val="both"/>
        <w:rPr>
          <w:b/>
          <w:bCs/>
          <w:sz w:val="20"/>
          <w:szCs w:val="20"/>
        </w:rPr>
      </w:pPr>
    </w:p>
    <w:p w14:paraId="2B3D11C9" w14:textId="77777777" w:rsidR="007E5715" w:rsidRDefault="007E5715" w:rsidP="00422E2B">
      <w:pPr>
        <w:jc w:val="both"/>
        <w:rPr>
          <w:b/>
          <w:bCs/>
          <w:sz w:val="20"/>
          <w:szCs w:val="20"/>
        </w:rPr>
      </w:pPr>
    </w:p>
    <w:p w14:paraId="098D0496" w14:textId="77777777" w:rsidR="007E5715" w:rsidRDefault="007E5715" w:rsidP="00422E2B">
      <w:pPr>
        <w:jc w:val="both"/>
        <w:rPr>
          <w:b/>
          <w:bCs/>
          <w:sz w:val="20"/>
          <w:szCs w:val="20"/>
        </w:rPr>
      </w:pPr>
    </w:p>
    <w:p w14:paraId="05ECF00D" w14:textId="437872AB" w:rsidR="005E2093" w:rsidRPr="005E2093" w:rsidRDefault="006E5645" w:rsidP="005E2093">
      <w:pPr>
        <w:pStyle w:val="H1ListSpace"/>
      </w:pPr>
      <w:r>
        <w:t>DISCUSSION</w:t>
      </w:r>
    </w:p>
    <w:p w14:paraId="787C3237" w14:textId="25C20F1C" w:rsidR="005E2093" w:rsidRPr="005E2093" w:rsidRDefault="005E2093" w:rsidP="005E2093">
      <w:pPr>
        <w:jc w:val="both"/>
        <w:rPr>
          <w:b/>
          <w:bCs/>
          <w:sz w:val="20"/>
          <w:szCs w:val="20"/>
        </w:rPr>
      </w:pPr>
      <w:r>
        <w:rPr>
          <w:b/>
          <w:bCs/>
          <w:sz w:val="20"/>
          <w:szCs w:val="20"/>
        </w:rPr>
        <w:t>A</w:t>
      </w:r>
      <w:r w:rsidRPr="005417E5">
        <w:rPr>
          <w:b/>
          <w:bCs/>
          <w:sz w:val="20"/>
          <w:szCs w:val="20"/>
        </w:rPr>
        <w:t xml:space="preserve">. </w:t>
      </w:r>
      <w:r>
        <w:rPr>
          <w:b/>
          <w:bCs/>
          <w:sz w:val="20"/>
          <w:szCs w:val="20"/>
        </w:rPr>
        <w:t>Principal Insights</w:t>
      </w:r>
    </w:p>
    <w:p w14:paraId="0F782EEA" w14:textId="2950EA8B" w:rsidR="005E2093" w:rsidRPr="005E2093" w:rsidRDefault="0051426B" w:rsidP="005E2093">
      <w:pPr>
        <w:spacing w:after="120"/>
        <w:jc w:val="both"/>
        <w:rPr>
          <w:sz w:val="20"/>
          <w:szCs w:val="20"/>
        </w:rPr>
      </w:pPr>
      <w:r w:rsidRPr="0051426B">
        <w:rPr>
          <w:sz w:val="20"/>
          <w:szCs w:val="20"/>
        </w:rPr>
        <w:t>This study evaluates three tabular synthesis paradigms for learning analytics data under a single protocol and a consistent set of metrics. Three findings are most salient.</w:t>
      </w:r>
    </w:p>
    <w:p w14:paraId="30D82459" w14:textId="21AA35F7" w:rsidR="0051426B" w:rsidRPr="0051426B" w:rsidRDefault="0051426B" w:rsidP="0051426B">
      <w:pPr>
        <w:spacing w:after="120"/>
        <w:jc w:val="both"/>
        <w:rPr>
          <w:sz w:val="20"/>
          <w:szCs w:val="20"/>
        </w:rPr>
      </w:pPr>
      <w:r w:rsidRPr="0051426B">
        <w:rPr>
          <w:sz w:val="20"/>
          <w:szCs w:val="20"/>
        </w:rPr>
        <w:t>First, diffusion-based synthesis provides the strongest downstream utility in this setting. Across both datasets, TabDDPM produces synthetic tables that support predictive models with the smallest utility gap relative to training on real data. This holds for classification and for regression, and it is consistent with the model selection summaries in the results. A practical interpretation is that, for the studied benchmarks, diffusion training and sampling can preserve task-relevant signal even when certain global similarity scores are not maximized.</w:t>
      </w:r>
    </w:p>
    <w:p w14:paraId="1AFFCBB3" w14:textId="7B666128" w:rsidR="0051426B" w:rsidRPr="0051426B" w:rsidRDefault="0051426B" w:rsidP="0051426B">
      <w:pPr>
        <w:spacing w:after="120"/>
        <w:jc w:val="both"/>
        <w:rPr>
          <w:sz w:val="20"/>
          <w:szCs w:val="20"/>
        </w:rPr>
      </w:pPr>
      <w:r w:rsidRPr="0051426B">
        <w:rPr>
          <w:sz w:val="20"/>
          <w:szCs w:val="20"/>
        </w:rPr>
        <w:t>Second, empirical membership inference risk remains close to chance under the evaluated threat model for all three synthesizers. Membership inference AUC values cluster near 0.5 across datasets, and the per-attacker analyses are consistent across attacker families. This does not establish a formal privacy guarantee, but it provides evidence that, for these data representations and attacker configurations, none of the methods exhibits strong membership leakage.</w:t>
      </w:r>
    </w:p>
    <w:p w14:paraId="586E2804" w14:textId="69D06959" w:rsidR="0051426B" w:rsidRPr="0051426B" w:rsidRDefault="0051426B" w:rsidP="0051426B">
      <w:pPr>
        <w:spacing w:after="120"/>
        <w:jc w:val="both"/>
        <w:rPr>
          <w:sz w:val="20"/>
          <w:szCs w:val="20"/>
        </w:rPr>
      </w:pPr>
      <w:r w:rsidRPr="0051426B">
        <w:rPr>
          <w:sz w:val="20"/>
          <w:szCs w:val="20"/>
        </w:rPr>
        <w:t xml:space="preserve">Third, distributional fidelity metrics do not reliably predict downstream utility. CTGAN achieves the highest SDMetrics quality scores across both datasets, yet TabDDPM yields better synthetic-to-real task transfer. This disconnect </w:t>
      </w:r>
      <w:proofErr w:type="gramStart"/>
      <w:r w:rsidRPr="0051426B">
        <w:rPr>
          <w:sz w:val="20"/>
          <w:szCs w:val="20"/>
        </w:rPr>
        <w:t>cautions</w:t>
      </w:r>
      <w:proofErr w:type="gramEnd"/>
      <w:r w:rsidRPr="0051426B">
        <w:rPr>
          <w:sz w:val="20"/>
          <w:szCs w:val="20"/>
        </w:rPr>
        <w:t xml:space="preserve"> against selecting a synthesizer solely on marginal and pairwise similarity summaries when the goal is to support specific learning analytics tasks.</w:t>
      </w:r>
    </w:p>
    <w:p w14:paraId="08A1F775" w14:textId="6E5FBC87" w:rsidR="0051426B" w:rsidRPr="0051426B" w:rsidRDefault="0051426B" w:rsidP="0051426B">
      <w:pPr>
        <w:spacing w:after="120"/>
        <w:jc w:val="both"/>
        <w:rPr>
          <w:b/>
          <w:bCs/>
          <w:sz w:val="20"/>
          <w:szCs w:val="20"/>
        </w:rPr>
      </w:pPr>
      <w:r w:rsidRPr="0051426B">
        <w:rPr>
          <w:b/>
          <w:bCs/>
          <w:sz w:val="20"/>
          <w:szCs w:val="20"/>
        </w:rPr>
        <w:t>B. Implications for Practice</w:t>
      </w:r>
    </w:p>
    <w:p w14:paraId="13426635" w14:textId="1713D1AE" w:rsidR="0051426B" w:rsidRPr="0051426B" w:rsidRDefault="0051426B" w:rsidP="0051426B">
      <w:pPr>
        <w:spacing w:after="120"/>
        <w:jc w:val="both"/>
        <w:rPr>
          <w:sz w:val="20"/>
          <w:szCs w:val="20"/>
        </w:rPr>
      </w:pPr>
      <w:r w:rsidRPr="0051426B">
        <w:rPr>
          <w:sz w:val="20"/>
          <w:szCs w:val="20"/>
        </w:rPr>
        <w:lastRenderedPageBreak/>
        <w:t>These results suggest three practical recommendations for researchers and institutions that consider releasing synthetic educational data.</w:t>
      </w:r>
    </w:p>
    <w:p w14:paraId="40AFBEC3" w14:textId="19E591B7" w:rsidR="0051426B" w:rsidRPr="0051426B" w:rsidRDefault="0051426B" w:rsidP="0051426B">
      <w:pPr>
        <w:spacing w:after="120"/>
        <w:jc w:val="both"/>
        <w:rPr>
          <w:sz w:val="20"/>
          <w:szCs w:val="20"/>
        </w:rPr>
      </w:pPr>
      <w:r w:rsidRPr="0051426B">
        <w:rPr>
          <w:sz w:val="20"/>
          <w:szCs w:val="20"/>
        </w:rPr>
        <w:t xml:space="preserve">Define the intended use before selecting a synthesizer. If synthetic data </w:t>
      </w:r>
      <w:proofErr w:type="gramStart"/>
      <w:r w:rsidRPr="0051426B">
        <w:rPr>
          <w:sz w:val="20"/>
          <w:szCs w:val="20"/>
        </w:rPr>
        <w:t>will support</w:t>
      </w:r>
      <w:proofErr w:type="gramEnd"/>
      <w:r w:rsidRPr="0051426B">
        <w:rPr>
          <w:sz w:val="20"/>
          <w:szCs w:val="20"/>
        </w:rPr>
        <w:t xml:space="preserve"> a particular downstream task, the primary criterion should be task transfer under a Train on Synthetic, Test on Real evaluation on a held-out real test split that matches the deployment objective. Fidelity scores remain valuable as diagnostics, but they should not be treated as decision proxies for predictive performance.</w:t>
      </w:r>
    </w:p>
    <w:p w14:paraId="0135B5B8" w14:textId="04505BFC" w:rsidR="0051426B" w:rsidRPr="0051426B" w:rsidRDefault="0051426B" w:rsidP="0051426B">
      <w:pPr>
        <w:spacing w:after="120"/>
        <w:jc w:val="both"/>
        <w:rPr>
          <w:sz w:val="20"/>
          <w:szCs w:val="20"/>
        </w:rPr>
      </w:pPr>
      <w:r w:rsidRPr="0051426B">
        <w:rPr>
          <w:sz w:val="20"/>
          <w:szCs w:val="20"/>
        </w:rPr>
        <w:t>Match the synthesizer to operational constraints. Gaussian Copula offers rapid fitting and sampling, which is attractive for exploratory analysis and rapid iteration. CTGAN provides a middle option that often improves task utility over purely statistical synthesis while remaining less computationally intensive than diffusion. TabDDPM provides the strongest utility but at a higher computational cost, which can be a constraint in resource-limited environments.</w:t>
      </w:r>
    </w:p>
    <w:p w14:paraId="15B18012" w14:textId="4DB7193F" w:rsidR="0051426B" w:rsidRPr="0051426B" w:rsidRDefault="0051426B" w:rsidP="0051426B">
      <w:pPr>
        <w:spacing w:after="120"/>
        <w:jc w:val="both"/>
        <w:rPr>
          <w:sz w:val="20"/>
          <w:szCs w:val="20"/>
        </w:rPr>
      </w:pPr>
      <w:r w:rsidRPr="0051426B">
        <w:rPr>
          <w:sz w:val="20"/>
          <w:szCs w:val="20"/>
        </w:rPr>
        <w:t>Treat privacy as an evaluated risk, not an assumed property. Near-chance membership inference results support cautious optimism under the evaluated threat model, but privacy risk depends on the released representation, the attacker capabilities, and the evaluation design. For applications that require formal guarantees, privacy mechanisms such as differential privacy should be considered explicitly, with the privacy and utility trade-off quantified for the target use case.</w:t>
      </w:r>
    </w:p>
    <w:p w14:paraId="4FDB7637" w14:textId="02BDFD9D" w:rsidR="0051426B" w:rsidRPr="0051426B" w:rsidRDefault="0051426B" w:rsidP="0051426B">
      <w:pPr>
        <w:spacing w:after="120"/>
        <w:jc w:val="both"/>
        <w:rPr>
          <w:b/>
          <w:bCs/>
          <w:sz w:val="20"/>
          <w:szCs w:val="20"/>
        </w:rPr>
      </w:pPr>
      <w:r w:rsidRPr="0051426B">
        <w:rPr>
          <w:b/>
          <w:bCs/>
          <w:sz w:val="20"/>
          <w:szCs w:val="20"/>
        </w:rPr>
        <w:t>C. Limitations</w:t>
      </w:r>
    </w:p>
    <w:p w14:paraId="572EA524" w14:textId="1EF6F266" w:rsidR="0051426B" w:rsidRPr="0051426B" w:rsidRDefault="0051426B" w:rsidP="0051426B">
      <w:pPr>
        <w:spacing w:after="120"/>
        <w:jc w:val="both"/>
        <w:rPr>
          <w:sz w:val="20"/>
          <w:szCs w:val="20"/>
        </w:rPr>
      </w:pPr>
      <w:r w:rsidRPr="0051426B">
        <w:rPr>
          <w:sz w:val="20"/>
          <w:szCs w:val="20"/>
        </w:rPr>
        <w:t>Several limitations affect generalization. The evaluation is restricted to tabular representations and does not cover sequential traces, text, or multimodal learning data. Utility is assessed using standard supervised models and may differ for other model families. The privacy analysis focuses on membership inference under the specified attacker configurations and does not exhaustively cover other disclosure risks. Finally, synthesizer hyperparameters were selected as part of a controlled experimental configuration rather than via extensive tuning, and additional optimization may change absolute performance and relative rankings.</w:t>
      </w:r>
    </w:p>
    <w:p w14:paraId="255831D4" w14:textId="3C5B8B2C" w:rsidR="0051426B" w:rsidRPr="0051426B" w:rsidRDefault="0051426B" w:rsidP="0051426B">
      <w:pPr>
        <w:spacing w:after="120"/>
        <w:jc w:val="both"/>
        <w:rPr>
          <w:b/>
          <w:bCs/>
          <w:sz w:val="20"/>
          <w:szCs w:val="20"/>
        </w:rPr>
      </w:pPr>
      <w:r w:rsidRPr="0051426B">
        <w:rPr>
          <w:b/>
          <w:bCs/>
          <w:sz w:val="20"/>
          <w:szCs w:val="20"/>
        </w:rPr>
        <w:t>D. Future Directions</w:t>
      </w:r>
    </w:p>
    <w:p w14:paraId="37F18490" w14:textId="156770B5" w:rsidR="005E2093" w:rsidRPr="005E2093" w:rsidRDefault="0051426B" w:rsidP="005E2093">
      <w:pPr>
        <w:spacing w:after="120"/>
        <w:jc w:val="both"/>
        <w:rPr>
          <w:sz w:val="20"/>
          <w:szCs w:val="20"/>
        </w:rPr>
      </w:pPr>
      <w:r w:rsidRPr="0051426B">
        <w:rPr>
          <w:sz w:val="20"/>
          <w:szCs w:val="20"/>
        </w:rPr>
        <w:t xml:space="preserve">Future work can extend these results </w:t>
      </w:r>
      <w:proofErr w:type="gramStart"/>
      <w:r w:rsidRPr="0051426B">
        <w:rPr>
          <w:sz w:val="20"/>
          <w:szCs w:val="20"/>
        </w:rPr>
        <w:t>along</w:t>
      </w:r>
      <w:proofErr w:type="gramEnd"/>
      <w:r w:rsidRPr="0051426B">
        <w:rPr>
          <w:sz w:val="20"/>
          <w:szCs w:val="20"/>
        </w:rPr>
        <w:t xml:space="preserve"> four directions. First, integrate formal privacy mechanisms and quantify privacy and utility trade-offs across a range of privacy budgets, rather than relying only on empirical attacks. Second, expand fairness auditing in synthetic data generation to evaluate whether subgroup disparities are preserved, reduced, or amplified, and to design constraints when required by policy or deployment goals. Third, extend synthesis beyond tabular aggregates to sequential learning trajectories and time-indexed traces, which are central to many learning analytics applications. Fourth, evaluate cross-institution scenarios, including federated or collaborative synthesis settings, where governance constraints motivate </w:t>
      </w:r>
      <w:r w:rsidRPr="0051426B">
        <w:rPr>
          <w:sz w:val="20"/>
          <w:szCs w:val="20"/>
        </w:rPr>
        <w:t>learning across distributed datasets without centralizing raw records.</w:t>
      </w:r>
    </w:p>
    <w:p w14:paraId="7F9A712A" w14:textId="341A199C" w:rsidR="00DE68C9" w:rsidRPr="00E52EF8" w:rsidRDefault="0051426B" w:rsidP="00DE68C9">
      <w:pPr>
        <w:pStyle w:val="H1ListSpace"/>
      </w:pPr>
      <w:r>
        <w:t>PRACTICAL GUIDANCE</w:t>
      </w:r>
    </w:p>
    <w:p w14:paraId="58D427C0" w14:textId="1E65491B" w:rsidR="0090632A" w:rsidRPr="0090632A" w:rsidRDefault="0090632A" w:rsidP="0090632A">
      <w:pPr>
        <w:spacing w:after="120"/>
        <w:jc w:val="both"/>
        <w:rPr>
          <w:sz w:val="20"/>
          <w:szCs w:val="20"/>
        </w:rPr>
      </w:pPr>
      <w:r w:rsidRPr="0090632A">
        <w:rPr>
          <w:sz w:val="20"/>
          <w:szCs w:val="20"/>
        </w:rPr>
        <w:t>We distill the empirical findings into actionable guidance for selecting a tabular synthesizer and for conducting reproducible evaluations prior to releasing synthetic educational data. Recommendations are grounded in the study’s observed trade-offs among downstream utility, empirical membership-inference risk, statistical fidelity, and computational cost.</w:t>
      </w:r>
    </w:p>
    <w:p w14:paraId="21EE955D" w14:textId="00036C7B" w:rsidR="0090632A" w:rsidRPr="0090632A" w:rsidRDefault="0090632A" w:rsidP="0090632A">
      <w:pPr>
        <w:spacing w:after="120"/>
        <w:jc w:val="both"/>
        <w:rPr>
          <w:b/>
          <w:bCs/>
          <w:sz w:val="20"/>
          <w:szCs w:val="20"/>
        </w:rPr>
      </w:pPr>
      <w:r w:rsidRPr="0090632A">
        <w:rPr>
          <w:b/>
          <w:bCs/>
          <w:sz w:val="20"/>
          <w:szCs w:val="20"/>
        </w:rPr>
        <w:t>A. Model Selection Guidance</w:t>
      </w:r>
    </w:p>
    <w:p w14:paraId="5BDCA96A" w14:textId="2EB260E9" w:rsidR="0090632A" w:rsidRPr="0090632A" w:rsidRDefault="0090632A" w:rsidP="0090632A">
      <w:pPr>
        <w:spacing w:after="120"/>
        <w:jc w:val="both"/>
        <w:rPr>
          <w:sz w:val="20"/>
          <w:szCs w:val="20"/>
        </w:rPr>
      </w:pPr>
      <w:r w:rsidRPr="0090632A">
        <w:rPr>
          <w:sz w:val="20"/>
          <w:szCs w:val="20"/>
        </w:rPr>
        <w:t>Model choice depends on the primary constraint.</w:t>
      </w:r>
    </w:p>
    <w:p w14:paraId="5B666340" w14:textId="0C3C929E" w:rsidR="0090632A" w:rsidRPr="0090632A" w:rsidRDefault="0090632A" w:rsidP="0090632A">
      <w:pPr>
        <w:spacing w:after="120"/>
        <w:jc w:val="both"/>
        <w:rPr>
          <w:sz w:val="20"/>
          <w:szCs w:val="20"/>
        </w:rPr>
      </w:pPr>
      <w:r w:rsidRPr="0090632A">
        <w:rPr>
          <w:sz w:val="20"/>
          <w:szCs w:val="20"/>
        </w:rPr>
        <w:t>High-stakes predictive use. When the primary objective is to minimize the synthetic-to-real utility gap for a defined downstream task, TabDDPM is the preferred option in this study. It consistently delivered the strongest task transfer while maintaining near-chance membership inference performance under the evaluated threat model.</w:t>
      </w:r>
    </w:p>
    <w:p w14:paraId="7E302F42" w14:textId="44ABD66D" w:rsidR="0090632A" w:rsidRPr="0090632A" w:rsidRDefault="0090632A" w:rsidP="0090632A">
      <w:pPr>
        <w:spacing w:after="120"/>
        <w:jc w:val="both"/>
        <w:rPr>
          <w:sz w:val="20"/>
          <w:szCs w:val="20"/>
        </w:rPr>
      </w:pPr>
      <w:r w:rsidRPr="0090632A">
        <w:rPr>
          <w:sz w:val="20"/>
          <w:szCs w:val="20"/>
        </w:rPr>
        <w:t xml:space="preserve">Resource-limited training budgets. When </w:t>
      </w:r>
      <w:proofErr w:type="gramStart"/>
      <w:r w:rsidRPr="0090632A">
        <w:rPr>
          <w:sz w:val="20"/>
          <w:szCs w:val="20"/>
        </w:rPr>
        <w:t>compute</w:t>
      </w:r>
      <w:proofErr w:type="gramEnd"/>
      <w:r w:rsidRPr="0090632A">
        <w:rPr>
          <w:sz w:val="20"/>
          <w:szCs w:val="20"/>
        </w:rPr>
        <w:t xml:space="preserve"> time or hardware access is constrained, CTGAN provides a pragmatic compromise. It delivered competitive task transfer relative to Gaussian Copula while requiring substantially less </w:t>
      </w:r>
      <w:proofErr w:type="gramStart"/>
      <w:r w:rsidRPr="0090632A">
        <w:rPr>
          <w:sz w:val="20"/>
          <w:szCs w:val="20"/>
        </w:rPr>
        <w:t>compute</w:t>
      </w:r>
      <w:proofErr w:type="gramEnd"/>
      <w:r w:rsidRPr="0090632A">
        <w:rPr>
          <w:sz w:val="20"/>
          <w:szCs w:val="20"/>
        </w:rPr>
        <w:t xml:space="preserve"> than diffusion-based training in this experimental setting.</w:t>
      </w:r>
    </w:p>
    <w:p w14:paraId="0DE47E10" w14:textId="037899AB" w:rsidR="0090632A" w:rsidRPr="0090632A" w:rsidRDefault="0090632A" w:rsidP="0090632A">
      <w:pPr>
        <w:spacing w:after="120"/>
        <w:jc w:val="both"/>
        <w:rPr>
          <w:sz w:val="20"/>
          <w:szCs w:val="20"/>
        </w:rPr>
      </w:pPr>
      <w:r w:rsidRPr="0090632A">
        <w:rPr>
          <w:sz w:val="20"/>
          <w:szCs w:val="20"/>
        </w:rPr>
        <w:t xml:space="preserve">Rapid iteration and </w:t>
      </w:r>
      <w:proofErr w:type="gramStart"/>
      <w:r w:rsidRPr="0090632A">
        <w:rPr>
          <w:sz w:val="20"/>
          <w:szCs w:val="20"/>
        </w:rPr>
        <w:t>baselining</w:t>
      </w:r>
      <w:proofErr w:type="gramEnd"/>
      <w:r w:rsidRPr="0090632A">
        <w:rPr>
          <w:sz w:val="20"/>
          <w:szCs w:val="20"/>
        </w:rPr>
        <w:t>. When the priority is fast iteration, sensitivity checks, or establishing baselines, Gaussian Copula is appropriate. It trains and samples quickly, but it exhibited larger utility gaps than the neural synthesizers in this study.</w:t>
      </w:r>
    </w:p>
    <w:p w14:paraId="11C4DA6C" w14:textId="77777777" w:rsidR="0090632A" w:rsidRPr="0090632A" w:rsidRDefault="0090632A" w:rsidP="0090632A">
      <w:pPr>
        <w:spacing w:after="120"/>
        <w:jc w:val="both"/>
        <w:rPr>
          <w:sz w:val="20"/>
          <w:szCs w:val="20"/>
        </w:rPr>
      </w:pPr>
      <w:r w:rsidRPr="0090632A">
        <w:rPr>
          <w:sz w:val="20"/>
          <w:szCs w:val="20"/>
        </w:rPr>
        <w:t xml:space="preserve">Across </w:t>
      </w:r>
      <w:proofErr w:type="gramStart"/>
      <w:r w:rsidRPr="0090632A">
        <w:rPr>
          <w:sz w:val="20"/>
          <w:szCs w:val="20"/>
        </w:rPr>
        <w:t>all use</w:t>
      </w:r>
      <w:proofErr w:type="gramEnd"/>
      <w:r w:rsidRPr="0090632A">
        <w:rPr>
          <w:sz w:val="20"/>
          <w:szCs w:val="20"/>
        </w:rPr>
        <w:t xml:space="preserve"> cases, synthesizer selection should be driven by the intended downstream tasks rather than by fidelity metrics alone. Distributional similarity scores are useful diagnostics, but they did not reliably predict task transfer in these experiments.</w:t>
      </w:r>
    </w:p>
    <w:p w14:paraId="47FC13F6" w14:textId="77777777" w:rsidR="0090632A" w:rsidRPr="0090632A" w:rsidRDefault="0090632A" w:rsidP="0090632A">
      <w:pPr>
        <w:spacing w:after="120"/>
        <w:jc w:val="both"/>
        <w:rPr>
          <w:sz w:val="20"/>
          <w:szCs w:val="20"/>
        </w:rPr>
      </w:pPr>
    </w:p>
    <w:p w14:paraId="29150ADE" w14:textId="0AD16991" w:rsidR="0090632A" w:rsidRPr="0090632A" w:rsidRDefault="0090632A" w:rsidP="0090632A">
      <w:pPr>
        <w:spacing w:after="120"/>
        <w:jc w:val="both"/>
        <w:rPr>
          <w:b/>
          <w:bCs/>
          <w:sz w:val="20"/>
          <w:szCs w:val="20"/>
        </w:rPr>
      </w:pPr>
      <w:r w:rsidRPr="0090632A">
        <w:rPr>
          <w:b/>
          <w:bCs/>
          <w:sz w:val="20"/>
          <w:szCs w:val="20"/>
        </w:rPr>
        <w:t>B. Operational Checklist for Releasing Synthetic Educational Data</w:t>
      </w:r>
    </w:p>
    <w:p w14:paraId="10EE0799" w14:textId="1ECB9750" w:rsidR="0090632A" w:rsidRPr="0090632A" w:rsidRDefault="0090632A" w:rsidP="0090632A">
      <w:pPr>
        <w:spacing w:after="120"/>
        <w:jc w:val="both"/>
        <w:rPr>
          <w:sz w:val="20"/>
          <w:szCs w:val="20"/>
        </w:rPr>
      </w:pPr>
      <w:r w:rsidRPr="0090632A">
        <w:rPr>
          <w:sz w:val="20"/>
          <w:szCs w:val="20"/>
        </w:rPr>
        <w:t>The following steps support reproducible and defensible release decisions.</w:t>
      </w:r>
    </w:p>
    <w:p w14:paraId="53EF908B" w14:textId="2484673B" w:rsidR="00DE68C9" w:rsidRDefault="0090632A" w:rsidP="00DE68C9">
      <w:pPr>
        <w:spacing w:after="120"/>
        <w:jc w:val="both"/>
        <w:rPr>
          <w:sz w:val="20"/>
          <w:szCs w:val="20"/>
        </w:rPr>
      </w:pPr>
      <w:r w:rsidRPr="0090632A">
        <w:rPr>
          <w:sz w:val="20"/>
          <w:szCs w:val="20"/>
        </w:rPr>
        <w:t xml:space="preserve">Define the release objective and the downstream tasks that the synthetic data should support. Split the real data into training and held-out test partitions before any synthesis. Train the synthesizer only on the training partition and generate a synthetic table matched in size and schema. Evaluate statistical fidelity, task transfer under Train on Synthetic, Test on Real, and privacy risk under membership inference. Compare task performance against the real-data baseline on the same held-out test split and define an acceptable utility gap threshold for the intended use. Document the synthesizer configuration, random seeds, data </w:t>
      </w:r>
      <w:r w:rsidRPr="0090632A">
        <w:rPr>
          <w:sz w:val="20"/>
          <w:szCs w:val="20"/>
        </w:rPr>
        <w:lastRenderedPageBreak/>
        <w:t>preprocessing, and compute requirements, and re-evaluate when the source data distribution changes.</w:t>
      </w:r>
    </w:p>
    <w:p w14:paraId="0538AF72" w14:textId="06859F0E" w:rsidR="00E52EF8" w:rsidRPr="00E52EF8" w:rsidRDefault="001C597C" w:rsidP="001C597C">
      <w:pPr>
        <w:pStyle w:val="H1ListSpace"/>
      </w:pPr>
      <w:r w:rsidRPr="00165F70">
        <w:t>CONCLUSION</w:t>
      </w:r>
    </w:p>
    <w:p w14:paraId="16B1323F" w14:textId="1631AF33" w:rsidR="0090632A" w:rsidRPr="0090632A" w:rsidRDefault="0090632A" w:rsidP="0090632A">
      <w:pPr>
        <w:spacing w:after="240"/>
        <w:jc w:val="both"/>
        <w:rPr>
          <w:sz w:val="20"/>
          <w:szCs w:val="20"/>
        </w:rPr>
      </w:pPr>
      <w:r w:rsidRPr="0090632A">
        <w:rPr>
          <w:sz w:val="20"/>
          <w:szCs w:val="20"/>
        </w:rPr>
        <w:t>Synthla-Edu V2 provides a unified empirical evaluation of synthetic tabular data generation for learning analytics across two widely used benchmarks, OULAD and ASSISTments, spanning 41,112 student records. Three synthesizer paradigms were compared: a statistical copula model (Gaussian Copula), an adversarial GAN model (CTGAN), and a diffusion model (TabDDPM). Evaluation jointly considered distributional fidelity, downstream task transfer under Train on Synthetic, Test on Real, empirical privacy risk via membership inference, and computational cost.</w:t>
      </w:r>
    </w:p>
    <w:p w14:paraId="2E318451" w14:textId="7870B08B" w:rsidR="0090632A" w:rsidRPr="0090632A" w:rsidRDefault="0090632A" w:rsidP="0090632A">
      <w:pPr>
        <w:spacing w:after="240"/>
        <w:jc w:val="both"/>
        <w:rPr>
          <w:sz w:val="20"/>
          <w:szCs w:val="20"/>
        </w:rPr>
      </w:pPr>
      <w:r w:rsidRPr="0090632A">
        <w:rPr>
          <w:sz w:val="20"/>
          <w:szCs w:val="20"/>
        </w:rPr>
        <w:t>Two conclusions are most consequential for learning analytics practice and benchmarking. First, downstream utility is not reliably predicted by distributional fidelity. CTGAN achieved the strongest SDMetrics scores, yet TabDDPM consistently delivered the strongest synthetic-to-real task transfer across the studied classification and regression settings. This result argues against selecting a synthesizer using fidelity summaries alone when the intended use is predictive modeling.</w:t>
      </w:r>
    </w:p>
    <w:p w14:paraId="7891C96C" w14:textId="01D23610" w:rsidR="0090632A" w:rsidRPr="0090632A" w:rsidRDefault="0090632A" w:rsidP="0090632A">
      <w:pPr>
        <w:spacing w:after="240"/>
        <w:jc w:val="both"/>
        <w:rPr>
          <w:sz w:val="20"/>
          <w:szCs w:val="20"/>
        </w:rPr>
      </w:pPr>
      <w:r w:rsidRPr="0090632A">
        <w:rPr>
          <w:sz w:val="20"/>
          <w:szCs w:val="20"/>
        </w:rPr>
        <w:t>Second, empirical membership inference performance remained close to chance for all three synthesizers under the evaluated threat model, indicating limited membership leakage in these experiments. This supports the use of synthetic data as a practical alternative to releasing raw student records for many research and benchmarking workflows, while recognizing that empirical attack results are not a formal privacy guarantee and should be re-evaluated when data representations or attacker assumptions change.</w:t>
      </w:r>
    </w:p>
    <w:p w14:paraId="18FE007F" w14:textId="0CD27B55" w:rsidR="00DE68C9" w:rsidRDefault="0090632A" w:rsidP="0090632A">
      <w:pPr>
        <w:spacing w:after="240"/>
        <w:jc w:val="both"/>
        <w:rPr>
          <w:sz w:val="20"/>
          <w:szCs w:val="20"/>
        </w:rPr>
      </w:pPr>
      <w:r w:rsidRPr="0090632A">
        <w:rPr>
          <w:sz w:val="20"/>
          <w:szCs w:val="20"/>
        </w:rPr>
        <w:t xml:space="preserve">Overall, the results support a task-driven approach to synthetic data release in learning analytics: define the downstream objective, measure Train on Synthetic, Test on Real performance against a real-data baseline on a held-out </w:t>
      </w:r>
      <w:proofErr w:type="gramStart"/>
      <w:r w:rsidRPr="0090632A">
        <w:rPr>
          <w:sz w:val="20"/>
          <w:szCs w:val="20"/>
        </w:rPr>
        <w:t>split, and</w:t>
      </w:r>
      <w:proofErr w:type="gramEnd"/>
      <w:r w:rsidRPr="0090632A">
        <w:rPr>
          <w:sz w:val="20"/>
          <w:szCs w:val="20"/>
        </w:rPr>
        <w:t xml:space="preserve"> then use fidelity and realism metrics as diagnostics rather than decision proxies. Under these criteria, diffusion-based synthesis emerges as the strongest option when maximizing utility is the primary objective and </w:t>
      </w:r>
      <w:proofErr w:type="gramStart"/>
      <w:r w:rsidRPr="0090632A">
        <w:rPr>
          <w:sz w:val="20"/>
          <w:szCs w:val="20"/>
        </w:rPr>
        <w:t>compute</w:t>
      </w:r>
      <w:proofErr w:type="gramEnd"/>
      <w:r w:rsidRPr="0090632A">
        <w:rPr>
          <w:sz w:val="20"/>
          <w:szCs w:val="20"/>
        </w:rPr>
        <w:t xml:space="preserve"> budgets allow, while CTGAN and Gaussian Copula remain useful under tighter computational constraints or rapid iteration needs</w:t>
      </w:r>
      <w:r w:rsidR="00DE68C9" w:rsidRPr="00DE68C9">
        <w:rPr>
          <w:sz w:val="20"/>
          <w:szCs w:val="20"/>
        </w:rPr>
        <w:t>.</w:t>
      </w:r>
    </w:p>
    <w:p w14:paraId="45D6B73D" w14:textId="16951BF5" w:rsidR="001C597C" w:rsidRPr="001C597C" w:rsidRDefault="00E52EF8" w:rsidP="00F62DC5">
      <w:pPr>
        <w:pStyle w:val="H1"/>
        <w:spacing w:before="0"/>
      </w:pPr>
      <w:r>
        <w:t>ACKNOWLEDGMENT</w:t>
      </w:r>
    </w:p>
    <w:p w14:paraId="791BADE9" w14:textId="757DE638" w:rsidR="0034563D" w:rsidRPr="0034563D" w:rsidRDefault="0090632A" w:rsidP="0034563D">
      <w:pPr>
        <w:pStyle w:val="PARA"/>
        <w:jc w:val="left"/>
        <w:rPr>
          <w:spacing w:val="0"/>
        </w:rPr>
      </w:pPr>
      <w:r w:rsidRPr="0090632A">
        <w:rPr>
          <w:spacing w:val="0"/>
        </w:rPr>
        <w:t>Artifacts, code, configurations, and metadata are available in the Synthla-Edu V2 repository to support independent verification and reproducibility:</w:t>
      </w:r>
      <w:r w:rsidR="00E52EF8" w:rsidRPr="00E52EF8">
        <w:rPr>
          <w:spacing w:val="0"/>
        </w:rPr>
        <w:t xml:space="preserve"> </w:t>
      </w:r>
      <w:hyperlink r:id="rId21" w:history="1">
        <w:r w:rsidR="00DE68C9" w:rsidRPr="00CF2B7D">
          <w:rPr>
            <w:rStyle w:val="Hyperlink"/>
            <w:spacing w:val="0"/>
          </w:rPr>
          <w:t>https://github.com/divineiloh/Synthla-edu-v2</w:t>
        </w:r>
      </w:hyperlink>
      <w:r w:rsidR="00DE68C9">
        <w:rPr>
          <w:spacing w:val="0"/>
        </w:rPr>
        <w:t xml:space="preserve"> </w:t>
      </w:r>
    </w:p>
    <w:p w14:paraId="45270A68" w14:textId="77777777" w:rsidR="006B478E" w:rsidRDefault="006B478E" w:rsidP="001E4083">
      <w:pPr>
        <w:pStyle w:val="H1"/>
        <w:spacing w:before="300"/>
      </w:pPr>
    </w:p>
    <w:p w14:paraId="424C234D" w14:textId="77777777" w:rsidR="006B478E" w:rsidRDefault="006B478E" w:rsidP="001E4083">
      <w:pPr>
        <w:pStyle w:val="H1"/>
        <w:spacing w:before="300"/>
      </w:pPr>
    </w:p>
    <w:p w14:paraId="74C2736D" w14:textId="77777777" w:rsidR="006B478E" w:rsidRDefault="006B478E" w:rsidP="001E4083">
      <w:pPr>
        <w:pStyle w:val="H1"/>
        <w:spacing w:before="300"/>
      </w:pPr>
    </w:p>
    <w:p w14:paraId="57697D34" w14:textId="77777777" w:rsidR="006B478E" w:rsidRDefault="006B478E" w:rsidP="001E4083">
      <w:pPr>
        <w:pStyle w:val="H1"/>
        <w:spacing w:before="300"/>
      </w:pPr>
    </w:p>
    <w:p w14:paraId="47F1728C" w14:textId="77777777" w:rsidR="006B478E" w:rsidRDefault="006B478E" w:rsidP="001E4083">
      <w:pPr>
        <w:pStyle w:val="H1"/>
        <w:spacing w:before="300"/>
      </w:pPr>
    </w:p>
    <w:p w14:paraId="4558E536" w14:textId="77777777" w:rsidR="006B478E" w:rsidRDefault="006B478E" w:rsidP="001E4083">
      <w:pPr>
        <w:pStyle w:val="H1"/>
        <w:spacing w:before="300"/>
      </w:pPr>
    </w:p>
    <w:p w14:paraId="7C6B1387" w14:textId="77777777" w:rsidR="006B478E" w:rsidRDefault="006B478E" w:rsidP="001E4083">
      <w:pPr>
        <w:pStyle w:val="H1"/>
        <w:spacing w:before="300"/>
      </w:pPr>
    </w:p>
    <w:p w14:paraId="4BDEC0D8" w14:textId="77777777" w:rsidR="006B478E" w:rsidRDefault="006B478E" w:rsidP="001E4083">
      <w:pPr>
        <w:pStyle w:val="H1"/>
        <w:spacing w:before="300"/>
      </w:pPr>
    </w:p>
    <w:p w14:paraId="77E7CFF2" w14:textId="77777777" w:rsidR="006B478E" w:rsidRDefault="006B478E" w:rsidP="001E4083">
      <w:pPr>
        <w:pStyle w:val="H1"/>
        <w:spacing w:before="300"/>
      </w:pPr>
    </w:p>
    <w:p w14:paraId="022096E6" w14:textId="77777777" w:rsidR="006B478E" w:rsidRDefault="006B478E" w:rsidP="001E4083">
      <w:pPr>
        <w:pStyle w:val="H1"/>
        <w:spacing w:before="300"/>
      </w:pPr>
    </w:p>
    <w:p w14:paraId="1FC10B44" w14:textId="77777777" w:rsidR="006B478E" w:rsidRDefault="006B478E" w:rsidP="001E4083">
      <w:pPr>
        <w:pStyle w:val="H1"/>
        <w:spacing w:before="300"/>
      </w:pPr>
    </w:p>
    <w:p w14:paraId="00D62E6C" w14:textId="77777777" w:rsidR="006B478E" w:rsidRDefault="006B478E" w:rsidP="001E4083">
      <w:pPr>
        <w:pStyle w:val="H1"/>
        <w:spacing w:before="300"/>
      </w:pPr>
    </w:p>
    <w:p w14:paraId="577219E0" w14:textId="77777777" w:rsidR="006B478E" w:rsidRDefault="006B478E" w:rsidP="001E4083">
      <w:pPr>
        <w:pStyle w:val="H1"/>
        <w:spacing w:before="300"/>
      </w:pPr>
    </w:p>
    <w:p w14:paraId="6EB43386" w14:textId="77777777" w:rsidR="006B478E" w:rsidRDefault="006B478E" w:rsidP="001E4083">
      <w:pPr>
        <w:pStyle w:val="H1"/>
        <w:spacing w:before="300"/>
      </w:pPr>
    </w:p>
    <w:p w14:paraId="5DD2E6F0" w14:textId="77777777" w:rsidR="006B478E" w:rsidRDefault="006B478E" w:rsidP="001E4083">
      <w:pPr>
        <w:pStyle w:val="H1"/>
        <w:spacing w:before="300"/>
      </w:pPr>
    </w:p>
    <w:p w14:paraId="35E9220C" w14:textId="77777777" w:rsidR="006B478E" w:rsidRDefault="006B478E" w:rsidP="001E4083">
      <w:pPr>
        <w:pStyle w:val="H1"/>
        <w:spacing w:before="300"/>
      </w:pPr>
    </w:p>
    <w:p w14:paraId="6CC5EF79" w14:textId="77777777" w:rsidR="006B478E" w:rsidRDefault="006B478E" w:rsidP="001E4083">
      <w:pPr>
        <w:pStyle w:val="H1"/>
        <w:spacing w:before="300"/>
      </w:pPr>
    </w:p>
    <w:p w14:paraId="6ADA5F36" w14:textId="77777777" w:rsidR="006B478E" w:rsidRDefault="006B478E" w:rsidP="001E4083">
      <w:pPr>
        <w:pStyle w:val="H1"/>
        <w:spacing w:before="300"/>
      </w:pPr>
    </w:p>
    <w:p w14:paraId="1213A4CA" w14:textId="77777777" w:rsidR="006B478E" w:rsidRDefault="006B478E" w:rsidP="001E4083">
      <w:pPr>
        <w:pStyle w:val="H1"/>
        <w:spacing w:before="300"/>
      </w:pPr>
    </w:p>
    <w:p w14:paraId="6667991F" w14:textId="77777777" w:rsidR="006B478E" w:rsidRDefault="006B478E" w:rsidP="001E4083">
      <w:pPr>
        <w:pStyle w:val="H1"/>
        <w:spacing w:before="300"/>
      </w:pPr>
    </w:p>
    <w:p w14:paraId="14C58D48" w14:textId="77777777" w:rsidR="006B478E" w:rsidRDefault="006B478E" w:rsidP="001E4083">
      <w:pPr>
        <w:pStyle w:val="H1"/>
        <w:spacing w:before="300"/>
      </w:pPr>
    </w:p>
    <w:p w14:paraId="4D4775CE" w14:textId="77777777" w:rsidR="006B478E" w:rsidRDefault="006B478E" w:rsidP="001E4083">
      <w:pPr>
        <w:pStyle w:val="H1"/>
        <w:spacing w:before="300"/>
      </w:pPr>
    </w:p>
    <w:p w14:paraId="2FC07FF0" w14:textId="77777777" w:rsidR="006B478E" w:rsidRDefault="006B478E" w:rsidP="001E4083">
      <w:pPr>
        <w:pStyle w:val="H1"/>
        <w:spacing w:before="300"/>
      </w:pPr>
    </w:p>
    <w:p w14:paraId="13B17084" w14:textId="77777777" w:rsidR="006B478E" w:rsidRDefault="006B478E" w:rsidP="001E4083">
      <w:pPr>
        <w:pStyle w:val="H1"/>
        <w:spacing w:before="300"/>
      </w:pPr>
    </w:p>
    <w:p w14:paraId="50BC4F25" w14:textId="77777777" w:rsidR="006B478E" w:rsidRDefault="006B478E" w:rsidP="001E4083">
      <w:pPr>
        <w:pStyle w:val="H1"/>
        <w:spacing w:before="300"/>
      </w:pPr>
    </w:p>
    <w:p w14:paraId="09CB72FC" w14:textId="77777777" w:rsidR="006B478E" w:rsidRDefault="006B478E" w:rsidP="001E4083">
      <w:pPr>
        <w:pStyle w:val="H1"/>
        <w:spacing w:before="300"/>
      </w:pPr>
    </w:p>
    <w:p w14:paraId="6A3E8882" w14:textId="77777777" w:rsidR="006B478E" w:rsidRDefault="006B478E" w:rsidP="001E4083">
      <w:pPr>
        <w:pStyle w:val="H1"/>
        <w:spacing w:before="300"/>
      </w:pPr>
    </w:p>
    <w:p w14:paraId="51BEB1E5" w14:textId="77777777" w:rsidR="006B478E" w:rsidRDefault="006B478E" w:rsidP="001E4083">
      <w:pPr>
        <w:pStyle w:val="H1"/>
        <w:spacing w:before="300"/>
      </w:pPr>
    </w:p>
    <w:p w14:paraId="7CD699F9" w14:textId="57ABA4BE" w:rsidR="00067C21" w:rsidRPr="001C597C" w:rsidRDefault="00067C21" w:rsidP="001E4083">
      <w:pPr>
        <w:pStyle w:val="H1"/>
        <w:spacing w:before="300"/>
      </w:pPr>
      <w:r w:rsidRPr="00067C21">
        <w:lastRenderedPageBreak/>
        <w:t>REFERENCES</w:t>
      </w:r>
    </w:p>
    <w:p w14:paraId="5ED3C2B1" w14:textId="7D9D226C" w:rsidR="00E52EF8" w:rsidRDefault="00DE68C9" w:rsidP="002A24AD">
      <w:pPr>
        <w:pStyle w:val="References"/>
        <w:rPr>
          <w:sz w:val="18"/>
          <w:szCs w:val="18"/>
        </w:rPr>
      </w:pPr>
      <w:r w:rsidRPr="00DE68C9">
        <w:rPr>
          <w:sz w:val="18"/>
          <w:szCs w:val="18"/>
        </w:rPr>
        <w:t>G. Siemens, "Learning analytics: The emergence of a discipline," American Behavioral Scientist, vol. 57, no. 10, pp. 1380–1400, 2013</w:t>
      </w:r>
      <w:r w:rsidR="00E52EF8" w:rsidRPr="00B30E9B">
        <w:rPr>
          <w:sz w:val="18"/>
          <w:szCs w:val="18"/>
        </w:rPr>
        <w:t>.</w:t>
      </w:r>
    </w:p>
    <w:p w14:paraId="21E9A081" w14:textId="663C88B1" w:rsidR="006B478E" w:rsidRDefault="005517F8" w:rsidP="002A24AD">
      <w:pPr>
        <w:pStyle w:val="References"/>
        <w:rPr>
          <w:sz w:val="18"/>
          <w:szCs w:val="18"/>
        </w:rPr>
      </w:pPr>
      <w:r w:rsidRPr="00DE68C9">
        <w:rPr>
          <w:sz w:val="18"/>
          <w:szCs w:val="18"/>
        </w:rPr>
        <w:t>A. Pardo and G. Siemens, "Ethical and privacy principles for learning analytics," British Journal of Educational Technology, vol. 45, no. 3, pp. 438–450, 2014</w:t>
      </w:r>
      <w:r>
        <w:rPr>
          <w:sz w:val="18"/>
          <w:szCs w:val="18"/>
        </w:rPr>
        <w:t>.</w:t>
      </w:r>
    </w:p>
    <w:p w14:paraId="416EBDA5" w14:textId="1631A896" w:rsidR="005517F8" w:rsidRDefault="005517F8" w:rsidP="002A24AD">
      <w:pPr>
        <w:pStyle w:val="References"/>
        <w:rPr>
          <w:sz w:val="18"/>
          <w:szCs w:val="18"/>
        </w:rPr>
      </w:pPr>
      <w:r w:rsidRPr="003377BD">
        <w:rPr>
          <w:sz w:val="18"/>
          <w:szCs w:val="18"/>
        </w:rPr>
        <w:t xml:space="preserve">H. </w:t>
      </w:r>
      <w:proofErr w:type="spellStart"/>
      <w:r w:rsidRPr="003377BD">
        <w:rPr>
          <w:sz w:val="18"/>
          <w:szCs w:val="18"/>
        </w:rPr>
        <w:t>Drachsler</w:t>
      </w:r>
      <w:proofErr w:type="spellEnd"/>
      <w:r w:rsidRPr="003377BD">
        <w:rPr>
          <w:sz w:val="18"/>
          <w:szCs w:val="18"/>
        </w:rPr>
        <w:t xml:space="preserve"> and W. Greller, "Privacy and analytics: It's a DELICATE issue—A checklist for trusted learning analytics," in Proc. 6th Int. Conf. Learning Analytics &amp; Knowledge (LAK'16), 2016, pp. 89–98</w:t>
      </w:r>
      <w:r w:rsidRPr="00B30E9B">
        <w:rPr>
          <w:sz w:val="18"/>
          <w:szCs w:val="18"/>
        </w:rPr>
        <w:t>.</w:t>
      </w:r>
      <w:r>
        <w:rPr>
          <w:sz w:val="18"/>
          <w:szCs w:val="18"/>
        </w:rPr>
        <w:t xml:space="preserve"> </w:t>
      </w:r>
    </w:p>
    <w:p w14:paraId="693A1ED5" w14:textId="302830B5" w:rsidR="005517F8" w:rsidRDefault="005517F8" w:rsidP="002A24AD">
      <w:pPr>
        <w:pStyle w:val="References"/>
        <w:rPr>
          <w:sz w:val="18"/>
          <w:szCs w:val="18"/>
        </w:rPr>
      </w:pPr>
      <w:r w:rsidRPr="003377BD">
        <w:rPr>
          <w:sz w:val="18"/>
          <w:szCs w:val="18"/>
        </w:rPr>
        <w:t>P. Prinsloo and S. Slade, "An evaluation of policy frameworks for addressing ethical considerations in learning analytics," in Proc. 7th Int. Learning Analytics &amp; Knowledge Conf., 2017, pp. 470–474</w:t>
      </w:r>
      <w:r w:rsidRPr="00B30E9B">
        <w:rPr>
          <w:sz w:val="18"/>
          <w:szCs w:val="18"/>
        </w:rPr>
        <w:t>.</w:t>
      </w:r>
      <w:r>
        <w:rPr>
          <w:sz w:val="18"/>
          <w:szCs w:val="18"/>
        </w:rPr>
        <w:t xml:space="preserve"> </w:t>
      </w:r>
    </w:p>
    <w:p w14:paraId="17E8FB1F" w14:textId="77777777" w:rsidR="005517F8" w:rsidRDefault="005517F8" w:rsidP="002A24AD">
      <w:pPr>
        <w:pStyle w:val="References"/>
        <w:rPr>
          <w:sz w:val="18"/>
          <w:szCs w:val="18"/>
        </w:rPr>
      </w:pPr>
      <w:r w:rsidRPr="0080461E">
        <w:rPr>
          <w:sz w:val="18"/>
          <w:szCs w:val="18"/>
        </w:rPr>
        <w:t>U.S. Congress, “20 U.S.C. § 1232g: Family educational and privacy rights (FERPA),” United States Code, Office of the Law Revision Counsel</w:t>
      </w:r>
      <w:r>
        <w:rPr>
          <w:sz w:val="18"/>
          <w:szCs w:val="18"/>
        </w:rPr>
        <w:t>.</w:t>
      </w:r>
    </w:p>
    <w:p w14:paraId="0028F916" w14:textId="77777777" w:rsidR="005517F8" w:rsidRDefault="005517F8" w:rsidP="002A24AD">
      <w:pPr>
        <w:pStyle w:val="References"/>
        <w:rPr>
          <w:sz w:val="18"/>
          <w:szCs w:val="18"/>
        </w:rPr>
      </w:pPr>
      <w:r w:rsidRPr="008425AE">
        <w:rPr>
          <w:sz w:val="18"/>
          <w:szCs w:val="18"/>
        </w:rPr>
        <w:t>Regulation (EU) 2016/679 (General Data Protection Regulation), Official Journal L 119, 4 May 2016 (EUR-Lex)</w:t>
      </w:r>
      <w:r>
        <w:rPr>
          <w:sz w:val="18"/>
          <w:szCs w:val="18"/>
        </w:rPr>
        <w:t>.</w:t>
      </w:r>
    </w:p>
    <w:p w14:paraId="16AFB2CF" w14:textId="77777777" w:rsidR="005517F8" w:rsidRDefault="005517F8" w:rsidP="002A24AD">
      <w:pPr>
        <w:pStyle w:val="References"/>
        <w:rPr>
          <w:sz w:val="18"/>
          <w:szCs w:val="18"/>
        </w:rPr>
      </w:pPr>
      <w:r w:rsidRPr="003377BD">
        <w:rPr>
          <w:sz w:val="18"/>
          <w:szCs w:val="18"/>
        </w:rPr>
        <w:t xml:space="preserve">J. Jordon et al., "Synthetic data—What, why and </w:t>
      </w:r>
      <w:proofErr w:type="gramStart"/>
      <w:r w:rsidRPr="003377BD">
        <w:rPr>
          <w:sz w:val="18"/>
          <w:szCs w:val="18"/>
        </w:rPr>
        <w:t>how?,</w:t>
      </w:r>
      <w:proofErr w:type="gramEnd"/>
      <w:r w:rsidRPr="003377BD">
        <w:rPr>
          <w:sz w:val="18"/>
          <w:szCs w:val="18"/>
        </w:rPr>
        <w:t xml:space="preserve">" </w:t>
      </w:r>
      <w:proofErr w:type="spellStart"/>
      <w:r w:rsidRPr="003377BD">
        <w:rPr>
          <w:sz w:val="18"/>
          <w:szCs w:val="18"/>
        </w:rPr>
        <w:t>arXiv</w:t>
      </w:r>
      <w:proofErr w:type="spellEnd"/>
      <w:r w:rsidRPr="003377BD">
        <w:rPr>
          <w:sz w:val="18"/>
          <w:szCs w:val="18"/>
        </w:rPr>
        <w:t xml:space="preserve"> preprint arXiv:2205.03257, 2022</w:t>
      </w:r>
      <w:r w:rsidRPr="00B30E9B">
        <w:rPr>
          <w:sz w:val="18"/>
          <w:szCs w:val="18"/>
        </w:rPr>
        <w:t>.</w:t>
      </w:r>
      <w:r>
        <w:rPr>
          <w:sz w:val="18"/>
          <w:szCs w:val="18"/>
        </w:rPr>
        <w:t xml:space="preserve"> </w:t>
      </w:r>
    </w:p>
    <w:p w14:paraId="591532D1" w14:textId="77777777" w:rsidR="005517F8" w:rsidRDefault="005517F8" w:rsidP="002A24AD">
      <w:pPr>
        <w:pStyle w:val="References"/>
        <w:rPr>
          <w:sz w:val="18"/>
          <w:szCs w:val="18"/>
        </w:rPr>
      </w:pPr>
      <w:r w:rsidRPr="003377BD">
        <w:rPr>
          <w:sz w:val="18"/>
          <w:szCs w:val="18"/>
        </w:rPr>
        <w:t>D. Iloh, "Generative private synthetic student data for learning analytics: An empirical study," IEEE Access, vol. 12, pp. 154091–154106, 202</w:t>
      </w:r>
      <w:r>
        <w:rPr>
          <w:sz w:val="18"/>
          <w:szCs w:val="18"/>
        </w:rPr>
        <w:t>5.</w:t>
      </w:r>
    </w:p>
    <w:p w14:paraId="56FF8961" w14:textId="2CF91818" w:rsidR="005517F8" w:rsidRDefault="005517F8" w:rsidP="002A24AD">
      <w:pPr>
        <w:pStyle w:val="References"/>
        <w:rPr>
          <w:sz w:val="18"/>
          <w:szCs w:val="18"/>
        </w:rPr>
      </w:pPr>
      <w:r w:rsidRPr="003377BD">
        <w:rPr>
          <w:sz w:val="18"/>
          <w:szCs w:val="18"/>
        </w:rPr>
        <w:t>A. Narayanan and V. Shmatikov, "Robust de-anonymization of large sparse datasets," in Proc. IEEE Symposium on Security and Privacy, 2008, pp. 111–125</w:t>
      </w:r>
      <w:r w:rsidRPr="00B30E9B">
        <w:rPr>
          <w:sz w:val="18"/>
          <w:szCs w:val="18"/>
        </w:rPr>
        <w:t>.</w:t>
      </w:r>
      <w:r>
        <w:rPr>
          <w:sz w:val="18"/>
          <w:szCs w:val="18"/>
        </w:rPr>
        <w:t xml:space="preserve">  </w:t>
      </w:r>
    </w:p>
    <w:p w14:paraId="3BCDF716" w14:textId="2B7ED31E" w:rsidR="005517F8" w:rsidRDefault="005517F8" w:rsidP="002A24AD">
      <w:pPr>
        <w:pStyle w:val="References"/>
        <w:rPr>
          <w:sz w:val="18"/>
          <w:szCs w:val="18"/>
        </w:rPr>
      </w:pPr>
      <w:r w:rsidRPr="003377BD">
        <w:rPr>
          <w:sz w:val="18"/>
          <w:szCs w:val="18"/>
        </w:rPr>
        <w:t>C. Dwork, "Differential privacy," in Proc. 33rd Int. Colloquium on Automata, Languages and Programming (ICALP), 2006, pp. 1–12</w:t>
      </w:r>
      <w:r w:rsidRPr="00B30E9B">
        <w:rPr>
          <w:sz w:val="18"/>
          <w:szCs w:val="18"/>
        </w:rPr>
        <w:t>.</w:t>
      </w:r>
      <w:r>
        <w:rPr>
          <w:sz w:val="18"/>
          <w:szCs w:val="18"/>
        </w:rPr>
        <w:t xml:space="preserve"> </w:t>
      </w:r>
    </w:p>
    <w:p w14:paraId="3349B237" w14:textId="4B3B7EFC" w:rsidR="005517F8" w:rsidRDefault="005517F8" w:rsidP="002A24AD">
      <w:pPr>
        <w:pStyle w:val="References"/>
        <w:rPr>
          <w:sz w:val="18"/>
          <w:szCs w:val="18"/>
        </w:rPr>
      </w:pPr>
      <w:r w:rsidRPr="003377BD">
        <w:rPr>
          <w:sz w:val="18"/>
          <w:szCs w:val="18"/>
        </w:rPr>
        <w:t>K. Bonawitz et al., "Towards federated learning at scale: System design," in Proc. Machine Learning and Systems (</w:t>
      </w:r>
      <w:proofErr w:type="spellStart"/>
      <w:r w:rsidRPr="003377BD">
        <w:rPr>
          <w:sz w:val="18"/>
          <w:szCs w:val="18"/>
        </w:rPr>
        <w:t>MLSys</w:t>
      </w:r>
      <w:proofErr w:type="spellEnd"/>
      <w:r w:rsidRPr="003377BD">
        <w:rPr>
          <w:sz w:val="18"/>
          <w:szCs w:val="18"/>
        </w:rPr>
        <w:t>), 2019, pp. 374–388</w:t>
      </w:r>
      <w:r w:rsidRPr="00B30E9B">
        <w:rPr>
          <w:sz w:val="18"/>
          <w:szCs w:val="18"/>
        </w:rPr>
        <w:t>.</w:t>
      </w:r>
      <w:r>
        <w:rPr>
          <w:sz w:val="18"/>
          <w:szCs w:val="18"/>
        </w:rPr>
        <w:t xml:space="preserve"> </w:t>
      </w:r>
    </w:p>
    <w:p w14:paraId="19B72E56" w14:textId="7025BC2B" w:rsidR="005517F8" w:rsidRDefault="005517F8" w:rsidP="002A24AD">
      <w:pPr>
        <w:pStyle w:val="References"/>
        <w:rPr>
          <w:sz w:val="18"/>
          <w:szCs w:val="18"/>
        </w:rPr>
      </w:pPr>
      <w:r w:rsidRPr="003377BD">
        <w:rPr>
          <w:sz w:val="18"/>
          <w:szCs w:val="18"/>
        </w:rPr>
        <w:t>N. Patki, R. Wedge, and K. Veeramachaneni, "The Synthetic Data Vault," in Proc. IEEE Int. Conf. Data Science and Advanced Analytics (DSAA), 2016, pp. 399–410</w:t>
      </w:r>
      <w:r w:rsidRPr="00B30E9B">
        <w:rPr>
          <w:sz w:val="18"/>
          <w:szCs w:val="18"/>
        </w:rPr>
        <w:t>.</w:t>
      </w:r>
      <w:r>
        <w:rPr>
          <w:sz w:val="18"/>
          <w:szCs w:val="18"/>
        </w:rPr>
        <w:t xml:space="preserve"> </w:t>
      </w:r>
    </w:p>
    <w:p w14:paraId="2DE45E03" w14:textId="4061ABB9" w:rsidR="005517F8" w:rsidRDefault="005517F8" w:rsidP="002A24AD">
      <w:pPr>
        <w:pStyle w:val="References"/>
        <w:rPr>
          <w:sz w:val="18"/>
          <w:szCs w:val="18"/>
        </w:rPr>
      </w:pPr>
      <w:r w:rsidRPr="003377BD">
        <w:rPr>
          <w:sz w:val="18"/>
          <w:szCs w:val="18"/>
        </w:rPr>
        <w:t>I. Goodfellow et al., "Generative adversarial nets," in Advances in Neural Information Processing Systems (</w:t>
      </w:r>
      <w:proofErr w:type="spellStart"/>
      <w:r w:rsidRPr="003377BD">
        <w:rPr>
          <w:sz w:val="18"/>
          <w:szCs w:val="18"/>
        </w:rPr>
        <w:t>NeurIPS</w:t>
      </w:r>
      <w:proofErr w:type="spellEnd"/>
      <w:r w:rsidRPr="003377BD">
        <w:rPr>
          <w:sz w:val="18"/>
          <w:szCs w:val="18"/>
        </w:rPr>
        <w:t>), vol. 27, 2014</w:t>
      </w:r>
      <w:r w:rsidRPr="00B30E9B">
        <w:rPr>
          <w:sz w:val="18"/>
          <w:szCs w:val="18"/>
        </w:rPr>
        <w:t>.</w:t>
      </w:r>
      <w:r>
        <w:rPr>
          <w:sz w:val="18"/>
          <w:szCs w:val="18"/>
        </w:rPr>
        <w:t xml:space="preserve"> </w:t>
      </w:r>
    </w:p>
    <w:p w14:paraId="5D4F06E8" w14:textId="3B98D04F" w:rsidR="005517F8" w:rsidRDefault="005517F8" w:rsidP="002A24AD">
      <w:pPr>
        <w:pStyle w:val="References"/>
        <w:rPr>
          <w:sz w:val="18"/>
          <w:szCs w:val="18"/>
        </w:rPr>
      </w:pPr>
      <w:r w:rsidRPr="003377BD">
        <w:rPr>
          <w:sz w:val="18"/>
          <w:szCs w:val="18"/>
        </w:rPr>
        <w:t xml:space="preserve">L. Xu, M. </w:t>
      </w:r>
      <w:proofErr w:type="spellStart"/>
      <w:r w:rsidRPr="003377BD">
        <w:rPr>
          <w:sz w:val="18"/>
          <w:szCs w:val="18"/>
        </w:rPr>
        <w:t>Skoularidou</w:t>
      </w:r>
      <w:proofErr w:type="spellEnd"/>
      <w:r w:rsidRPr="003377BD">
        <w:rPr>
          <w:sz w:val="18"/>
          <w:szCs w:val="18"/>
        </w:rPr>
        <w:t>, A. Cuesta-Infante, and K. Veeramachaneni, "Modeling tabular data using conditional GAN," in Advances in Neural Information Processing Systems (</w:t>
      </w:r>
      <w:proofErr w:type="spellStart"/>
      <w:r w:rsidRPr="003377BD">
        <w:rPr>
          <w:sz w:val="18"/>
          <w:szCs w:val="18"/>
        </w:rPr>
        <w:t>NeurIPS</w:t>
      </w:r>
      <w:proofErr w:type="spellEnd"/>
      <w:r w:rsidRPr="003377BD">
        <w:rPr>
          <w:sz w:val="18"/>
          <w:szCs w:val="18"/>
        </w:rPr>
        <w:t>), vol. 32, 2019.</w:t>
      </w:r>
      <w:r>
        <w:rPr>
          <w:sz w:val="18"/>
          <w:szCs w:val="18"/>
        </w:rPr>
        <w:t xml:space="preserve"> </w:t>
      </w:r>
    </w:p>
    <w:p w14:paraId="7777D118" w14:textId="4DCE0D05" w:rsidR="005517F8" w:rsidRDefault="005517F8" w:rsidP="002A24AD">
      <w:pPr>
        <w:pStyle w:val="References"/>
        <w:rPr>
          <w:sz w:val="18"/>
          <w:szCs w:val="18"/>
        </w:rPr>
      </w:pPr>
      <w:r w:rsidRPr="003377BD">
        <w:rPr>
          <w:sz w:val="18"/>
          <w:szCs w:val="18"/>
        </w:rPr>
        <w:t>J. Jordon, J. Yoon, and M. van der Schaar, "PATE-GAN: Generating synthetic data with differential privacy guarantees," in Int. Conf. Learning Representations (ICLR), 2019.</w:t>
      </w:r>
      <w:r>
        <w:rPr>
          <w:sz w:val="18"/>
          <w:szCs w:val="18"/>
        </w:rPr>
        <w:t xml:space="preserve"> </w:t>
      </w:r>
    </w:p>
    <w:p w14:paraId="0ACF3D13" w14:textId="5CDF170C" w:rsidR="005517F8" w:rsidRDefault="005517F8" w:rsidP="002A24AD">
      <w:pPr>
        <w:pStyle w:val="References"/>
        <w:rPr>
          <w:sz w:val="18"/>
          <w:szCs w:val="18"/>
        </w:rPr>
      </w:pPr>
      <w:r w:rsidRPr="003377BD">
        <w:rPr>
          <w:sz w:val="18"/>
          <w:szCs w:val="18"/>
        </w:rPr>
        <w:t xml:space="preserve">J. Ho, A. Jain, and P. </w:t>
      </w:r>
      <w:proofErr w:type="spellStart"/>
      <w:r w:rsidRPr="003377BD">
        <w:rPr>
          <w:sz w:val="18"/>
          <w:szCs w:val="18"/>
        </w:rPr>
        <w:t>Abbeel</w:t>
      </w:r>
      <w:proofErr w:type="spellEnd"/>
      <w:r w:rsidRPr="003377BD">
        <w:rPr>
          <w:sz w:val="18"/>
          <w:szCs w:val="18"/>
        </w:rPr>
        <w:t>, "Denoising diffusion probabilistic models," in Advances in Neural Information Processing Systems (</w:t>
      </w:r>
      <w:proofErr w:type="spellStart"/>
      <w:r w:rsidRPr="003377BD">
        <w:rPr>
          <w:sz w:val="18"/>
          <w:szCs w:val="18"/>
        </w:rPr>
        <w:t>NeurIPS</w:t>
      </w:r>
      <w:proofErr w:type="spellEnd"/>
      <w:r w:rsidRPr="003377BD">
        <w:rPr>
          <w:sz w:val="18"/>
          <w:szCs w:val="18"/>
        </w:rPr>
        <w:t>), vol. 33, 2020, pp. 6840–6851</w:t>
      </w:r>
      <w:r w:rsidRPr="00B30E9B">
        <w:rPr>
          <w:sz w:val="18"/>
          <w:szCs w:val="18"/>
        </w:rPr>
        <w:t>.</w:t>
      </w:r>
      <w:r>
        <w:rPr>
          <w:sz w:val="18"/>
          <w:szCs w:val="18"/>
        </w:rPr>
        <w:t xml:space="preserve"> </w:t>
      </w:r>
    </w:p>
    <w:p w14:paraId="6DF860EE" w14:textId="170D1C7C" w:rsidR="005517F8" w:rsidRDefault="005517F8" w:rsidP="002A24AD">
      <w:pPr>
        <w:pStyle w:val="References"/>
        <w:rPr>
          <w:sz w:val="18"/>
          <w:szCs w:val="18"/>
        </w:rPr>
      </w:pPr>
      <w:r w:rsidRPr="003377BD">
        <w:rPr>
          <w:sz w:val="18"/>
          <w:szCs w:val="18"/>
        </w:rPr>
        <w:t>A. Kotelnikov, D. Baranchuk, I. Rubachev, and A. Babenko, "TabDDPM: Modelling tabular data with diffusion models," in Proc. Int. Conf. Machine Learning (ICML), 2023, pp. 17564–17579.</w:t>
      </w:r>
      <w:r>
        <w:rPr>
          <w:sz w:val="18"/>
          <w:szCs w:val="18"/>
        </w:rPr>
        <w:t xml:space="preserve"> </w:t>
      </w:r>
    </w:p>
    <w:p w14:paraId="710665F3" w14:textId="39A3F42E" w:rsidR="006B478E" w:rsidRPr="005517F8" w:rsidRDefault="005517F8" w:rsidP="005517F8">
      <w:pPr>
        <w:pStyle w:val="References"/>
        <w:rPr>
          <w:sz w:val="18"/>
          <w:szCs w:val="18"/>
        </w:rPr>
      </w:pPr>
      <w:r w:rsidRPr="003377BD">
        <w:rPr>
          <w:sz w:val="18"/>
          <w:szCs w:val="18"/>
        </w:rPr>
        <w:t xml:space="preserve">R. S. J. d. Baker and P. S. </w:t>
      </w:r>
      <w:proofErr w:type="spellStart"/>
      <w:r w:rsidRPr="003377BD">
        <w:rPr>
          <w:sz w:val="18"/>
          <w:szCs w:val="18"/>
        </w:rPr>
        <w:t>Inventado</w:t>
      </w:r>
      <w:proofErr w:type="spellEnd"/>
      <w:r w:rsidRPr="003377BD">
        <w:rPr>
          <w:sz w:val="18"/>
          <w:szCs w:val="18"/>
        </w:rPr>
        <w:t>, "Educational data mining and learning analytics," in Learning Analytics: From Research to Practice, J. A. Larusson and B. White, Eds. Springer, 2014, pp. 61–75</w:t>
      </w:r>
      <w:r w:rsidRPr="00B30E9B">
        <w:rPr>
          <w:sz w:val="18"/>
          <w:szCs w:val="18"/>
        </w:rPr>
        <w:t>.</w:t>
      </w:r>
      <w:r>
        <w:rPr>
          <w:sz w:val="18"/>
          <w:szCs w:val="18"/>
        </w:rPr>
        <w:t xml:space="preserve"> </w:t>
      </w:r>
    </w:p>
    <w:p w14:paraId="76BE7DF1" w14:textId="4ACF1F4B" w:rsidR="003377BD" w:rsidRDefault="003377BD" w:rsidP="002A24AD">
      <w:pPr>
        <w:pStyle w:val="References"/>
        <w:rPr>
          <w:sz w:val="18"/>
          <w:szCs w:val="18"/>
        </w:rPr>
      </w:pPr>
      <w:r w:rsidRPr="003377BD">
        <w:rPr>
          <w:sz w:val="18"/>
          <w:szCs w:val="18"/>
        </w:rPr>
        <w:t>H. Xu et al., "Modeling tabular data using conditional GAN with fairness constraints," in Proc. IEEE Int. Conf. Data Mining (ICDM), 2022, pp. 658–667.</w:t>
      </w:r>
    </w:p>
    <w:p w14:paraId="4CA31C56" w14:textId="19B28312" w:rsidR="003377BD" w:rsidRDefault="003377BD" w:rsidP="002A24AD">
      <w:pPr>
        <w:pStyle w:val="References"/>
        <w:rPr>
          <w:sz w:val="18"/>
          <w:szCs w:val="18"/>
        </w:rPr>
      </w:pPr>
      <w:r w:rsidRPr="003377BD">
        <w:rPr>
          <w:sz w:val="18"/>
          <w:szCs w:val="18"/>
        </w:rPr>
        <w:t xml:space="preserve">D. Lopez-Paz and M. </w:t>
      </w:r>
      <w:proofErr w:type="spellStart"/>
      <w:r w:rsidRPr="003377BD">
        <w:rPr>
          <w:sz w:val="18"/>
          <w:szCs w:val="18"/>
        </w:rPr>
        <w:t>Oquab</w:t>
      </w:r>
      <w:proofErr w:type="spellEnd"/>
      <w:r w:rsidRPr="003377BD">
        <w:rPr>
          <w:sz w:val="18"/>
          <w:szCs w:val="18"/>
        </w:rPr>
        <w:t>, "Revisiting classifier two-sample tests," in Int. Conf. Learning Representations (ICLR), 2017.</w:t>
      </w:r>
    </w:p>
    <w:p w14:paraId="7066B491" w14:textId="224BC65A" w:rsidR="003377BD" w:rsidRDefault="003377BD" w:rsidP="002A24AD">
      <w:pPr>
        <w:pStyle w:val="References"/>
        <w:rPr>
          <w:sz w:val="18"/>
          <w:szCs w:val="18"/>
        </w:rPr>
      </w:pPr>
      <w:r w:rsidRPr="003377BD">
        <w:rPr>
          <w:sz w:val="18"/>
          <w:szCs w:val="18"/>
        </w:rPr>
        <w:t xml:space="preserve">R. Shokri, M. </w:t>
      </w:r>
      <w:proofErr w:type="spellStart"/>
      <w:r w:rsidRPr="003377BD">
        <w:rPr>
          <w:sz w:val="18"/>
          <w:szCs w:val="18"/>
        </w:rPr>
        <w:t>Stronati</w:t>
      </w:r>
      <w:proofErr w:type="spellEnd"/>
      <w:r w:rsidRPr="003377BD">
        <w:rPr>
          <w:sz w:val="18"/>
          <w:szCs w:val="18"/>
        </w:rPr>
        <w:t>, C. Song, and V. Shmatikov, "Membership inference attacks against machine learning models," in Proc. IEEE Symposium on Security and Privacy, 2017, pp. 3–18.</w:t>
      </w:r>
    </w:p>
    <w:p w14:paraId="7049454F" w14:textId="33E32DF0" w:rsidR="003377BD" w:rsidRDefault="003377BD" w:rsidP="002A24AD">
      <w:pPr>
        <w:pStyle w:val="References"/>
        <w:rPr>
          <w:sz w:val="18"/>
          <w:szCs w:val="18"/>
        </w:rPr>
      </w:pPr>
      <w:r w:rsidRPr="003377BD">
        <w:rPr>
          <w:sz w:val="18"/>
          <w:szCs w:val="18"/>
        </w:rPr>
        <w:t xml:space="preserve">J. Kuzilek, M. </w:t>
      </w:r>
      <w:proofErr w:type="spellStart"/>
      <w:r w:rsidRPr="003377BD">
        <w:rPr>
          <w:sz w:val="18"/>
          <w:szCs w:val="18"/>
        </w:rPr>
        <w:t>Hlosta</w:t>
      </w:r>
      <w:proofErr w:type="spellEnd"/>
      <w:r w:rsidRPr="003377BD">
        <w:rPr>
          <w:sz w:val="18"/>
          <w:szCs w:val="18"/>
        </w:rPr>
        <w:t xml:space="preserve">, and Z. </w:t>
      </w:r>
      <w:proofErr w:type="spellStart"/>
      <w:r w:rsidRPr="003377BD">
        <w:rPr>
          <w:sz w:val="18"/>
          <w:szCs w:val="18"/>
        </w:rPr>
        <w:t>Zdrahal</w:t>
      </w:r>
      <w:proofErr w:type="spellEnd"/>
      <w:r w:rsidRPr="003377BD">
        <w:rPr>
          <w:sz w:val="18"/>
          <w:szCs w:val="18"/>
        </w:rPr>
        <w:t>, "Open University Learning Analytics dataset," Scientific Data, vol. 4, article 170171, 2017.</w:t>
      </w:r>
    </w:p>
    <w:p w14:paraId="02252ADA" w14:textId="342908C8" w:rsidR="008B07BF" w:rsidRPr="008B07BF" w:rsidRDefault="008B07BF" w:rsidP="008B07BF">
      <w:pPr>
        <w:pStyle w:val="References"/>
        <w:rPr>
          <w:sz w:val="18"/>
          <w:szCs w:val="18"/>
        </w:rPr>
      </w:pPr>
      <w:proofErr w:type="spellStart"/>
      <w:r w:rsidRPr="008B07BF">
        <w:rPr>
          <w:sz w:val="18"/>
          <w:szCs w:val="18"/>
        </w:rPr>
        <w:t>ASSISTmentsData</w:t>
      </w:r>
      <w:proofErr w:type="spellEnd"/>
      <w:r w:rsidRPr="008B07BF">
        <w:rPr>
          <w:sz w:val="18"/>
          <w:szCs w:val="18"/>
        </w:rPr>
        <w:t xml:space="preserve">, “2012–13 School Data with Affect,” </w:t>
      </w:r>
      <w:proofErr w:type="spellStart"/>
      <w:r w:rsidRPr="008B07BF">
        <w:rPr>
          <w:sz w:val="18"/>
          <w:szCs w:val="18"/>
        </w:rPr>
        <w:t>ASSISTmentsData</w:t>
      </w:r>
      <w:proofErr w:type="spellEnd"/>
      <w:r w:rsidRPr="008B07BF">
        <w:rPr>
          <w:sz w:val="18"/>
          <w:szCs w:val="18"/>
        </w:rPr>
        <w:t xml:space="preserve"> (Google Sites), [Online]. Available: https://sites.google.com/site/assistmentsdata/datasets/2012-13-school-data-with-affect. Accessed: Feb. 3, 2026)</w:t>
      </w:r>
    </w:p>
    <w:p w14:paraId="304557C7" w14:textId="77777777" w:rsidR="00E52EF8" w:rsidRDefault="00E52EF8" w:rsidP="000C09C8">
      <w:pPr>
        <w:pStyle w:val="AUBios"/>
        <w:rPr>
          <w:rStyle w:val="AUBiosbd"/>
        </w:rPr>
        <w:sectPr w:rsidR="00E52EF8" w:rsidSect="00CB2DB1">
          <w:footerReference w:type="default" r:id="rId22"/>
          <w:type w:val="continuous"/>
          <w:pgSz w:w="11520" w:h="15660" w:code="1"/>
          <w:pgMar w:top="1300" w:right="740" w:bottom="1040" w:left="740" w:header="360" w:footer="640" w:gutter="0"/>
          <w:cols w:num="2" w:space="400"/>
          <w:docGrid w:linePitch="360"/>
        </w:sectPr>
      </w:pPr>
    </w:p>
    <w:p w14:paraId="62263DB9" w14:textId="77777777" w:rsidR="00C65303" w:rsidRDefault="00C65303" w:rsidP="005C7DF8">
      <w:pPr>
        <w:pStyle w:val="AUBios"/>
        <w:spacing w:before="0"/>
        <w:rPr>
          <w:rStyle w:val="AUBiosbd"/>
        </w:rPr>
      </w:pPr>
    </w:p>
    <w:p w14:paraId="5055FFDF" w14:textId="77777777" w:rsidR="00C65303" w:rsidRDefault="00C65303" w:rsidP="005C7DF8">
      <w:pPr>
        <w:pStyle w:val="AUBios"/>
        <w:spacing w:before="0"/>
        <w:rPr>
          <w:rStyle w:val="AUBiosbd"/>
        </w:rPr>
      </w:pPr>
    </w:p>
    <w:p w14:paraId="4803CB72" w14:textId="77777777" w:rsidR="00A14DD7" w:rsidRPr="0021064D" w:rsidRDefault="00A14DD7" w:rsidP="0003253A">
      <w:pPr>
        <w:pStyle w:val="AUBiosNoSpace"/>
        <w:ind w:firstLine="0"/>
        <w:rPr>
          <w:rFonts w:cs="Times New Roman"/>
        </w:rPr>
      </w:pPr>
    </w:p>
    <w:sectPr w:rsidR="00A14DD7" w:rsidRPr="0021064D" w:rsidSect="00CB2DB1">
      <w:footerReference w:type="default" r:id="rId23"/>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30077" w14:textId="77777777" w:rsidR="00251E58" w:rsidRDefault="00251E58">
      <w:r>
        <w:separator/>
      </w:r>
    </w:p>
  </w:endnote>
  <w:endnote w:type="continuationSeparator" w:id="0">
    <w:p w14:paraId="5E77A350" w14:textId="77777777" w:rsidR="00251E58" w:rsidRDefault="00251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7A1DC58E"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w:t>
    </w:r>
    <w:r w:rsidR="005B35D0">
      <w:rPr>
        <w:rFonts w:ascii="Helvetica" w:hAnsi="Helvetica" w:cs="FormataOTF-Reg"/>
        <w:sz w:val="12"/>
        <w:szCs w:val="12"/>
      </w:rPr>
      <w:t>25</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833C9" w14:textId="77777777" w:rsidR="00251E58" w:rsidRDefault="00251E58">
      <w:r>
        <w:separator/>
      </w:r>
    </w:p>
  </w:footnote>
  <w:footnote w:type="continuationSeparator" w:id="0">
    <w:p w14:paraId="03347EC3" w14:textId="77777777" w:rsidR="00251E58" w:rsidRDefault="00251E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6F3C8A"/>
    <w:multiLevelType w:val="hybridMultilevel"/>
    <w:tmpl w:val="5B60F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1B681735"/>
    <w:multiLevelType w:val="hybridMultilevel"/>
    <w:tmpl w:val="281A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F74BC5"/>
    <w:multiLevelType w:val="multilevel"/>
    <w:tmpl w:val="CD96871E"/>
    <w:numStyleLink w:val="H2Restart"/>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A0841DE"/>
    <w:multiLevelType w:val="multilevel"/>
    <w:tmpl w:val="A3CEC990"/>
    <w:numStyleLink w:val="H2afterH1New"/>
  </w:abstractNum>
  <w:abstractNum w:abstractNumId="16" w15:restartNumberingAfterBreak="0">
    <w:nsid w:val="2E5117DB"/>
    <w:multiLevelType w:val="multilevel"/>
    <w:tmpl w:val="CD96871E"/>
    <w:numStyleLink w:val="H2Restart"/>
  </w:abstractNum>
  <w:abstractNum w:abstractNumId="17"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923C14"/>
    <w:multiLevelType w:val="hybridMultilevel"/>
    <w:tmpl w:val="FECCA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34D1D"/>
    <w:multiLevelType w:val="multilevel"/>
    <w:tmpl w:val="CD96871E"/>
    <w:numStyleLink w:val="H2Restart"/>
  </w:abstractNum>
  <w:abstractNum w:abstractNumId="20"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4BF4C83"/>
    <w:multiLevelType w:val="multilevel"/>
    <w:tmpl w:val="CD96871E"/>
    <w:numStyleLink w:val="H2Restart"/>
  </w:abstractNum>
  <w:abstractNum w:abstractNumId="22" w15:restartNumberingAfterBreak="0">
    <w:nsid w:val="357A45C8"/>
    <w:multiLevelType w:val="multilevel"/>
    <w:tmpl w:val="CD96871E"/>
    <w:numStyleLink w:val="H2Restart"/>
  </w:abstractNum>
  <w:abstractNum w:abstractNumId="23" w15:restartNumberingAfterBreak="0">
    <w:nsid w:val="37A16ABC"/>
    <w:multiLevelType w:val="hybridMultilevel"/>
    <w:tmpl w:val="FC40CB90"/>
    <w:lvl w:ilvl="0" w:tplc="9CF83E2A">
      <w:start w:val="1"/>
      <w:numFmt w:val="bullet"/>
      <w:lvlText w:val=""/>
      <w:lvlJc w:val="left"/>
      <w:pPr>
        <w:ind w:left="720" w:hanging="360"/>
      </w:pPr>
      <w:rPr>
        <w:rFonts w:ascii="Symbol" w:hAnsi="Symbol" w:hint="default"/>
        <w:spacing w:val="-10"/>
        <w:position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6"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3D90722D"/>
    <w:multiLevelType w:val="multilevel"/>
    <w:tmpl w:val="CD96871E"/>
    <w:numStyleLink w:val="H2Restart"/>
  </w:abstractNum>
  <w:abstractNum w:abstractNumId="29" w15:restartNumberingAfterBreak="0">
    <w:nsid w:val="442B60CD"/>
    <w:multiLevelType w:val="multilevel"/>
    <w:tmpl w:val="CD96871E"/>
    <w:numStyleLink w:val="H2Restart"/>
  </w:abstractNum>
  <w:abstractNum w:abstractNumId="30"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8B0ABB"/>
    <w:multiLevelType w:val="multilevel"/>
    <w:tmpl w:val="CD96871E"/>
    <w:numStyleLink w:val="H2Restart"/>
  </w:abstractNum>
  <w:abstractNum w:abstractNumId="32"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6E47F2"/>
    <w:multiLevelType w:val="multilevel"/>
    <w:tmpl w:val="CD96871E"/>
    <w:numStyleLink w:val="H2Restart"/>
  </w:abstractNum>
  <w:abstractNum w:abstractNumId="34" w15:restartNumberingAfterBreak="0">
    <w:nsid w:val="50410D7D"/>
    <w:multiLevelType w:val="multilevel"/>
    <w:tmpl w:val="CD96871E"/>
    <w:numStyleLink w:val="H2Restart"/>
  </w:abstractNum>
  <w:abstractNum w:abstractNumId="35" w15:restartNumberingAfterBreak="0">
    <w:nsid w:val="52DB5158"/>
    <w:multiLevelType w:val="hybridMultilevel"/>
    <w:tmpl w:val="21528BE2"/>
    <w:lvl w:ilvl="0" w:tplc="9CF83E2A">
      <w:start w:val="1"/>
      <w:numFmt w:val="bullet"/>
      <w:lvlText w:val=""/>
      <w:lvlJc w:val="left"/>
      <w:pPr>
        <w:ind w:left="720" w:hanging="360"/>
      </w:pPr>
      <w:rPr>
        <w:rFonts w:ascii="Symbol" w:hAnsi="Symbol" w:hint="default"/>
        <w:spacing w:val="-10"/>
        <w:position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3A01A4"/>
    <w:multiLevelType w:val="hybridMultilevel"/>
    <w:tmpl w:val="5816BA4A"/>
    <w:lvl w:ilvl="0" w:tplc="9CF83E2A">
      <w:start w:val="1"/>
      <w:numFmt w:val="bullet"/>
      <w:lvlText w:val=""/>
      <w:lvlJc w:val="left"/>
      <w:pPr>
        <w:ind w:left="720" w:hanging="360"/>
      </w:pPr>
      <w:rPr>
        <w:rFonts w:ascii="Symbol" w:hAnsi="Symbol" w:hint="default"/>
        <w:spacing w:val="-10"/>
        <w:position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A36637"/>
    <w:multiLevelType w:val="hybridMultilevel"/>
    <w:tmpl w:val="18BA15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8021B99"/>
    <w:multiLevelType w:val="multilevel"/>
    <w:tmpl w:val="CD96871E"/>
    <w:numStyleLink w:val="H2Restart"/>
  </w:abstractNum>
  <w:abstractNum w:abstractNumId="40" w15:restartNumberingAfterBreak="0">
    <w:nsid w:val="5E744E82"/>
    <w:multiLevelType w:val="multilevel"/>
    <w:tmpl w:val="CD96871E"/>
    <w:numStyleLink w:val="H2Restart"/>
  </w:abstractNum>
  <w:abstractNum w:abstractNumId="41"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4D460AA"/>
    <w:multiLevelType w:val="multilevel"/>
    <w:tmpl w:val="CD96871E"/>
    <w:numStyleLink w:val="H2Restart"/>
  </w:abstractNum>
  <w:abstractNum w:abstractNumId="43" w15:restartNumberingAfterBreak="0">
    <w:nsid w:val="651D64E4"/>
    <w:multiLevelType w:val="multilevel"/>
    <w:tmpl w:val="CD96871E"/>
    <w:numStyleLink w:val="H2Restart"/>
  </w:abstractNum>
  <w:abstractNum w:abstractNumId="44" w15:restartNumberingAfterBreak="0">
    <w:nsid w:val="685D76CD"/>
    <w:multiLevelType w:val="multilevel"/>
    <w:tmpl w:val="CD96871E"/>
    <w:numStyleLink w:val="H2Restart"/>
  </w:abstractNum>
  <w:abstractNum w:abstractNumId="45"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2FC6D80"/>
    <w:multiLevelType w:val="multilevel"/>
    <w:tmpl w:val="CD96871E"/>
    <w:numStyleLink w:val="H2Restart"/>
  </w:abstractNum>
  <w:abstractNum w:abstractNumId="47" w15:restartNumberingAfterBreak="0">
    <w:nsid w:val="79B032FD"/>
    <w:multiLevelType w:val="hybridMultilevel"/>
    <w:tmpl w:val="28E09B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AEA3E6F"/>
    <w:multiLevelType w:val="hybridMultilevel"/>
    <w:tmpl w:val="887438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632016">
    <w:abstractNumId w:val="0"/>
  </w:num>
  <w:num w:numId="2" w16cid:durableId="2139685392">
    <w:abstractNumId w:val="13"/>
  </w:num>
  <w:num w:numId="3" w16cid:durableId="1730304559">
    <w:abstractNumId w:val="25"/>
  </w:num>
  <w:num w:numId="4" w16cid:durableId="1904947642">
    <w:abstractNumId w:val="20"/>
  </w:num>
  <w:num w:numId="5" w16cid:durableId="2086564019">
    <w:abstractNumId w:val="41"/>
  </w:num>
  <w:num w:numId="6" w16cid:durableId="1720010044">
    <w:abstractNumId w:val="27"/>
  </w:num>
  <w:num w:numId="7" w16cid:durableId="1589195024">
    <w:abstractNumId w:val="10"/>
  </w:num>
  <w:num w:numId="8" w16cid:durableId="1483892291">
    <w:abstractNumId w:val="15"/>
  </w:num>
  <w:num w:numId="9" w16cid:durableId="572131377">
    <w:abstractNumId w:val="32"/>
  </w:num>
  <w:num w:numId="10" w16cid:durableId="282537363">
    <w:abstractNumId w:val="6"/>
  </w:num>
  <w:num w:numId="11" w16cid:durableId="653067656">
    <w:abstractNumId w:val="40"/>
  </w:num>
  <w:num w:numId="12" w16cid:durableId="255796949">
    <w:abstractNumId w:val="33"/>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4"/>
  </w:num>
  <w:num w:numId="16" w16cid:durableId="1982534741">
    <w:abstractNumId w:val="30"/>
  </w:num>
  <w:num w:numId="17" w16cid:durableId="139330846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45"/>
  </w:num>
  <w:num w:numId="19" w16cid:durableId="269047845">
    <w:abstractNumId w:val="3"/>
  </w:num>
  <w:num w:numId="20" w16cid:durableId="909580657">
    <w:abstractNumId w:val="2"/>
  </w:num>
  <w:num w:numId="21" w16cid:durableId="373579168">
    <w:abstractNumId w:val="28"/>
  </w:num>
  <w:num w:numId="22" w16cid:durableId="1745251843">
    <w:abstractNumId w:val="8"/>
  </w:num>
  <w:num w:numId="23" w16cid:durableId="2111774571">
    <w:abstractNumId w:val="19"/>
  </w:num>
  <w:num w:numId="24" w16cid:durableId="143159150">
    <w:abstractNumId w:val="43"/>
  </w:num>
  <w:num w:numId="25" w16cid:durableId="1312634794">
    <w:abstractNumId w:val="31"/>
  </w:num>
  <w:num w:numId="26" w16cid:durableId="237444995">
    <w:abstractNumId w:val="39"/>
  </w:num>
  <w:num w:numId="27" w16cid:durableId="376199287">
    <w:abstractNumId w:val="21"/>
  </w:num>
  <w:num w:numId="28" w16cid:durableId="1079518982">
    <w:abstractNumId w:val="29"/>
  </w:num>
  <w:num w:numId="29" w16cid:durableId="1536120966">
    <w:abstractNumId w:val="46"/>
  </w:num>
  <w:num w:numId="30" w16cid:durableId="1012683639">
    <w:abstractNumId w:val="12"/>
  </w:num>
  <w:num w:numId="31" w16cid:durableId="581259744">
    <w:abstractNumId w:val="44"/>
  </w:num>
  <w:num w:numId="32" w16cid:durableId="550194706">
    <w:abstractNumId w:val="22"/>
  </w:num>
  <w:num w:numId="33" w16cid:durableId="986592793">
    <w:abstractNumId w:val="42"/>
  </w:num>
  <w:num w:numId="34" w16cid:durableId="131562090">
    <w:abstractNumId w:val="34"/>
  </w:num>
  <w:num w:numId="35" w16cid:durableId="215555830">
    <w:abstractNumId w:val="26"/>
  </w:num>
  <w:num w:numId="36" w16cid:durableId="752821514">
    <w:abstractNumId w:val="16"/>
  </w:num>
  <w:num w:numId="37" w16cid:durableId="102464003">
    <w:abstractNumId w:val="24"/>
  </w:num>
  <w:num w:numId="38" w16cid:durableId="26297219">
    <w:abstractNumId w:val="17"/>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7"/>
  </w:num>
  <w:num w:numId="43" w16cid:durableId="705255293">
    <w:abstractNumId w:val="9"/>
  </w:num>
  <w:num w:numId="44" w16cid:durableId="355615228">
    <w:abstractNumId w:val="47"/>
  </w:num>
  <w:num w:numId="45" w16cid:durableId="421025017">
    <w:abstractNumId w:val="38"/>
  </w:num>
  <w:num w:numId="46" w16cid:durableId="18746756">
    <w:abstractNumId w:val="48"/>
  </w:num>
  <w:num w:numId="47" w16cid:durableId="1747923364">
    <w:abstractNumId w:val="18"/>
  </w:num>
  <w:num w:numId="48" w16cid:durableId="228001175">
    <w:abstractNumId w:val="11"/>
  </w:num>
  <w:num w:numId="49" w16cid:durableId="604003532">
    <w:abstractNumId w:val="23"/>
  </w:num>
  <w:num w:numId="50" w16cid:durableId="1975863028">
    <w:abstractNumId w:val="36"/>
  </w:num>
  <w:num w:numId="51" w16cid:durableId="1064989572">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2A3"/>
    <w:rsid w:val="00002951"/>
    <w:rsid w:val="00015E73"/>
    <w:rsid w:val="00015E9A"/>
    <w:rsid w:val="0001799E"/>
    <w:rsid w:val="00017C56"/>
    <w:rsid w:val="00021C67"/>
    <w:rsid w:val="00023D75"/>
    <w:rsid w:val="00024A01"/>
    <w:rsid w:val="00027AA1"/>
    <w:rsid w:val="00031DD4"/>
    <w:rsid w:val="0003250B"/>
    <w:rsid w:val="0003253A"/>
    <w:rsid w:val="00033D56"/>
    <w:rsid w:val="00034A7F"/>
    <w:rsid w:val="00035315"/>
    <w:rsid w:val="00036A02"/>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85FD8"/>
    <w:rsid w:val="00087E6A"/>
    <w:rsid w:val="00090D81"/>
    <w:rsid w:val="00090E84"/>
    <w:rsid w:val="0009131B"/>
    <w:rsid w:val="00091F92"/>
    <w:rsid w:val="00092C74"/>
    <w:rsid w:val="00094BAA"/>
    <w:rsid w:val="000A1FA2"/>
    <w:rsid w:val="000A3B16"/>
    <w:rsid w:val="000A40E6"/>
    <w:rsid w:val="000B1D4C"/>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21AF"/>
    <w:rsid w:val="0011425D"/>
    <w:rsid w:val="001146BF"/>
    <w:rsid w:val="0011479C"/>
    <w:rsid w:val="00114A56"/>
    <w:rsid w:val="00117D9A"/>
    <w:rsid w:val="00120B4A"/>
    <w:rsid w:val="00121CF0"/>
    <w:rsid w:val="00121E38"/>
    <w:rsid w:val="001316F6"/>
    <w:rsid w:val="00134A06"/>
    <w:rsid w:val="0014000F"/>
    <w:rsid w:val="0014141F"/>
    <w:rsid w:val="00141D98"/>
    <w:rsid w:val="00143148"/>
    <w:rsid w:val="00144E81"/>
    <w:rsid w:val="00151703"/>
    <w:rsid w:val="0016083B"/>
    <w:rsid w:val="001628B6"/>
    <w:rsid w:val="0016308D"/>
    <w:rsid w:val="001631E6"/>
    <w:rsid w:val="00164873"/>
    <w:rsid w:val="0016507D"/>
    <w:rsid w:val="00165F70"/>
    <w:rsid w:val="001661D9"/>
    <w:rsid w:val="00166BEA"/>
    <w:rsid w:val="00170818"/>
    <w:rsid w:val="0017288F"/>
    <w:rsid w:val="00174020"/>
    <w:rsid w:val="00174D84"/>
    <w:rsid w:val="00176753"/>
    <w:rsid w:val="001777E5"/>
    <w:rsid w:val="00180F61"/>
    <w:rsid w:val="00182839"/>
    <w:rsid w:val="00185AFE"/>
    <w:rsid w:val="00186F4C"/>
    <w:rsid w:val="0019262C"/>
    <w:rsid w:val="00192FFE"/>
    <w:rsid w:val="001955E9"/>
    <w:rsid w:val="0019723F"/>
    <w:rsid w:val="001A4A79"/>
    <w:rsid w:val="001A773F"/>
    <w:rsid w:val="001A7827"/>
    <w:rsid w:val="001B0C55"/>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5E1"/>
    <w:rsid w:val="00200B38"/>
    <w:rsid w:val="00201A76"/>
    <w:rsid w:val="002025F9"/>
    <w:rsid w:val="00205C43"/>
    <w:rsid w:val="00207411"/>
    <w:rsid w:val="00210142"/>
    <w:rsid w:val="0021064D"/>
    <w:rsid w:val="00210E41"/>
    <w:rsid w:val="00211824"/>
    <w:rsid w:val="002141C8"/>
    <w:rsid w:val="00215F8D"/>
    <w:rsid w:val="002170E6"/>
    <w:rsid w:val="00220965"/>
    <w:rsid w:val="00221BE9"/>
    <w:rsid w:val="00223B9B"/>
    <w:rsid w:val="00224DC9"/>
    <w:rsid w:val="00227DAA"/>
    <w:rsid w:val="00231E14"/>
    <w:rsid w:val="00241628"/>
    <w:rsid w:val="00242C14"/>
    <w:rsid w:val="00245AC4"/>
    <w:rsid w:val="002467D5"/>
    <w:rsid w:val="00251E58"/>
    <w:rsid w:val="00252416"/>
    <w:rsid w:val="00253CFC"/>
    <w:rsid w:val="002560D8"/>
    <w:rsid w:val="002633DB"/>
    <w:rsid w:val="0026796B"/>
    <w:rsid w:val="0027336D"/>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A683E"/>
    <w:rsid w:val="002B0C37"/>
    <w:rsid w:val="002B17AE"/>
    <w:rsid w:val="002B197E"/>
    <w:rsid w:val="002B379B"/>
    <w:rsid w:val="002B5DFD"/>
    <w:rsid w:val="002B62BC"/>
    <w:rsid w:val="002B7F19"/>
    <w:rsid w:val="002C2CCF"/>
    <w:rsid w:val="002C419A"/>
    <w:rsid w:val="002C6AE3"/>
    <w:rsid w:val="002C707C"/>
    <w:rsid w:val="002D11FD"/>
    <w:rsid w:val="002D18AA"/>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377BD"/>
    <w:rsid w:val="0034128C"/>
    <w:rsid w:val="003412F9"/>
    <w:rsid w:val="003415A6"/>
    <w:rsid w:val="00344CE5"/>
    <w:rsid w:val="0034563D"/>
    <w:rsid w:val="003469D0"/>
    <w:rsid w:val="0034770F"/>
    <w:rsid w:val="003504E9"/>
    <w:rsid w:val="003519F1"/>
    <w:rsid w:val="00351EDC"/>
    <w:rsid w:val="003520A4"/>
    <w:rsid w:val="00353818"/>
    <w:rsid w:val="003541F4"/>
    <w:rsid w:val="00355460"/>
    <w:rsid w:val="0035650E"/>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04951"/>
    <w:rsid w:val="00410A00"/>
    <w:rsid w:val="0041108E"/>
    <w:rsid w:val="0041189C"/>
    <w:rsid w:val="004127AE"/>
    <w:rsid w:val="0041399D"/>
    <w:rsid w:val="00416591"/>
    <w:rsid w:val="00416D80"/>
    <w:rsid w:val="00417315"/>
    <w:rsid w:val="00420CA6"/>
    <w:rsid w:val="00422716"/>
    <w:rsid w:val="00422E2B"/>
    <w:rsid w:val="004360DF"/>
    <w:rsid w:val="00436112"/>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2F1B"/>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4F98"/>
    <w:rsid w:val="004F6E39"/>
    <w:rsid w:val="004F7211"/>
    <w:rsid w:val="00500D8B"/>
    <w:rsid w:val="00502AFF"/>
    <w:rsid w:val="00504A78"/>
    <w:rsid w:val="00505244"/>
    <w:rsid w:val="00505C65"/>
    <w:rsid w:val="00506758"/>
    <w:rsid w:val="00510D59"/>
    <w:rsid w:val="0051426B"/>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7E5"/>
    <w:rsid w:val="00541F28"/>
    <w:rsid w:val="0054241F"/>
    <w:rsid w:val="0054746D"/>
    <w:rsid w:val="005517F8"/>
    <w:rsid w:val="00551F45"/>
    <w:rsid w:val="00555F01"/>
    <w:rsid w:val="0055705B"/>
    <w:rsid w:val="0055767F"/>
    <w:rsid w:val="00561E8A"/>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D5B"/>
    <w:rsid w:val="005A7F6C"/>
    <w:rsid w:val="005B0961"/>
    <w:rsid w:val="005B16F4"/>
    <w:rsid w:val="005B186D"/>
    <w:rsid w:val="005B3311"/>
    <w:rsid w:val="005B35D0"/>
    <w:rsid w:val="005B453E"/>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2093"/>
    <w:rsid w:val="005E36FF"/>
    <w:rsid w:val="005E5941"/>
    <w:rsid w:val="005F09C6"/>
    <w:rsid w:val="005F14FC"/>
    <w:rsid w:val="005F2A4C"/>
    <w:rsid w:val="005F36BF"/>
    <w:rsid w:val="005F7D12"/>
    <w:rsid w:val="00601262"/>
    <w:rsid w:val="00604D84"/>
    <w:rsid w:val="00607722"/>
    <w:rsid w:val="00607C67"/>
    <w:rsid w:val="006129FD"/>
    <w:rsid w:val="00616EC7"/>
    <w:rsid w:val="0062116B"/>
    <w:rsid w:val="00622CC0"/>
    <w:rsid w:val="0062439C"/>
    <w:rsid w:val="0062501A"/>
    <w:rsid w:val="006259D1"/>
    <w:rsid w:val="00626B5A"/>
    <w:rsid w:val="0063180F"/>
    <w:rsid w:val="00631923"/>
    <w:rsid w:val="00632C12"/>
    <w:rsid w:val="0063306E"/>
    <w:rsid w:val="006362F3"/>
    <w:rsid w:val="00643136"/>
    <w:rsid w:val="0064321C"/>
    <w:rsid w:val="006452AD"/>
    <w:rsid w:val="00646689"/>
    <w:rsid w:val="00647B74"/>
    <w:rsid w:val="00650847"/>
    <w:rsid w:val="00650AC5"/>
    <w:rsid w:val="00652438"/>
    <w:rsid w:val="00653552"/>
    <w:rsid w:val="00654C7D"/>
    <w:rsid w:val="0065507F"/>
    <w:rsid w:val="006557E0"/>
    <w:rsid w:val="0065710F"/>
    <w:rsid w:val="00660B10"/>
    <w:rsid w:val="006621CC"/>
    <w:rsid w:val="006627DD"/>
    <w:rsid w:val="00663B0C"/>
    <w:rsid w:val="00670377"/>
    <w:rsid w:val="00676830"/>
    <w:rsid w:val="006772E7"/>
    <w:rsid w:val="006777B9"/>
    <w:rsid w:val="00680E60"/>
    <w:rsid w:val="0068141A"/>
    <w:rsid w:val="00681461"/>
    <w:rsid w:val="006817D9"/>
    <w:rsid w:val="006821E9"/>
    <w:rsid w:val="006831DC"/>
    <w:rsid w:val="00687034"/>
    <w:rsid w:val="00687301"/>
    <w:rsid w:val="006873AA"/>
    <w:rsid w:val="006874AA"/>
    <w:rsid w:val="006920B0"/>
    <w:rsid w:val="00692183"/>
    <w:rsid w:val="00692480"/>
    <w:rsid w:val="006932A5"/>
    <w:rsid w:val="006934C7"/>
    <w:rsid w:val="00693A94"/>
    <w:rsid w:val="00697787"/>
    <w:rsid w:val="006A0B53"/>
    <w:rsid w:val="006A0DAB"/>
    <w:rsid w:val="006A190F"/>
    <w:rsid w:val="006A2937"/>
    <w:rsid w:val="006A3523"/>
    <w:rsid w:val="006A4C04"/>
    <w:rsid w:val="006B0525"/>
    <w:rsid w:val="006B24AE"/>
    <w:rsid w:val="006B478E"/>
    <w:rsid w:val="006B6C9F"/>
    <w:rsid w:val="006C06EC"/>
    <w:rsid w:val="006C0D2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2650"/>
    <w:rsid w:val="006E3B17"/>
    <w:rsid w:val="006E5645"/>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4694"/>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D7AAE"/>
    <w:rsid w:val="007E0556"/>
    <w:rsid w:val="007E1456"/>
    <w:rsid w:val="007E17FA"/>
    <w:rsid w:val="007E44F5"/>
    <w:rsid w:val="007E4ED6"/>
    <w:rsid w:val="007E56C6"/>
    <w:rsid w:val="007E5715"/>
    <w:rsid w:val="007F0C04"/>
    <w:rsid w:val="007F2F1F"/>
    <w:rsid w:val="007F46D2"/>
    <w:rsid w:val="007F4EC6"/>
    <w:rsid w:val="007F7FD1"/>
    <w:rsid w:val="00800B09"/>
    <w:rsid w:val="0080221D"/>
    <w:rsid w:val="00802FF6"/>
    <w:rsid w:val="00803F2B"/>
    <w:rsid w:val="008041BD"/>
    <w:rsid w:val="0080461E"/>
    <w:rsid w:val="008053A6"/>
    <w:rsid w:val="00805B41"/>
    <w:rsid w:val="008105D3"/>
    <w:rsid w:val="00814D2E"/>
    <w:rsid w:val="008158A3"/>
    <w:rsid w:val="008166F7"/>
    <w:rsid w:val="008208C7"/>
    <w:rsid w:val="00822516"/>
    <w:rsid w:val="00825012"/>
    <w:rsid w:val="008310FF"/>
    <w:rsid w:val="00833C2D"/>
    <w:rsid w:val="008379B1"/>
    <w:rsid w:val="00841919"/>
    <w:rsid w:val="008425AE"/>
    <w:rsid w:val="0084556B"/>
    <w:rsid w:val="0084716E"/>
    <w:rsid w:val="008512D1"/>
    <w:rsid w:val="00853B01"/>
    <w:rsid w:val="00853F30"/>
    <w:rsid w:val="008540B3"/>
    <w:rsid w:val="0085574D"/>
    <w:rsid w:val="00855E21"/>
    <w:rsid w:val="00856CFF"/>
    <w:rsid w:val="0086016B"/>
    <w:rsid w:val="00860963"/>
    <w:rsid w:val="008612B0"/>
    <w:rsid w:val="00861DC1"/>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92323"/>
    <w:rsid w:val="008A05F2"/>
    <w:rsid w:val="008A240F"/>
    <w:rsid w:val="008A3785"/>
    <w:rsid w:val="008A39DC"/>
    <w:rsid w:val="008A5775"/>
    <w:rsid w:val="008B07B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0632A"/>
    <w:rsid w:val="00910718"/>
    <w:rsid w:val="009116B8"/>
    <w:rsid w:val="00911CA6"/>
    <w:rsid w:val="00916DF8"/>
    <w:rsid w:val="00916FEB"/>
    <w:rsid w:val="009170D7"/>
    <w:rsid w:val="0091745E"/>
    <w:rsid w:val="009233F5"/>
    <w:rsid w:val="00924109"/>
    <w:rsid w:val="00924E27"/>
    <w:rsid w:val="009261C4"/>
    <w:rsid w:val="0092671C"/>
    <w:rsid w:val="00926D5C"/>
    <w:rsid w:val="00930956"/>
    <w:rsid w:val="00933774"/>
    <w:rsid w:val="009360D1"/>
    <w:rsid w:val="009364DE"/>
    <w:rsid w:val="00947BF1"/>
    <w:rsid w:val="0095097F"/>
    <w:rsid w:val="00950F2C"/>
    <w:rsid w:val="009512A7"/>
    <w:rsid w:val="009543EE"/>
    <w:rsid w:val="00955F8A"/>
    <w:rsid w:val="009610E2"/>
    <w:rsid w:val="00967F32"/>
    <w:rsid w:val="009702DE"/>
    <w:rsid w:val="00971B64"/>
    <w:rsid w:val="00973331"/>
    <w:rsid w:val="00974712"/>
    <w:rsid w:val="00976231"/>
    <w:rsid w:val="00976266"/>
    <w:rsid w:val="00977BEF"/>
    <w:rsid w:val="0098218D"/>
    <w:rsid w:val="00985CFC"/>
    <w:rsid w:val="00990E54"/>
    <w:rsid w:val="00990F3D"/>
    <w:rsid w:val="00996B36"/>
    <w:rsid w:val="009A239C"/>
    <w:rsid w:val="009A3976"/>
    <w:rsid w:val="009A3AAF"/>
    <w:rsid w:val="009A3EAE"/>
    <w:rsid w:val="009A4956"/>
    <w:rsid w:val="009A6156"/>
    <w:rsid w:val="009A7747"/>
    <w:rsid w:val="009A7DCC"/>
    <w:rsid w:val="009A7E35"/>
    <w:rsid w:val="009B0099"/>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9F6E7F"/>
    <w:rsid w:val="00A009EA"/>
    <w:rsid w:val="00A06892"/>
    <w:rsid w:val="00A07761"/>
    <w:rsid w:val="00A12D02"/>
    <w:rsid w:val="00A139C5"/>
    <w:rsid w:val="00A14DD7"/>
    <w:rsid w:val="00A151D0"/>
    <w:rsid w:val="00A17980"/>
    <w:rsid w:val="00A21E33"/>
    <w:rsid w:val="00A21E81"/>
    <w:rsid w:val="00A23E60"/>
    <w:rsid w:val="00A25047"/>
    <w:rsid w:val="00A30934"/>
    <w:rsid w:val="00A30BAA"/>
    <w:rsid w:val="00A33184"/>
    <w:rsid w:val="00A33C56"/>
    <w:rsid w:val="00A36342"/>
    <w:rsid w:val="00A4099B"/>
    <w:rsid w:val="00A42896"/>
    <w:rsid w:val="00A43179"/>
    <w:rsid w:val="00A45310"/>
    <w:rsid w:val="00A46BEF"/>
    <w:rsid w:val="00A47695"/>
    <w:rsid w:val="00A4771A"/>
    <w:rsid w:val="00A50D78"/>
    <w:rsid w:val="00A52005"/>
    <w:rsid w:val="00A53223"/>
    <w:rsid w:val="00A575DA"/>
    <w:rsid w:val="00A57BE7"/>
    <w:rsid w:val="00A611EE"/>
    <w:rsid w:val="00A6148F"/>
    <w:rsid w:val="00A6545C"/>
    <w:rsid w:val="00A6563F"/>
    <w:rsid w:val="00A66CCA"/>
    <w:rsid w:val="00A67F48"/>
    <w:rsid w:val="00A704D5"/>
    <w:rsid w:val="00A70752"/>
    <w:rsid w:val="00A7774E"/>
    <w:rsid w:val="00A8467A"/>
    <w:rsid w:val="00A86C97"/>
    <w:rsid w:val="00A86DE0"/>
    <w:rsid w:val="00A86E28"/>
    <w:rsid w:val="00A90E4B"/>
    <w:rsid w:val="00A92AC5"/>
    <w:rsid w:val="00A93E28"/>
    <w:rsid w:val="00A94B87"/>
    <w:rsid w:val="00A966CA"/>
    <w:rsid w:val="00AA6824"/>
    <w:rsid w:val="00AA701D"/>
    <w:rsid w:val="00AB4207"/>
    <w:rsid w:val="00AC2B6A"/>
    <w:rsid w:val="00AD0FD6"/>
    <w:rsid w:val="00AD7994"/>
    <w:rsid w:val="00AE0A20"/>
    <w:rsid w:val="00AE31C7"/>
    <w:rsid w:val="00AE3911"/>
    <w:rsid w:val="00AE3DD9"/>
    <w:rsid w:val="00AE709A"/>
    <w:rsid w:val="00AE784D"/>
    <w:rsid w:val="00AF63D3"/>
    <w:rsid w:val="00AF7E75"/>
    <w:rsid w:val="00B0001E"/>
    <w:rsid w:val="00B005D4"/>
    <w:rsid w:val="00B00868"/>
    <w:rsid w:val="00B01558"/>
    <w:rsid w:val="00B02FB1"/>
    <w:rsid w:val="00B042A7"/>
    <w:rsid w:val="00B05AEC"/>
    <w:rsid w:val="00B0645A"/>
    <w:rsid w:val="00B06847"/>
    <w:rsid w:val="00B07042"/>
    <w:rsid w:val="00B071FD"/>
    <w:rsid w:val="00B07868"/>
    <w:rsid w:val="00B07AA3"/>
    <w:rsid w:val="00B1340A"/>
    <w:rsid w:val="00B159DB"/>
    <w:rsid w:val="00B21B6E"/>
    <w:rsid w:val="00B220B5"/>
    <w:rsid w:val="00B22EA9"/>
    <w:rsid w:val="00B24F0E"/>
    <w:rsid w:val="00B262E4"/>
    <w:rsid w:val="00B30E9B"/>
    <w:rsid w:val="00B313EF"/>
    <w:rsid w:val="00B40077"/>
    <w:rsid w:val="00B42160"/>
    <w:rsid w:val="00B43D5E"/>
    <w:rsid w:val="00B45A43"/>
    <w:rsid w:val="00B45D4C"/>
    <w:rsid w:val="00B468EB"/>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E7DF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58B8"/>
    <w:rsid w:val="00C36E6D"/>
    <w:rsid w:val="00C3787E"/>
    <w:rsid w:val="00C42011"/>
    <w:rsid w:val="00C42BCF"/>
    <w:rsid w:val="00C4392E"/>
    <w:rsid w:val="00C45E9C"/>
    <w:rsid w:val="00C4774B"/>
    <w:rsid w:val="00C52B44"/>
    <w:rsid w:val="00C557BA"/>
    <w:rsid w:val="00C55C70"/>
    <w:rsid w:val="00C56EF3"/>
    <w:rsid w:val="00C57B14"/>
    <w:rsid w:val="00C601CD"/>
    <w:rsid w:val="00C64802"/>
    <w:rsid w:val="00C65303"/>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36D6"/>
    <w:rsid w:val="00CA4724"/>
    <w:rsid w:val="00CA75FB"/>
    <w:rsid w:val="00CA7CFE"/>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150E2"/>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1F27"/>
    <w:rsid w:val="00D721CB"/>
    <w:rsid w:val="00D72322"/>
    <w:rsid w:val="00D729EE"/>
    <w:rsid w:val="00D739D3"/>
    <w:rsid w:val="00D73BF5"/>
    <w:rsid w:val="00D73E04"/>
    <w:rsid w:val="00D7586C"/>
    <w:rsid w:val="00D77E07"/>
    <w:rsid w:val="00D77E8F"/>
    <w:rsid w:val="00D81728"/>
    <w:rsid w:val="00D828C6"/>
    <w:rsid w:val="00D91FF4"/>
    <w:rsid w:val="00D95FC4"/>
    <w:rsid w:val="00D965FD"/>
    <w:rsid w:val="00D96DFE"/>
    <w:rsid w:val="00D96EEF"/>
    <w:rsid w:val="00D97993"/>
    <w:rsid w:val="00DA2F9C"/>
    <w:rsid w:val="00DB0143"/>
    <w:rsid w:val="00DB45CB"/>
    <w:rsid w:val="00DB7966"/>
    <w:rsid w:val="00DC1F7F"/>
    <w:rsid w:val="00DC1FAF"/>
    <w:rsid w:val="00DC59D1"/>
    <w:rsid w:val="00DC6517"/>
    <w:rsid w:val="00DC7D0F"/>
    <w:rsid w:val="00DD2B2D"/>
    <w:rsid w:val="00DD6641"/>
    <w:rsid w:val="00DE168E"/>
    <w:rsid w:val="00DE68C9"/>
    <w:rsid w:val="00DF172F"/>
    <w:rsid w:val="00DF17BF"/>
    <w:rsid w:val="00DF2140"/>
    <w:rsid w:val="00DF36B4"/>
    <w:rsid w:val="00DF49FE"/>
    <w:rsid w:val="00DF5207"/>
    <w:rsid w:val="00DF56B6"/>
    <w:rsid w:val="00DF65DE"/>
    <w:rsid w:val="00E02368"/>
    <w:rsid w:val="00E05FFD"/>
    <w:rsid w:val="00E10906"/>
    <w:rsid w:val="00E119C1"/>
    <w:rsid w:val="00E12A76"/>
    <w:rsid w:val="00E12DAF"/>
    <w:rsid w:val="00E15E99"/>
    <w:rsid w:val="00E1687C"/>
    <w:rsid w:val="00E17BCE"/>
    <w:rsid w:val="00E213C4"/>
    <w:rsid w:val="00E25C96"/>
    <w:rsid w:val="00E26C9C"/>
    <w:rsid w:val="00E3094B"/>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2EF8"/>
    <w:rsid w:val="00E53B52"/>
    <w:rsid w:val="00E632AC"/>
    <w:rsid w:val="00E6491A"/>
    <w:rsid w:val="00E66762"/>
    <w:rsid w:val="00E721A9"/>
    <w:rsid w:val="00E74AAE"/>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256A"/>
    <w:rsid w:val="00EA5D2D"/>
    <w:rsid w:val="00EB0BA5"/>
    <w:rsid w:val="00EB151B"/>
    <w:rsid w:val="00EB3128"/>
    <w:rsid w:val="00EB7F44"/>
    <w:rsid w:val="00EC0F2F"/>
    <w:rsid w:val="00EC189B"/>
    <w:rsid w:val="00EC2CC3"/>
    <w:rsid w:val="00EC3F6B"/>
    <w:rsid w:val="00EC5C8C"/>
    <w:rsid w:val="00EC7BD8"/>
    <w:rsid w:val="00EC7F67"/>
    <w:rsid w:val="00ED04DC"/>
    <w:rsid w:val="00ED0A07"/>
    <w:rsid w:val="00ED0B50"/>
    <w:rsid w:val="00ED1033"/>
    <w:rsid w:val="00ED3993"/>
    <w:rsid w:val="00ED4B30"/>
    <w:rsid w:val="00ED4E28"/>
    <w:rsid w:val="00ED51EC"/>
    <w:rsid w:val="00ED5206"/>
    <w:rsid w:val="00ED72C1"/>
    <w:rsid w:val="00ED788C"/>
    <w:rsid w:val="00EE1CF4"/>
    <w:rsid w:val="00EE46FF"/>
    <w:rsid w:val="00EE4709"/>
    <w:rsid w:val="00EE6643"/>
    <w:rsid w:val="00EE71F1"/>
    <w:rsid w:val="00EF051A"/>
    <w:rsid w:val="00EF1336"/>
    <w:rsid w:val="00EF1E4E"/>
    <w:rsid w:val="00EF5356"/>
    <w:rsid w:val="00EF5447"/>
    <w:rsid w:val="00EF5D50"/>
    <w:rsid w:val="00EF77D8"/>
    <w:rsid w:val="00F02D75"/>
    <w:rsid w:val="00F06E6E"/>
    <w:rsid w:val="00F11CFC"/>
    <w:rsid w:val="00F13A00"/>
    <w:rsid w:val="00F21222"/>
    <w:rsid w:val="00F21756"/>
    <w:rsid w:val="00F218C8"/>
    <w:rsid w:val="00F22CEC"/>
    <w:rsid w:val="00F2489D"/>
    <w:rsid w:val="00F2502E"/>
    <w:rsid w:val="00F2648E"/>
    <w:rsid w:val="00F2743A"/>
    <w:rsid w:val="00F309E2"/>
    <w:rsid w:val="00F30EB0"/>
    <w:rsid w:val="00F35BA4"/>
    <w:rsid w:val="00F374DD"/>
    <w:rsid w:val="00F419EF"/>
    <w:rsid w:val="00F448F1"/>
    <w:rsid w:val="00F451D8"/>
    <w:rsid w:val="00F45366"/>
    <w:rsid w:val="00F4693D"/>
    <w:rsid w:val="00F479DE"/>
    <w:rsid w:val="00F50781"/>
    <w:rsid w:val="00F5116C"/>
    <w:rsid w:val="00F51500"/>
    <w:rsid w:val="00F51EC5"/>
    <w:rsid w:val="00F53B86"/>
    <w:rsid w:val="00F54E71"/>
    <w:rsid w:val="00F556DC"/>
    <w:rsid w:val="00F560B6"/>
    <w:rsid w:val="00F56B6C"/>
    <w:rsid w:val="00F572C7"/>
    <w:rsid w:val="00F62237"/>
    <w:rsid w:val="00F62DC5"/>
    <w:rsid w:val="00F639C8"/>
    <w:rsid w:val="00F65DD1"/>
    <w:rsid w:val="00F70DB5"/>
    <w:rsid w:val="00F710F9"/>
    <w:rsid w:val="00F7290D"/>
    <w:rsid w:val="00F74621"/>
    <w:rsid w:val="00F817DE"/>
    <w:rsid w:val="00F90B52"/>
    <w:rsid w:val="00F91E50"/>
    <w:rsid w:val="00F91F7C"/>
    <w:rsid w:val="00F9337E"/>
    <w:rsid w:val="00F93958"/>
    <w:rsid w:val="00F94A95"/>
    <w:rsid w:val="00F97224"/>
    <w:rsid w:val="00F9784C"/>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466"/>
    <w:rsid w:val="00FD7B44"/>
    <w:rsid w:val="00FE0E6E"/>
    <w:rsid w:val="00FE3160"/>
    <w:rsid w:val="00FE5536"/>
    <w:rsid w:val="00FE6E2B"/>
    <w:rsid w:val="00FE76EC"/>
    <w:rsid w:val="00FF0F47"/>
    <w:rsid w:val="00FF11D7"/>
    <w:rsid w:val="00FF1579"/>
    <w:rsid w:val="00FF30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151D0"/>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styleId="ListParagraph">
    <w:name w:val="List Paragraph"/>
    <w:basedOn w:val="Normal"/>
    <w:uiPriority w:val="34"/>
    <w:qFormat/>
    <w:rsid w:val="00B07AA3"/>
    <w:pPr>
      <w:ind w:left="720"/>
      <w:contextualSpacing/>
    </w:pPr>
  </w:style>
  <w:style w:type="table" w:styleId="TableGrid">
    <w:name w:val="Table Grid"/>
    <w:basedOn w:val="TableNormal"/>
    <w:uiPriority w:val="59"/>
    <w:rsid w:val="00D71F27"/>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8C9"/>
    <w:rPr>
      <w:color w:val="605E5C"/>
      <w:shd w:val="clear" w:color="auto" w:fill="E1DFDD"/>
    </w:rPr>
  </w:style>
  <w:style w:type="paragraph" w:styleId="NormalWeb">
    <w:name w:val="Normal (Web)"/>
    <w:basedOn w:val="Normal"/>
    <w:semiHidden/>
    <w:unhideWhenUsed/>
    <w:rsid w:val="00C64802"/>
  </w:style>
  <w:style w:type="character" w:styleId="FollowedHyperlink">
    <w:name w:val="FollowedHyperlink"/>
    <w:basedOn w:val="DefaultParagraphFont"/>
    <w:semiHidden/>
    <w:unhideWhenUsed/>
    <w:rsid w:val="005B45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github.com/divineiloh/Synthla-edu-v2"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8220</TotalTime>
  <Pages>11</Pages>
  <Words>6129</Words>
  <Characters>34937</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40985</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Divine Iloh</cp:lastModifiedBy>
  <cp:revision>63</cp:revision>
  <cp:lastPrinted>2022-11-11T11:49:00Z</cp:lastPrinted>
  <dcterms:created xsi:type="dcterms:W3CDTF">2024-04-29T14:52:00Z</dcterms:created>
  <dcterms:modified xsi:type="dcterms:W3CDTF">2026-02-07T17:26:00Z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8cd5c-727f-46ce-bb9d-171c1c7ba144_Enabled">
    <vt:lpwstr>true</vt:lpwstr>
  </property>
  <property fmtid="{D5CDD505-2E9C-101B-9397-08002B2CF9AE}" pid="3" name="MSIP_Label_f428cd5c-727f-46ce-bb9d-171c1c7ba144_SetDate">
    <vt:lpwstr>2025-11-09T12:34:24Z</vt:lpwstr>
  </property>
  <property fmtid="{D5CDD505-2E9C-101B-9397-08002B2CF9AE}" pid="4" name="MSIP_Label_f428cd5c-727f-46ce-bb9d-171c1c7ba144_Method">
    <vt:lpwstr>Standard</vt:lpwstr>
  </property>
  <property fmtid="{D5CDD505-2E9C-101B-9397-08002B2CF9AE}" pid="5" name="MSIP_Label_f428cd5c-727f-46ce-bb9d-171c1c7ba144_Name">
    <vt:lpwstr>General Use</vt:lpwstr>
  </property>
  <property fmtid="{D5CDD505-2E9C-101B-9397-08002B2CF9AE}" pid="6" name="MSIP_Label_f428cd5c-727f-46ce-bb9d-171c1c7ba144_SiteId">
    <vt:lpwstr>43f898e5-2dd8-4099-86ad-f69807092263</vt:lpwstr>
  </property>
  <property fmtid="{D5CDD505-2E9C-101B-9397-08002B2CF9AE}" pid="7" name="MSIP_Label_f428cd5c-727f-46ce-bb9d-171c1c7ba144_ActionId">
    <vt:lpwstr>8e121ff8-fbd8-48c5-bb76-f3eaab3d9594</vt:lpwstr>
  </property>
  <property fmtid="{D5CDD505-2E9C-101B-9397-08002B2CF9AE}" pid="8" name="MSIP_Label_f428cd5c-727f-46ce-bb9d-171c1c7ba144_ContentBits">
    <vt:lpwstr>0</vt:lpwstr>
  </property>
  <property fmtid="{D5CDD505-2E9C-101B-9397-08002B2CF9AE}" pid="9" name="MSIP_Label_f428cd5c-727f-46ce-bb9d-171c1c7ba144_Tag">
    <vt:lpwstr>10, 3, 0, 1</vt:lpwstr>
  </property>
  <property fmtid="{D5CDD505-2E9C-101B-9397-08002B2CF9AE}" pid="10" name="GrammarlyDocumentId">
    <vt:lpwstr>dbaf37a0-a8c4-49e0-92dd-30801d0b0f93</vt:lpwstr>
  </property>
</Properties>
</file>