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Documentation API v1 — Carburflow</w:t>
      </w:r>
    </w:p>
    <w:p>
      <w:pPr>
        <w:jc w:val="right"/>
      </w:pPr>
      <w:r>
        <w:rPr>
          <w:color w:val="666666"/>
          <w:sz w:val="20"/>
        </w:rPr>
        <w:t>Date : 22/07/2026</w:t>
      </w:r>
    </w:p>
    <w:p>
      <w:pPr>
        <w:pStyle w:val="Heading1"/>
      </w:pPr>
      <w:r>
        <w:t>Principes généraux</w:t>
      </w:r>
    </w:p>
    <w:p>
      <w:r>
        <w:t>Cette documentation définit le jeu de routes API REST (api/v1/...) cohérent avec le modèle E-R et les fichiers CSV validés pour le projet Carburflow. Le format est JSON (UTF-8, dates en ISO AAAA-MM-JJ, décimales avec point). L'authentification se fait par token (Bearer) ou clé API. La convention impose des noms en snake_case et des ressources au pluriel.</w:t>
      </w:r>
    </w:p>
    <w:p>
      <w:pPr>
        <w:pStyle w:val="Heading3"/>
      </w:pPr>
      <w:r>
        <w:t>1. Gestion des Sites</w:t>
      </w:r>
    </w:p>
    <w:p>
      <w:pPr>
        <w:pStyle w:val="IntenseQuote"/>
      </w:pPr>
      <w:r>
        <w:t>Gestion des sites physiques où sont installés les groupes électrogènes et les cuves.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2E4057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Route</w:t>
            </w:r>
          </w:p>
        </w:tc>
        <w:tc>
          <w:tcPr>
            <w:tcW w:type="dxa" w:w="4320"/>
            <w:shd w:fill="2E4057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GET /api/v1/sites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Récupère la liste de tous les sites.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POST /api/v1/sites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Crée un nouveau site.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GET /api/v1/sites/{id_site}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Récupère les détails d'un site spécifique.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PUT /api/v1/sites/{id_site}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Met à jour les informations d'un site.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DELETE /api/v1/sites/{id_site}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Supprime un site (et ses entités liées).</w:t>
            </w:r>
          </w:p>
        </w:tc>
      </w:tr>
    </w:tbl>
    <w:p/>
    <w:p>
      <w:pPr>
        <w:pStyle w:val="Heading3"/>
      </w:pPr>
      <w:r>
        <w:t>2. Gestion des Cuves Principales</w:t>
      </w:r>
    </w:p>
    <w:p>
      <w:pPr>
        <w:pStyle w:val="IntenseQuote"/>
      </w:pPr>
      <w:r>
        <w:t>Gestion des cuves principales stockant le carburant sur les sites.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2E4057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Route</w:t>
            </w:r>
          </w:p>
        </w:tc>
        <w:tc>
          <w:tcPr>
            <w:tcW w:type="dxa" w:w="4320"/>
            <w:shd w:fill="2E4057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GET /api/v1/cuves_principales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Récupère la liste de toutes les cuves principales.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POST /api/v1/cuves_principales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Crée une nouvelle cuve principale.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GET /api/v1/cuves_principales/{id}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Récupère les détails d'une cuve principale.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GET /api/v1/cuves_principales?site={id_site}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Récupère les cuves principales d'un site spécifique.</w:t>
            </w:r>
          </w:p>
        </w:tc>
      </w:tr>
    </w:tbl>
    <w:p/>
    <w:p>
      <w:pPr>
        <w:pStyle w:val="Heading3"/>
      </w:pPr>
      <w:r>
        <w:t>3. Gestion des Cuves Journalières</w:t>
      </w:r>
    </w:p>
    <w:p>
      <w:pPr>
        <w:pStyle w:val="IntenseQuote"/>
      </w:pPr>
      <w:r>
        <w:t>Gestion des cuves journalières alimentant les groupes électrogènes.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2E4057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Route</w:t>
            </w:r>
          </w:p>
        </w:tc>
        <w:tc>
          <w:tcPr>
            <w:tcW w:type="dxa" w:w="4320"/>
            <w:shd w:fill="2E4057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GET /api/v1/cuves_journaliere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Récupère la liste de toutes les cuves journalières.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POST /api/v1/cuves_journaliere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Crée une nouvelle cuve journalière.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GET /api/v1/cuves_journaliere/{id}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Récupère les détails d'une cuve journalière.</w:t>
            </w:r>
          </w:p>
        </w:tc>
      </w:tr>
    </w:tbl>
    <w:p/>
    <w:p>
      <w:pPr>
        <w:pStyle w:val="Heading3"/>
      </w:pPr>
      <w:r>
        <w:t>4. Gestion des Groupes Électrogènes</w:t>
      </w:r>
    </w:p>
    <w:p>
      <w:pPr>
        <w:pStyle w:val="IntenseQuote"/>
      </w:pPr>
      <w:r>
        <w:t>Gestion des informations statiques des groupes électrogènes (marque, puissance, etc.).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2E4057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Route</w:t>
            </w:r>
          </w:p>
        </w:tc>
        <w:tc>
          <w:tcPr>
            <w:tcW w:type="dxa" w:w="4320"/>
            <w:shd w:fill="2E4057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GET /api/v1/groupes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Récupère la liste de tous les groupes électrogènes.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POST /api/v1/groupes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Ajoute un nouveau groupe électrogène.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GET /api/v1/groupes/{id}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Récupère les détails d'un groupe électrogène.</w:t>
            </w:r>
          </w:p>
        </w:tc>
      </w:tr>
    </w:tbl>
    <w:p/>
    <w:p>
      <w:pPr>
        <w:pStyle w:val="Heading3"/>
      </w:pPr>
      <w:r>
        <w:t>5. Association Cuve Journalière ↔ Groupe</w:t>
      </w:r>
    </w:p>
    <w:p>
      <w:pPr>
        <w:pStyle w:val="IntenseQuote"/>
      </w:pPr>
      <w:r>
        <w:t>Gestion de la relation N:N entre les cuves journalières et les groupes électrogènes.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2E4057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Route</w:t>
            </w:r>
          </w:p>
        </w:tc>
        <w:tc>
          <w:tcPr>
            <w:tcW w:type="dxa" w:w="4320"/>
            <w:shd w:fill="2E4057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GET /api/v1/cuve_journaliere_groupe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Récupère toutes les associations.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POST /api/v1/cuve_journaliere_groupe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Associe une cuve journalière à un groupe.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DELETE /api/v1/cuve_journaliere_groupe/{id_cuve}/{id_groupe}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Dissocie une cuve journalière d'un groupe.</w:t>
            </w:r>
          </w:p>
        </w:tc>
      </w:tr>
    </w:tbl>
    <w:p/>
    <w:p>
      <w:pPr>
        <w:pStyle w:val="Heading3"/>
      </w:pPr>
      <w:r>
        <w:t>6. Gestion des Rapports</w:t>
      </w:r>
    </w:p>
    <w:p>
      <w:pPr>
        <w:pStyle w:val="IntenseQuote"/>
      </w:pPr>
      <w:r>
        <w:t>Gestion des rapports périodiques (ex: hebdomadaires) de suivi de consommation.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2E4057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Route</w:t>
            </w:r>
          </w:p>
        </w:tc>
        <w:tc>
          <w:tcPr>
            <w:tcW w:type="dxa" w:w="4320"/>
            <w:shd w:fill="2E4057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GET /api/v1/rapports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Récupère la liste des rapports.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POST /api/v1/rapports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Crée un nouveau rapport (ex: pour la semaine du 06 au 10 Juillet).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GET /api/v1/rapports/{id}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Récupère les détails d'un rapport spécifique.</w:t>
            </w:r>
          </w:p>
        </w:tc>
      </w:tr>
    </w:tbl>
    <w:p/>
    <w:p>
      <w:pPr>
        <w:pStyle w:val="Heading3"/>
      </w:pPr>
      <w:r>
        <w:t>7. Gestion des Lignes de Rapport</w:t>
      </w:r>
    </w:p>
    <w:p>
      <w:pPr>
        <w:pStyle w:val="IntenseQuote"/>
      </w:pPr>
      <w:r>
        <w:t>Gestion des relevés variables documentés dans chaque rapport (quantités, compteurs, états).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2E4057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Route</w:t>
            </w:r>
          </w:p>
        </w:tc>
        <w:tc>
          <w:tcPr>
            <w:tcW w:type="dxa" w:w="4320"/>
            <w:shd w:fill="2E4057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GET /api/v1/lignes_rapport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Récupère toutes les lignes de rapport.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POST /api/v1/lignes_rapport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Ajoute une nouvelle ligne de relevé dans un rapport.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GET /api/v1/lignes_rapport/{id}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Récupère une ligne spécifique.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GET /api/v1/lignes_rapport?rapport={id}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Récupère toutes les lignes d'un rapport donné.</w:t>
            </w:r>
          </w:p>
        </w:tc>
      </w:tr>
    </w:tbl>
    <w:p/>
    <w:p>
      <w:pPr>
        <w:pStyle w:val="Heading3"/>
      </w:pPr>
      <w:r>
        <w:t>8. Routes Analytiques (Dashboard)</w:t>
      </w:r>
    </w:p>
    <w:p>
      <w:pPr>
        <w:pStyle w:val="IntenseQuote"/>
      </w:pPr>
      <w:r>
        <w:t>Endpoints optimisés pour l'exploitation des données par le Data Engineer et l'affichage frontend.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2E4057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Route</w:t>
            </w:r>
          </w:p>
        </w:tc>
        <w:tc>
          <w:tcPr>
            <w:tcW w:type="dxa" w:w="4320"/>
            <w:shd w:fill="2E4057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GET /api/v1/dashboard/etat_cuves?site={id}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État actuel des niveaux des cuves par site.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GET /api/v1/dashboard/evolution_volumes?site={id}&amp;periode=...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Évolution des volumes sur une période.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GET /api/v1/dashboard/consommation?site={id}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Historique de consommation par site.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GET /api/v1/dashboard/horaires_groupes?site={id}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Historique des horaires de fonctionnement des groupes.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GET /api/v1/dashboard/volume_total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Volume total de carburant sur tous les sites.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GET /api/v1/dashboard/horaire_total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Nombre total d'heures de fonctionnement tous groupes confondus.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GET /api/v1/dashboard/consommation_moyenne?site={id}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Calcul de la consommation moyenne.</w:t>
            </w:r>
          </w:p>
        </w:tc>
      </w:tr>
    </w:tbl>
    <w:p/>
    <w:p/>
    <w:p>
      <w:pPr>
        <w:jc w:val="center"/>
      </w:pPr>
      <w:r>
        <w:rPr>
          <w:i/>
          <w:color w:val="999999"/>
          <w:sz w:val="18"/>
        </w:rPr>
        <w:t>Fin de la documentation API v1 — Carburflow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