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3366"/>
          <w:sz w:val="48"/>
        </w:rPr>
        <w:t>DOCUMENT DE CADRAGE MVP</w:t>
      </w:r>
    </w:p>
    <w:p>
      <w:pPr>
        <w:pStyle w:val="Normal"/>
        <w:jc w:val="center"/>
        <w:rPr/>
      </w:pPr>
      <w:r>
        <w:rPr>
          <w:color w:val="006699"/>
          <w:sz w:val="40"/>
        </w:rPr>
        <w:t>Carburflow</w:t>
      </w:r>
    </w:p>
    <w:p>
      <w:pPr>
        <w:pStyle w:val="Normal"/>
        <w:rPr/>
      </w:pPr>
      <w:r>
        <w:rPr/>
      </w:r>
    </w:p>
    <w:p>
      <w:pPr>
        <w:pStyle w:val="Normal"/>
        <w:jc w:val="center"/>
        <w:rPr/>
      </w:pPr>
      <w:r>
        <w:rPr/>
      </w:r>
    </w:p>
    <w:tbl>
      <w:tblPr>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val="false"/>
              <w:spacing w:before="0" w:after="120"/>
              <w:rPr/>
            </w:pPr>
            <w:r>
              <w:rPr>
                <w:b/>
                <w:sz w:val="22"/>
              </w:rPr>
              <w:t>Projet :</w:t>
            </w:r>
          </w:p>
        </w:tc>
        <w:tc>
          <w:tcPr>
            <w:tcW w:w="4319" w:type="dxa"/>
            <w:tcBorders/>
          </w:tcPr>
          <w:p>
            <w:pPr>
              <w:pStyle w:val="Normal"/>
              <w:widowControl w:val="false"/>
              <w:spacing w:before="0" w:after="120"/>
              <w:rPr/>
            </w:pPr>
            <w:r>
              <w:rPr>
                <w:sz w:val="22"/>
              </w:rPr>
              <w:t>Carburflow — Plateforme de Gestion des Consommations de Carburant</w:t>
            </w:r>
          </w:p>
        </w:tc>
      </w:tr>
      <w:tr>
        <w:trPr/>
        <w:tc>
          <w:tcPr>
            <w:tcW w:w="4320" w:type="dxa"/>
            <w:tcBorders/>
          </w:tcPr>
          <w:p>
            <w:pPr>
              <w:pStyle w:val="Normal"/>
              <w:widowControl w:val="false"/>
              <w:spacing w:before="0" w:after="120"/>
              <w:rPr/>
            </w:pPr>
            <w:r>
              <w:rPr>
                <w:b/>
                <w:sz w:val="22"/>
              </w:rPr>
              <w:t>Client :</w:t>
            </w:r>
          </w:p>
        </w:tc>
        <w:tc>
          <w:tcPr>
            <w:tcW w:w="4319" w:type="dxa"/>
            <w:tcBorders/>
          </w:tcPr>
          <w:p>
            <w:pPr>
              <w:pStyle w:val="Normal"/>
              <w:widowControl w:val="false"/>
              <w:spacing w:before="0" w:after="120"/>
              <w:rPr/>
            </w:pPr>
            <w:r>
              <w:rPr>
                <w:sz w:val="22"/>
              </w:rPr>
              <w:t>CAMTEL (Cameroon Telecommunications)</w:t>
            </w:r>
          </w:p>
        </w:tc>
      </w:tr>
      <w:tr>
        <w:trPr/>
        <w:tc>
          <w:tcPr>
            <w:tcW w:w="4320" w:type="dxa"/>
            <w:tcBorders/>
          </w:tcPr>
          <w:p>
            <w:pPr>
              <w:pStyle w:val="Normal"/>
              <w:widowControl w:val="false"/>
              <w:spacing w:before="0" w:after="120"/>
              <w:rPr/>
            </w:pPr>
            <w:r>
              <w:rPr>
                <w:b/>
                <w:sz w:val="22"/>
              </w:rPr>
              <w:t>Date :</w:t>
            </w:r>
          </w:p>
        </w:tc>
        <w:tc>
          <w:tcPr>
            <w:tcW w:w="4319" w:type="dxa"/>
            <w:tcBorders/>
          </w:tcPr>
          <w:p>
            <w:pPr>
              <w:pStyle w:val="Normal"/>
              <w:widowControl w:val="false"/>
              <w:spacing w:before="0" w:after="120"/>
              <w:rPr/>
            </w:pPr>
            <w:r>
              <w:rPr>
                <w:sz w:val="22"/>
              </w:rPr>
              <w:t>21 Juillet 2026</w:t>
            </w:r>
          </w:p>
        </w:tc>
      </w:tr>
      <w:tr>
        <w:trPr/>
        <w:tc>
          <w:tcPr>
            <w:tcW w:w="4320" w:type="dxa"/>
            <w:tcBorders/>
          </w:tcPr>
          <w:p>
            <w:pPr>
              <w:pStyle w:val="Normal"/>
              <w:widowControl w:val="false"/>
              <w:spacing w:before="0" w:after="120"/>
              <w:rPr/>
            </w:pPr>
            <w:r>
              <w:rPr>
                <w:b/>
                <w:sz w:val="22"/>
              </w:rPr>
              <w:t>Statut :</w:t>
            </w:r>
          </w:p>
        </w:tc>
        <w:tc>
          <w:tcPr>
            <w:tcW w:w="4319" w:type="dxa"/>
            <w:tcBorders/>
          </w:tcPr>
          <w:p>
            <w:pPr>
              <w:pStyle w:val="Normal"/>
              <w:widowControl w:val="false"/>
              <w:spacing w:before="0" w:after="120"/>
              <w:rPr/>
            </w:pPr>
            <w:r>
              <w:rPr>
                <w:sz w:val="22"/>
              </w:rPr>
              <w:t>Initial — À valider</w:t>
            </w:r>
          </w:p>
        </w:tc>
      </w:tr>
      <w:tr>
        <w:trPr/>
        <w:tc>
          <w:tcPr>
            <w:tcW w:w="4320" w:type="dxa"/>
            <w:tcBorders/>
          </w:tcPr>
          <w:p>
            <w:pPr>
              <w:pStyle w:val="Normal"/>
              <w:widowControl w:val="false"/>
              <w:spacing w:before="0" w:after="120"/>
              <w:rPr/>
            </w:pPr>
            <w:r>
              <w:rPr>
                <w:b/>
                <w:sz w:val="22"/>
              </w:rPr>
              <w:t>Version :</w:t>
            </w:r>
          </w:p>
        </w:tc>
        <w:tc>
          <w:tcPr>
            <w:tcW w:w="4319" w:type="dxa"/>
            <w:tcBorders/>
          </w:tcPr>
          <w:p>
            <w:pPr>
              <w:pStyle w:val="Normal"/>
              <w:widowControl w:val="false"/>
              <w:spacing w:before="0" w:after="120"/>
              <w:rPr/>
            </w:pPr>
            <w:r>
              <w:rPr>
                <w:sz w:val="22"/>
              </w:rPr>
              <w:t>1.0</w:t>
            </w:r>
          </w:p>
        </w:tc>
      </w:tr>
    </w:tbl>
    <w:p>
      <w:pPr>
        <w:pStyle w:val="Normal"/>
        <w:rPr/>
      </w:pPr>
      <w:r>
        <w:rPr/>
      </w:r>
      <w:r>
        <w:br w:type="page"/>
      </w:r>
    </w:p>
    <w:p>
      <w:pPr>
        <w:pStyle w:val="Heading1"/>
        <w:rPr/>
      </w:pPr>
      <w:r>
        <w:rPr/>
        <w:t>1. Contexte et Objectifs du MVP</w:t>
      </w:r>
    </w:p>
    <w:p>
      <w:pPr>
        <w:pStyle w:val="Normal"/>
        <w:rPr/>
      </w:pPr>
      <w:r>
        <w:rPr/>
        <w:t>CAMTEL, en tant qu'opérateur historique des télécommunications au Cameroun, gère une infrastructure vaste et complexe répartie sur l'ensemble du territoire national. Cette infrastructure comprend des centres de données, des stations terriennes, des répartiteurs pour le réseau fixe (Business Unit Fixed - BUF), des équipements de transmission (Business Unit Transport - BUT) et des milliers de sites radio pour le réseau mobile (Business Unit Mobile - BUM). La continuité de service de ces installations critiques repose sur un parc important de groupes électrogènes, dont la gestion du carburant représente un poste de dépense majeur.</w:t>
      </w:r>
    </w:p>
    <w:p>
      <w:pPr>
        <w:pStyle w:val="Normal"/>
        <w:rPr/>
      </w:pPr>
      <w:r>
        <w:rPr/>
        <w:t>Actuellement, le suivi des consommations s'effectue de manière décentralisée. Les techniciens sur site et les gestionnaires de dépôts transmettent périodiquement des rapports. Ce traitement manuel entraînent des délais importants dans la consolidation des données, limitent la visibilité sur les stocks, et rendent difficile la détection rapide des anomalies.</w:t>
      </w:r>
    </w:p>
    <w:p>
      <w:pPr>
        <w:pStyle w:val="Heading2"/>
        <w:rPr/>
      </w:pPr>
      <w:r>
        <w:rPr/>
        <w:t>1.1. Objectif du MVP</w:t>
      </w:r>
    </w:p>
    <w:p>
      <w:pPr>
        <w:pStyle w:val="Normal"/>
        <w:rPr/>
      </w:pPr>
      <w:r>
        <w:rPr/>
        <w:t>Le MVP de Carburflow a pour objectif de centraliser les données de consommation de carburant et d'offrir une première couche de visualisation. Il s'agit de restituer des indicateurs clés (volumes de cuves, horaires de fonctionnement des groupes électrogènes, écarts) de manière claire et accessible via un tableau de bord web.</w:t>
      </w:r>
    </w:p>
    <w:p>
      <w:pPr>
        <w:pStyle w:val="Heading1"/>
        <w:rPr/>
      </w:pPr>
      <w:r>
        <w:rPr/>
        <w:t>2. Stack Technique</w:t>
      </w:r>
    </w:p>
    <w:p>
      <w:pPr>
        <w:pStyle w:val="Normal"/>
        <w:rPr/>
      </w:pPr>
      <w:r>
        <w:rPr/>
        <w:t>La stack technique suivante a été validée pour le développement du MVP. Elle a été choisie pour sa capacité à livrer rapidement tout en assurant la robustesse et la maintenabilité de l'application.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Composant</w:t>
            </w:r>
          </w:p>
        </w:tc>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Technologie</w:t>
            </w:r>
          </w:p>
        </w:tc>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Justification</w:t>
            </w:r>
          </w:p>
        </w:tc>
      </w:tr>
      <w:tr>
        <w:trPr/>
        <w:tc>
          <w:tcPr>
            <w:tcW w:w="2880" w:type="dxa"/>
            <w:tcBorders/>
            <w:shd w:color="auto" w:fill="D3DFEE" w:themeFill="accent1" w:themeFillTint="3f" w:val="clear"/>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Frontend</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React (TypeScript)</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Bibliothèque performante pour la création d'interfaces utilisateur dynamiques et de tableaux de bord interactifs.</w:t>
            </w:r>
          </w:p>
        </w:tc>
      </w:tr>
      <w:tr>
        <w:trPr/>
        <w:tc>
          <w:tcPr>
            <w:tcW w:w="2880" w:type="dxa"/>
            <w:tcBorders/>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Backend</w:t>
            </w:r>
          </w:p>
        </w:tc>
        <w:tc>
          <w:tcPr>
            <w:tcW w:w="2880" w:type="dxa"/>
            <w:tcBorders/>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Django (Python)</w:t>
            </w:r>
          </w:p>
        </w:tc>
        <w:tc>
          <w:tcPr>
            <w:tcW w:w="2880" w:type="dxa"/>
            <w:tcBorders/>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Framework robuste permettant un développement rapide d'API REST, d'un système d'authentification sécurisé, et facilitant le parsing de fichiers complexes (Excel, Word) grâce à son riche écosystème (pandas, python-docx, openpyxl).</w:t>
            </w:r>
          </w:p>
        </w:tc>
      </w:tr>
      <w:tr>
        <w:trPr/>
        <w:tc>
          <w:tcPr>
            <w:tcW w:w="2880" w:type="dxa"/>
            <w:tcBorders/>
            <w:shd w:color="auto" w:fill="D3DFEE" w:themeFill="accent1" w:themeFillTint="3f" w:val="clear"/>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Base de données</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PostgreSQL</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SGBD relationnel fiable, capable de gérer efficacement les données structurées et de supporter une croissance future.</w:t>
            </w:r>
          </w:p>
        </w:tc>
      </w:tr>
    </w:tbl>
    <w:p>
      <w:pPr>
        <w:pStyle w:val="Normal"/>
        <w:rPr/>
      </w:pPr>
      <w:r>
        <w:rPr/>
      </w:r>
    </w:p>
    <w:p>
      <w:pPr>
        <w:pStyle w:val="Heading1"/>
        <w:rPr/>
      </w:pPr>
      <w:r>
        <w:rPr/>
        <w:t>3. Périmètre Fonctionnel du MVP</w:t>
      </w:r>
    </w:p>
    <w:p>
      <w:pPr>
        <w:pStyle w:val="Normal"/>
        <w:rPr/>
      </w:pPr>
      <w:r>
        <w:rPr/>
        <w:t>Le MVP se concentre exclusivement sur la valeur ajoutée immédiate de la centralisation et de la visualisation des données issues des rapports existants.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Fonctionnalité</w:t>
            </w:r>
          </w:p>
        </w:tc>
        <w:tc>
          <w:tcPr>
            <w:tcW w:w="4319"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Description</w:t>
            </w:r>
          </w:p>
        </w:tc>
      </w:tr>
      <w:tr>
        <w:trPr/>
        <w:tc>
          <w:tcPr>
            <w:tcW w:w="4320" w:type="dxa"/>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État des cuves</w:t>
            </w:r>
          </w:p>
        </w:tc>
        <w:tc>
          <w:tcPr>
            <w:tcW w:w="4319"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Visualisation des niveaux de carburant dans les cuves principales et journalières, filtrable par site.</w:t>
            </w:r>
          </w:p>
        </w:tc>
      </w:tr>
      <w:tr>
        <w:trPr/>
        <w:tc>
          <w:tcPr>
            <w:tcW w:w="4320" w:type="dxa"/>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Évolution des volumes</w:t>
            </w:r>
          </w:p>
        </w:tc>
        <w:tc>
          <w:tcPr>
            <w:tcW w:w="4319" w:type="dxa"/>
            <w:tcBorders/>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 xml:space="preserve">Courbes montrant l'historique des niveaux de carburant dans les cuves (principale et journalière), </w:t>
            </w:r>
            <w:r>
              <w:rPr>
                <w:rFonts w:eastAsia="ＭＳ 明朝" w:cs=""/>
                <w:kern w:val="0"/>
                <w:sz w:val="20"/>
                <w:szCs w:val="22"/>
                <w:lang w:val="en-US" w:eastAsia="en-US" w:bidi="ar-SA"/>
              </w:rPr>
              <w:t>filtrable par site</w:t>
            </w:r>
            <w:r>
              <w:rPr>
                <w:rFonts w:eastAsia="ＭＳ 明朝" w:cs=""/>
                <w:kern w:val="0"/>
                <w:sz w:val="20"/>
                <w:szCs w:val="22"/>
                <w:lang w:val="en-US" w:eastAsia="en-US" w:bidi="ar-SA"/>
              </w:rPr>
              <w:t>.</w:t>
            </w:r>
          </w:p>
        </w:tc>
      </w:tr>
      <w:tr>
        <w:trPr/>
        <w:tc>
          <w:tcPr>
            <w:tcW w:w="4320" w:type="dxa"/>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 xml:space="preserve">Historique de </w:t>
            </w:r>
            <w:r>
              <w:rPr>
                <w:rFonts w:eastAsia="ＭＳ ゴシック" w:cs=""/>
                <w:b/>
                <w:bCs/>
                <w:kern w:val="0"/>
                <w:sz w:val="20"/>
                <w:szCs w:val="22"/>
                <w:lang w:val="en-US" w:eastAsia="en-US" w:bidi="ar-SA"/>
              </w:rPr>
              <w:t>Consommation</w:t>
            </w:r>
          </w:p>
        </w:tc>
        <w:tc>
          <w:tcPr>
            <w:tcW w:w="4319"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Historique de</w:t>
            </w:r>
            <w:r>
              <w:rPr>
                <w:rFonts w:eastAsia="ＭＳ 明朝" w:cs=""/>
                <w:kern w:val="0"/>
                <w:sz w:val="20"/>
                <w:szCs w:val="22"/>
                <w:lang w:val="en-US" w:eastAsia="en-US" w:bidi="ar-SA"/>
              </w:rPr>
              <w:t xml:space="preserve"> la consommation</w:t>
            </w:r>
            <w:r>
              <w:rPr>
                <w:rFonts w:eastAsia="ＭＳ 明朝" w:cs=""/>
                <w:kern w:val="0"/>
                <w:sz w:val="20"/>
                <w:szCs w:val="22"/>
                <w:lang w:val="en-US" w:eastAsia="en-US" w:bidi="ar-SA"/>
              </w:rPr>
              <w:t xml:space="preserve"> </w:t>
            </w:r>
            <w:r>
              <w:rPr>
                <w:rFonts w:eastAsia="ＭＳ 明朝" w:cs=""/>
                <w:kern w:val="0"/>
                <w:sz w:val="20"/>
                <w:szCs w:val="22"/>
                <w:lang w:val="en-US" w:eastAsia="en-US" w:bidi="ar-SA"/>
              </w:rPr>
              <w:t>filtrables par site</w:t>
            </w:r>
          </w:p>
        </w:tc>
      </w:tr>
      <w:tr>
        <w:trPr/>
        <w:tc>
          <w:tcPr>
            <w:tcW w:w="4320" w:type="dxa"/>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 xml:space="preserve">Historique </w:t>
            </w:r>
            <w:r>
              <w:rPr>
                <w:rFonts w:eastAsia="ＭＳ ゴシック" w:cs=""/>
                <w:b/>
                <w:bCs/>
                <w:kern w:val="0"/>
                <w:sz w:val="20"/>
                <w:szCs w:val="22"/>
                <w:lang w:val="en-US" w:eastAsia="en-US" w:bidi="ar-SA"/>
              </w:rPr>
              <w:t xml:space="preserve">des horaires </w:t>
            </w:r>
            <w:r>
              <w:rPr>
                <w:rFonts w:eastAsia="ＭＳ ゴシック" w:cs=""/>
                <w:b/>
                <w:bCs/>
                <w:kern w:val="0"/>
                <w:sz w:val="20"/>
                <w:szCs w:val="22"/>
                <w:lang w:val="en-US" w:eastAsia="en-US" w:bidi="ar-SA"/>
              </w:rPr>
              <w:t>des groupes</w:t>
            </w:r>
          </w:p>
        </w:tc>
        <w:tc>
          <w:tcPr>
            <w:tcW w:w="4319"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Historique des horaires de fonctionnement des groupes électrogènes.</w:t>
            </w:r>
          </w:p>
        </w:tc>
      </w:tr>
      <w:tr>
        <w:trPr>
          <w:trHeight w:val="469" w:hRule="atLeast"/>
        </w:trPr>
        <w:tc>
          <w:tcPr>
            <w:tcW w:w="4320" w:type="dxa"/>
            <w:tcBorders>
              <w:top w:val="nil"/>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Volume total de carburant</w:t>
            </w:r>
          </w:p>
        </w:tc>
        <w:tc>
          <w:tcPr>
            <w:tcW w:w="4319" w:type="dxa"/>
            <w:tcBorders>
              <w:top w:val="nil"/>
            </w:tcBorders>
            <w:shd w:color="auto" w:fill="D3DFEE" w:themeFill="accent1" w:themeFillTint="3f" w:val="clear"/>
          </w:tcPr>
          <w:p>
            <w:pPr>
              <w:pStyle w:val="Normal"/>
              <w:widowControl w:val="false"/>
              <w:suppressAutoHyphens w:val="true"/>
              <w:spacing w:before="0" w:after="120"/>
              <w:jc w:val="left"/>
              <w:rPr>
                <w:rFonts w:eastAsia="ＭＳ 明朝" w:cs=""/>
                <w:kern w:val="0"/>
                <w:sz w:val="20"/>
                <w:szCs w:val="20"/>
                <w:lang w:val="en-US" w:eastAsia="en-US" w:bidi="ar-SA"/>
              </w:rPr>
            </w:pPr>
            <w:r>
              <w:rPr>
                <w:rFonts w:eastAsia="ＭＳ 明朝" w:cs=""/>
                <w:kern w:val="0"/>
                <w:sz w:val="20"/>
                <w:szCs w:val="20"/>
                <w:lang w:val="en-US" w:eastAsia="en-US" w:bidi="ar-SA"/>
              </w:rPr>
              <w:t>C</w:t>
            </w:r>
            <w:r>
              <w:rPr>
                <w:rFonts w:eastAsia="ＭＳ 明朝" w:cs=""/>
                <w:kern w:val="0"/>
                <w:sz w:val="20"/>
                <w:szCs w:val="20"/>
                <w:lang w:val="en-US" w:eastAsia="en-US" w:bidi="ar-SA"/>
              </w:rPr>
              <w:t>alcul automatique du volume global de carburant disponible sur l’ensemble des sites.</w:t>
            </w:r>
          </w:p>
        </w:tc>
      </w:tr>
      <w:tr>
        <w:trPr>
          <w:trHeight w:val="469" w:hRule="atLeast"/>
        </w:trPr>
        <w:tc>
          <w:tcPr>
            <w:tcW w:w="4320" w:type="dxa"/>
            <w:tcBorders>
              <w:top w:val="nil"/>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Horaire total de fonctionnement des groupes</w:t>
            </w:r>
          </w:p>
        </w:tc>
        <w:tc>
          <w:tcPr>
            <w:tcW w:w="4319" w:type="dxa"/>
            <w:tcBorders>
              <w:top w:val="nil"/>
            </w:tcBorders>
            <w:shd w:color="auto" w:fill="D3DFEE" w:themeFill="accent1" w:themeFillTint="3f" w:val="clear"/>
          </w:tcPr>
          <w:p>
            <w:pPr>
              <w:pStyle w:val="Normal"/>
              <w:widowControl w:val="false"/>
              <w:suppressAutoHyphens w:val="true"/>
              <w:spacing w:before="0" w:after="120"/>
              <w:jc w:val="left"/>
              <w:rPr>
                <w:rFonts w:eastAsia="ＭＳ 明朝" w:cs=""/>
                <w:kern w:val="0"/>
                <w:sz w:val="20"/>
                <w:szCs w:val="20"/>
                <w:lang w:val="en-US" w:eastAsia="en-US" w:bidi="ar-SA"/>
              </w:rPr>
            </w:pPr>
            <w:r>
              <w:rPr>
                <w:rFonts w:eastAsia="ＭＳ 明朝" w:cs=""/>
                <w:kern w:val="0"/>
                <w:sz w:val="20"/>
                <w:szCs w:val="20"/>
                <w:lang w:val="en-US" w:eastAsia="en-US" w:bidi="ar-SA"/>
              </w:rPr>
              <w:t xml:space="preserve">Agrégation des durées de fonctionnement de tous les groupes électrogènes sur </w:t>
            </w:r>
            <w:r>
              <w:rPr>
                <w:rFonts w:eastAsia="ＭＳ 明朝" w:cs=""/>
                <w:kern w:val="0"/>
                <w:sz w:val="20"/>
                <w:szCs w:val="20"/>
                <w:lang w:val="en-US" w:eastAsia="en-US" w:bidi="ar-SA"/>
              </w:rPr>
              <w:t>le mois en cours</w:t>
            </w:r>
            <w:r>
              <w:rPr>
                <w:rFonts w:eastAsia="ＭＳ 明朝" w:cs=""/>
                <w:kern w:val="0"/>
                <w:sz w:val="20"/>
                <w:szCs w:val="20"/>
                <w:lang w:val="en-US" w:eastAsia="en-US" w:bidi="ar-SA"/>
              </w:rPr>
              <w:t>.</w:t>
            </w:r>
          </w:p>
        </w:tc>
      </w:tr>
      <w:tr>
        <w:trPr>
          <w:trHeight w:val="469" w:hRule="atLeast"/>
        </w:trPr>
        <w:tc>
          <w:tcPr>
            <w:tcW w:w="4320" w:type="dxa"/>
            <w:tcBorders>
              <w:top w:val="nil"/>
            </w:tcBorders>
            <w:shd w:color="auto" w:fill="D3DFEE" w:themeFill="accent1" w:themeFillTint="3f" w:val="clear"/>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Consommation moyenne de carburant par groupe</w:t>
            </w:r>
          </w:p>
        </w:tc>
        <w:tc>
          <w:tcPr>
            <w:tcW w:w="4319" w:type="dxa"/>
            <w:tcBorders>
              <w:top w:val="nil"/>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w:t>
            </w:r>
            <w:r>
              <w:rPr>
                <w:rFonts w:eastAsia="ＭＳ 明朝" w:cs=""/>
                <w:kern w:val="0"/>
                <w:sz w:val="20"/>
                <w:szCs w:val="20"/>
                <w:lang w:val="en-US" w:eastAsia="en-US" w:bidi="ar-SA"/>
              </w:rPr>
              <w:t xml:space="preserve">ndique la consommation moyenne de carburant par groupe électrogène, calculée sur </w:t>
            </w:r>
            <w:r>
              <w:rPr>
                <w:rFonts w:eastAsia="ＭＳ 明朝" w:cs=""/>
                <w:kern w:val="0"/>
                <w:sz w:val="20"/>
                <w:szCs w:val="20"/>
                <w:lang w:val="en-US" w:eastAsia="en-US" w:bidi="ar-SA"/>
              </w:rPr>
              <w:t>le mois en cours</w:t>
            </w:r>
            <w:r>
              <w:rPr>
                <w:rFonts w:eastAsia="ＭＳ 明朝" w:cs=""/>
                <w:kern w:val="0"/>
                <w:sz w:val="20"/>
                <w:szCs w:val="20"/>
                <w:lang w:val="en-US" w:eastAsia="en-US" w:bidi="ar-SA"/>
              </w:rPr>
              <w:t>.</w:t>
            </w:r>
          </w:p>
        </w:tc>
      </w:tr>
    </w:tbl>
    <w:p>
      <w:pPr>
        <w:pStyle w:val="Normal"/>
        <w:rPr/>
      </w:pPr>
      <w:r>
        <w:rPr/>
      </w:r>
    </w:p>
    <w:p>
      <w:pPr>
        <w:pStyle w:val="Heading1"/>
        <w:rPr/>
      </w:pPr>
      <w:r>
        <w:rPr/>
        <w:t>4. Infrastructure Métier</w:t>
      </w:r>
    </w:p>
    <w:p>
      <w:pPr>
        <w:pStyle w:val="Normal"/>
        <w:rPr/>
      </w:pPr>
      <w:r>
        <w:rPr/>
        <w:t>L'infrastructure carburant repose sur trois éléments principaux interconnectés pour chaque centre technique ou dépôt :</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Élément</w:t>
            </w:r>
          </w:p>
        </w:tc>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Rôle</w:t>
            </w:r>
          </w:p>
        </w:tc>
        <w:tc>
          <w:tcPr>
            <w:tcW w:w="2880" w:type="dxa"/>
            <w:tcBorders>
              <w:bottom w:val="single" w:sz="18" w:space="0" w:color="4F81BD"/>
            </w:tcBorders>
          </w:tcPr>
          <w:p>
            <w:pPr>
              <w:pStyle w:val="Normal"/>
              <w:widowControl w:val="false"/>
              <w:suppressAutoHyphens w:val="true"/>
              <w:spacing w:before="0" w:after="120"/>
              <w:jc w:val="left"/>
              <w:rPr>
                <w:rFonts w:eastAsia="ＭＳ ゴシック" w:cs=""/>
                <w:bCs/>
                <w:kern w:val="0"/>
                <w:szCs w:val="22"/>
                <w:lang w:val="en-US" w:eastAsia="en-US" w:bidi="ar-SA"/>
              </w:rPr>
            </w:pPr>
            <w:r>
              <w:rPr>
                <w:rFonts w:eastAsia="ＭＳ ゴシック" w:cs=""/>
                <w:b/>
                <w:bCs/>
                <w:kern w:val="0"/>
                <w:sz w:val="20"/>
                <w:szCs w:val="22"/>
                <w:lang w:val="en-US" w:eastAsia="en-US" w:bidi="ar-SA"/>
              </w:rPr>
              <w:t>Note</w:t>
            </w:r>
          </w:p>
        </w:tc>
      </w:tr>
      <w:tr>
        <w:trPr/>
        <w:tc>
          <w:tcPr>
            <w:tcW w:w="2880" w:type="dxa"/>
            <w:tcBorders/>
            <w:shd w:color="auto" w:fill="D3DFEE" w:themeFill="accent1" w:themeFillTint="3f" w:val="clear"/>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Cuve principale</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Super réservoir de stockage de carburant, pouvant contenir de très grandes quantités pour la réserve.</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S'alimente via le dépôtage externe (SCDP ou Centre Principal).</w:t>
            </w:r>
          </w:p>
        </w:tc>
      </w:tr>
      <w:tr>
        <w:trPr/>
        <w:tc>
          <w:tcPr>
            <w:tcW w:w="2880" w:type="dxa"/>
            <w:tcBorders/>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Cuve journalière</w:t>
            </w:r>
          </w:p>
        </w:tc>
        <w:tc>
          <w:tcPr>
            <w:tcW w:w="2880" w:type="dxa"/>
            <w:tcBorders/>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Cuve de distribution, normalement toujours pleine (alimentée en continu par la cuve principale). Assure l'autonomie du groupe électrogène rattaché pour 24h à plein régime.</w:t>
            </w:r>
          </w:p>
        </w:tc>
        <w:tc>
          <w:tcPr>
            <w:tcW w:w="2880" w:type="dxa"/>
            <w:tcBorders/>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Point central du suivi : son volume est le plus critique.</w:t>
            </w:r>
          </w:p>
        </w:tc>
      </w:tr>
      <w:tr>
        <w:trPr/>
        <w:tc>
          <w:tcPr>
            <w:tcW w:w="2880" w:type="dxa"/>
            <w:tcBorders/>
            <w:shd w:color="auto" w:fill="D3DFEE" w:themeFill="accent1" w:themeFillTint="3f" w:val="clear"/>
          </w:tcPr>
          <w:p>
            <w:pPr>
              <w:pStyle w:val="Normal"/>
              <w:widowControl w:val="false"/>
              <w:suppressAutoHyphens w:val="true"/>
              <w:spacing w:before="0" w:after="120"/>
              <w:jc w:val="left"/>
              <w:rPr>
                <w:rFonts w:eastAsia="ＭＳ ゴシック" w:cs=""/>
                <w:b/>
                <w:b/>
                <w:bCs/>
                <w:kern w:val="0"/>
                <w:szCs w:val="22"/>
                <w:lang w:val="en-US" w:eastAsia="en-US" w:bidi="ar-SA"/>
              </w:rPr>
            </w:pPr>
            <w:r>
              <w:rPr>
                <w:rFonts w:eastAsia="ＭＳ ゴシック" w:cs=""/>
                <w:b/>
                <w:bCs/>
                <w:kern w:val="0"/>
                <w:sz w:val="20"/>
                <w:szCs w:val="22"/>
                <w:lang w:val="en-US" w:eastAsia="en-US" w:bidi="ar-SA"/>
              </w:rPr>
              <w:t>Groupe électrogène</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Équipement consommateur de carburant, activé en cas de coupure électrique pour assurer la continuité de service.</w:t>
            </w:r>
          </w:p>
        </w:tc>
        <w:tc>
          <w:tcPr>
            <w:tcW w:w="2880" w:type="dxa"/>
            <w:tcBorders/>
            <w:shd w:color="auto" w:fill="D3DFEE" w:themeFill="accent1" w:themeFillTint="3f" w:val="clear"/>
          </w:tcPr>
          <w:p>
            <w:pPr>
              <w:pStyle w:val="Normal"/>
              <w:widowControl w:val="false"/>
              <w:suppressAutoHyphens w:val="true"/>
              <w:spacing w:before="0" w:after="120"/>
              <w:jc w:val="left"/>
              <w:rPr>
                <w:rFonts w:eastAsia="ＭＳ 明朝" w:cs=""/>
                <w:kern w:val="0"/>
                <w:szCs w:val="22"/>
                <w:lang w:val="en-US" w:eastAsia="en-US" w:bidi="ar-SA"/>
              </w:rPr>
            </w:pPr>
            <w:r>
              <w:rPr>
                <w:rFonts w:eastAsia="ＭＳ 明朝" w:cs=""/>
                <w:kern w:val="0"/>
                <w:sz w:val="20"/>
                <w:szCs w:val="22"/>
                <w:lang w:val="en-US" w:eastAsia="en-US" w:bidi="ar-SA"/>
              </w:rPr>
              <w:t>Ses horaires de fonctionnement sont suivis pour calculer la consommation.</w:t>
            </w:r>
          </w:p>
        </w:tc>
      </w:tr>
    </w:tbl>
    <w:p>
      <w:pPr>
        <w:pStyle w:val="Normal"/>
        <w:rPr/>
      </w:pPr>
      <w:r>
        <w:rPr/>
      </w:r>
    </w:p>
    <w:p>
      <w:pPr>
        <w:pStyle w:val="Heading1"/>
        <w:rPr/>
      </w:pPr>
      <w:r>
        <w:rPr/>
        <w:t>5. Livrables du MVP</w:t>
      </w:r>
    </w:p>
    <w:p>
      <w:pPr>
        <w:pStyle w:val="Normal"/>
        <w:rPr/>
      </w:pPr>
      <w:r>
        <w:rPr/>
        <w:t>À l'issue du développement de la version MVP, les éléments suivants seront remis :</w:t>
      </w:r>
    </w:p>
    <w:p>
      <w:pPr>
        <w:pStyle w:val="Normal"/>
        <w:rPr/>
      </w:pPr>
      <w:r>
        <w:rPr>
          <w:b/>
        </w:rPr>
        <w:t xml:space="preserve">Code source complet : </w:t>
      </w:r>
      <w:r>
        <w:rPr/>
        <w:t>Dépôt Git incluant le frontend React, le backend Django.</w:t>
      </w:r>
    </w:p>
    <w:p>
      <w:pPr>
        <w:pStyle w:val="Normal"/>
        <w:rPr/>
      </w:pPr>
      <w:r>
        <w:rPr>
          <w:b/>
        </w:rPr>
        <w:t xml:space="preserve">Base de données : </w:t>
      </w:r>
      <w:r>
        <w:rPr/>
        <w:t>Scripts de migration initiale pour la création du schéma PostgreSQL adapté au périmètre défini.</w:t>
      </w:r>
    </w:p>
    <w:p>
      <w:pPr>
        <w:pStyle w:val="Heading1"/>
        <w:rPr/>
      </w:pPr>
      <w:r>
        <w:rPr/>
        <w:t>6</w:t>
      </w:r>
      <w:r>
        <w:rPr/>
        <w:t>. Prochaines Étapes</w:t>
      </w:r>
    </w:p>
    <w:p>
      <w:pPr>
        <w:pStyle w:val="Normal"/>
        <w:rPr/>
      </w:pPr>
      <w:r>
        <w:rPr/>
        <w:t>Ce document de cadrage est soumis à validation. Une fois validé, les étapes suivantes seront enclenchées :</w:t>
      </w:r>
    </w:p>
    <w:p>
      <w:pPr>
        <w:pStyle w:val="Normal"/>
        <w:rPr/>
      </w:pPr>
      <w:r>
        <w:rPr>
          <w:b/>
        </w:rPr>
        <w:t xml:space="preserve">1. </w:t>
      </w:r>
      <w:r>
        <w:rPr/>
        <w:t>Élaborer le diagramme Entité-Relation (MCD) détaillé, définissant les relations entre les sites, les cuves, les groupes électrogènes et les mouvements de carburant.</w:t>
      </w:r>
    </w:p>
    <w:p>
      <w:pPr>
        <w:pStyle w:val="Normal"/>
        <w:rPr/>
      </w:pPr>
      <w:r>
        <w:rPr>
          <w:b/>
        </w:rPr>
        <w:t xml:space="preserve">2. </w:t>
      </w:r>
      <w:r>
        <w:rPr/>
        <w:t>Initialiser le projet avec la stack validée (React + Django + PostgreSQL + Docker).</w:t>
      </w:r>
    </w:p>
    <w:p>
      <w:pPr>
        <w:pStyle w:val="Normal"/>
        <w:rPr/>
      </w:pPr>
      <w:r>
        <w:rPr>
          <w:b/>
        </w:rPr>
        <w:t xml:space="preserve">3. </w:t>
      </w:r>
      <w:r>
        <w:rPr/>
        <w:t>Lancer les premiers sprints de développement.</w:t>
      </w:r>
    </w:p>
    <w:p>
      <w:pPr>
        <w:pStyle w:val="Normal"/>
        <w:rPr/>
      </w:pPr>
      <w:r>
        <w:rPr>
          <w:b/>
        </w:rPr>
        <w:t xml:space="preserve">5. </w:t>
      </w:r>
      <w:r>
        <w:rPr/>
        <w:t>Planifier une démonstration intermédiaire de la visualisation des données pour valider la direction prise.</w:t>
      </w:r>
    </w:p>
    <w:p>
      <w:pPr>
        <w:pStyle w:val="Normal"/>
        <w:rPr/>
      </w:pPr>
      <w:r>
        <w:rPr/>
      </w:r>
    </w:p>
    <w:p>
      <w:pPr>
        <w:pStyle w:val="Normal"/>
        <w:spacing w:before="0" w:after="120"/>
        <w:jc w:val="center"/>
        <w:rPr/>
      </w:pPr>
      <w:r>
        <w:rPr>
          <w:i/>
          <w:color w:val="808080"/>
          <w:sz w:val="18"/>
        </w:rPr>
        <w:t xml:space="preserve">— </w:t>
      </w:r>
      <w:r>
        <w:rPr>
          <w:i/>
          <w:color w:val="808080"/>
          <w:sz w:val="18"/>
        </w:rPr>
        <w:t>Fin du document de cadrage MVP — Carburflow — CAMTEL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3366"/>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336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336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Bullet4">
    <w:name w:val="List Bullet 4"/>
    <w:basedOn w:val="Normal"/>
    <w:uiPriority w:val="99"/>
    <w:unhideWhenUsed/>
    <w:qFormat/>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LibreOffice/7.3.7.2$Linux_X86_64 LibreOffice_project/30$Build-2</Application>
  <AppVersion>15.0000</AppVersion>
  <Pages>5</Pages>
  <Words>737</Words>
  <Characters>4388</Characters>
  <CharactersWithSpaces>5057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2026-07-22T13:47:19Z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