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PROJECT HANDOFF  /  ZECATHON</w:t>
      </w:r>
    </w:p>
    <w:p>
      <w:pPr>
        <w:spacing w:before="0" w:after="100" w:line="240" w:lineRule="auto"/>
      </w:pPr>
      <w:r>
        <w:rPr>
          <w:rFonts w:ascii="Calibri" w:hAnsi="Calibri"/>
          <w:b/>
          <w:color w:val="172D43"/>
          <w:sz w:val="50"/>
        </w:rPr>
        <w:t>Partner Handoff Checklist</w:t>
      </w:r>
    </w:p>
    <w:p>
      <w:pPr>
        <w:pStyle w:val="DocSubtitle"/>
      </w:pPr>
      <w:r>
        <w:t>The tool details the frontend needs to finish accurate, useful documentation.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E1EA"/>
          <w:left w:val="single" w:sz="5" w:space="0" w:color="D8E1EA"/>
          <w:bottom w:val="single" w:sz="5" w:space="0" w:color="D8E1EA"/>
          <w:right w:val="single" w:sz="5" w:space="0" w:color="D8E1EA"/>
          <w:insideH w:val="single" w:sz="5" w:space="0" w:color="D8E1EA"/>
          <w:insideV w:val="single" w:sz="5" w:space="0" w:color="D8E1EA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27635"/>
                <w:sz w:val="16"/>
              </w:rPr>
              <w:t xml:space="preserve">CURRENT STATE  </w:t>
            </w:r>
            <w:r>
              <w:rPr>
                <w:rFonts w:ascii="Calibri" w:hAnsi="Calibri"/>
                <w:color w:val="20262D"/>
                <w:sz w:val="19"/>
              </w:rPr>
              <w:t>Landing page and docs framework are built. The items below need confirmation from the working CLI or a shared project decision before they can be published as facts.</w:t>
            </w:r>
          </w:p>
        </w:tc>
      </w:tr>
    </w:tbl>
    <w:p>
      <w:pPr>
        <w:pStyle w:val="Heading1"/>
      </w:pPr>
      <w:r>
        <w:t>1. Partner technical handoff</w:t>
      </w:r>
    </w:p>
    <w:p>
      <w:pPr>
        <w:keepLines/>
      </w:pPr>
      <w:r>
        <w:t>Please send verified details from the working tool. A short contract document or a CLI help transcript is enough to start; the frontend can turn it into polished docs.</w:t>
      </w:r>
    </w:p>
    <w:p>
      <w:pPr>
        <w:pStyle w:val="Heading2"/>
      </w:pPr>
      <w:r>
        <w:t>CLI contract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b/>
          <w:color w:val="20262D"/>
          <w:sz w:val="21"/>
        </w:rPr>
        <w:t xml:space="preserve">Command list: </w:t>
      </w:r>
      <w:r>
        <w:rPr>
          <w:rFonts w:ascii="Calibri" w:hAnsi="Calibri"/>
          <w:color w:val="20262D"/>
          <w:sz w:val="21"/>
        </w:rPr>
        <w:t>Every command available in the current build, what it does, exact syntax, arguments, options, and defaults.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b/>
          <w:color w:val="20262D"/>
          <w:sz w:val="21"/>
        </w:rPr>
        <w:t xml:space="preserve">Real examples: </w:t>
      </w:r>
      <w:r>
        <w:rPr>
          <w:rFonts w:ascii="Calibri" w:hAnsi="Calibri"/>
          <w:color w:val="20262D"/>
          <w:sz w:val="21"/>
        </w:rPr>
        <w:t>Tool version, network, prerequisites, and output captured from the CLI. Include common errors or failure behavior where relevant.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b/>
          <w:color w:val="20262D"/>
          <w:sz w:val="21"/>
        </w:rPr>
        <w:t xml:space="preserve">Source of truth: </w:t>
      </w:r>
      <w:r>
        <w:rPr>
          <w:rFonts w:ascii="Calibri" w:hAnsi="Calibri"/>
          <w:color w:val="20262D"/>
          <w:sz w:val="21"/>
        </w:rPr>
        <w:t>Share the repo location and, if available, the CLI help output or a short contract file that can be kept current when commands change.</w:t>
      </w:r>
    </w:p>
    <w:p>
      <w:pPr>
        <w:pStyle w:val="Heading2"/>
      </w:pPr>
      <w:r>
        <w:t>Install and first-use path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b/>
          <w:color w:val="20262D"/>
          <w:sz w:val="21"/>
        </w:rPr>
        <w:t xml:space="preserve">Installation: </w:t>
      </w:r>
      <w:r>
        <w:rPr>
          <w:rFonts w:ascii="Calibri" w:hAnsi="Calibri"/>
          <w:color w:val="20262D"/>
          <w:sz w:val="21"/>
        </w:rPr>
        <w:t>Supported OS versions, prerequisites, tested install steps, version check, and any build-verification step the tool actually supports.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b/>
          <w:color w:val="20262D"/>
          <w:sz w:val="21"/>
        </w:rPr>
        <w:t xml:space="preserve">Testnet quickstart: </w:t>
      </w:r>
      <w:r>
        <w:rPr>
          <w:rFonts w:ascii="Calibri" w:hAnsi="Calibri"/>
          <w:color w:val="20262D"/>
          <w:sz w:val="21"/>
        </w:rPr>
        <w:t>Exact steps from setup to a first testnet payment and how to confirm the result. Include funding requirements if there are any.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b/>
          <w:color w:val="20262D"/>
          <w:sz w:val="21"/>
        </w:rPr>
        <w:t xml:space="preserve">Wallet handling: </w:t>
      </w:r>
      <w:r>
        <w:rPr>
          <w:rFonts w:ascii="Calibri" w:hAnsi="Calibri"/>
          <w:color w:val="20262D"/>
          <w:sz w:val="21"/>
        </w:rPr>
        <w:t>Explain where keys/configuration live and the supported backup, recovery, and signing behavior before the docs advise users to create a wallet.</w:t>
      </w:r>
    </w:p>
    <w:p>
      <w:pPr>
        <w:pStyle w:val="Heading2"/>
      </w:pPr>
      <w:r>
        <w:t>Privacy and capability facts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b/>
          <w:color w:val="20262D"/>
          <w:sz w:val="21"/>
        </w:rPr>
        <w:t xml:space="preserve">Privacy model: </w:t>
      </w:r>
      <w:r>
        <w:rPr>
          <w:rFonts w:ascii="Calibri" w:hAnsi="Calibri"/>
          <w:color w:val="20262D"/>
          <w:sz w:val="21"/>
        </w:rPr>
        <w:t>For each payment path, state what the sender, recipient, amount, memo/reason, and transaction metadata expose or conceal, plus the assumptions and known limits.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b/>
          <w:color w:val="20262D"/>
          <w:sz w:val="21"/>
        </w:rPr>
        <w:t xml:space="preserve">Observer visibility: </w:t>
      </w:r>
      <w:r>
        <w:rPr>
          <w:rFonts w:ascii="Calibri" w:hAnsi="Calibri"/>
          <w:color w:val="20262D"/>
          <w:sz w:val="21"/>
        </w:rPr>
        <w:t>Clarify what a recipient, network observer, RPC/service provider, and project operator can see, including timing, IP, logs, and transparent/shielded-pool transitions if applicable.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b/>
          <w:color w:val="20262D"/>
          <w:sz w:val="21"/>
        </w:rPr>
        <w:t xml:space="preserve">Feature status: </w:t>
      </w:r>
      <w:r>
        <w:rPr>
          <w:rFonts w:ascii="Calibri" w:hAnsi="Calibri"/>
          <w:color w:val="20262D"/>
          <w:sz w:val="21"/>
        </w:rPr>
        <w:t>Confirm whether spending limits exist, where and how they are enforced, whether an owner view exists, and how an agent integrates. Mark unavailable or planned items clearly.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b/>
          <w:color w:val="20262D"/>
          <w:sz w:val="21"/>
        </w:rPr>
        <w:t xml:space="preserve">Evidence level: </w:t>
      </w:r>
      <w:r>
        <w:rPr>
          <w:rFonts w:ascii="Calibri" w:hAnsi="Calibri"/>
          <w:color w:val="20262D"/>
          <w:sz w:val="21"/>
        </w:rPr>
        <w:t>Share any test results, review, audit, or threat-model document that supports the claims. If none exists, say so; the site will describe goals as goals.</w:t>
      </w:r>
    </w:p>
    <w:p>
      <w:pPr>
        <w:pStyle w:val="Heading1"/>
      </w:pPr>
      <w:r>
        <w:t>2. Recording and public project details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b/>
          <w:color w:val="20262D"/>
          <w:sz w:val="21"/>
        </w:rPr>
        <w:t xml:space="preserve">Real CLI recording: </w:t>
      </w:r>
      <w:r>
        <w:rPr>
          <w:rFonts w:ascii="Calibri" w:hAnsi="Calibri"/>
          <w:color w:val="20262D"/>
          <w:sz w:val="21"/>
        </w:rPr>
        <w:t>Once a testnet payment works, provide a short recording (under 30 seconds) from the actual CLI. Use test wallets and remove identifying details.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b/>
          <w:color w:val="20262D"/>
          <w:sz w:val="21"/>
        </w:rPr>
        <w:t xml:space="preserve">Repository and license: </w:t>
      </w:r>
      <w:r>
        <w:rPr>
          <w:rFonts w:ascii="Calibri" w:hAnsi="Calibri"/>
          <w:color w:val="20262D"/>
          <w:sz w:val="21"/>
        </w:rPr>
        <w:t>Send the canonical repository URL and confirmed license so the landing page and docs can link to the real project.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b/>
          <w:color w:val="20262D"/>
          <w:sz w:val="21"/>
        </w:rPr>
        <w:t xml:space="preserve">Demo link: </w:t>
      </w:r>
      <w:r>
        <w:rPr>
          <w:rFonts w:ascii="Calibri" w:hAnsi="Calibri"/>
          <w:color w:val="20262D"/>
          <w:sz w:val="21"/>
        </w:rPr>
        <w:t>Provide the final demo video URL when it is ready, and tell the frontend when commands or behavior change so recordings can be refreshed.</w:t>
      </w:r>
    </w:p>
    <w:p>
      <w:r>
        <w:br w:type="page"/>
      </w:r>
    </w:p>
    <w:p>
      <w:pPr>
        <w:pStyle w:val="Heading1"/>
      </w:pPr>
      <w:r>
        <w:t>3. Shared release decisions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1900"/>
        <w:gridCol w:w="1800"/>
        <w:gridCol w:w="56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Decision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Owner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What to confirm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20262D"/>
                <w:sz w:val="18"/>
              </w:rPr>
              <w:t>Hosting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0262D"/>
                <w:sz w:val="18"/>
              </w:rPr>
              <w:t>Together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0262D"/>
                <w:sz w:val="18"/>
              </w:rPr>
              <w:t>Which platform will host the site, and who owns/accesses that account?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20262D"/>
                <w:sz w:val="18"/>
              </w:rPr>
              <w:t>Deadline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0262D"/>
                <w:sz w:val="18"/>
              </w:rPr>
              <w:t>Together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0262D"/>
                <w:sz w:val="18"/>
              </w:rPr>
              <w:t>Confirm the Zecathon submission deadline and timezone directly from the event rules.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20262D"/>
                <w:sz w:val="18"/>
              </w:rPr>
              <w:t>Supported 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0262D"/>
                <w:sz w:val="18"/>
              </w:rPr>
              <w:t>Partner, then frontend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0262D"/>
                <w:sz w:val="18"/>
              </w:rPr>
              <w:t>Confirm the operating systems and versions the install guide should cover.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20262D"/>
                <w:sz w:val="18"/>
              </w:rPr>
              <w:t>Docs location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0262D"/>
                <w:sz w:val="18"/>
              </w:rPr>
              <w:t>Together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0262D"/>
                <w:sz w:val="18"/>
              </w:rPr>
              <w:t>Confirm whether docs stay in the tool repository or move to a separate site repository.</w:t>
            </w:r>
          </w:p>
        </w:tc>
      </w:tr>
    </w:tbl>
    <w:p>
      <w:pPr>
        <w:pStyle w:val="Heading1"/>
      </w:pPr>
      <w:r>
        <w:t>4. Where the frontend will use the handoff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4400"/>
        <w:gridCol w:w="4960"/>
      </w:tblGrid>
      <w:tr>
        <w:trPr>
          <w:tblHeader w:val="true"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Handoff detail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Frontend destination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20262D"/>
                <w:sz w:val="18"/>
              </w:rPr>
              <w:t>Install method and supported systems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0262D"/>
                <w:sz w:val="18"/>
              </w:rPr>
              <w:t>content/docs/install.mdx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20262D"/>
                <w:sz w:val="18"/>
              </w:rPr>
              <w:t>Verified wallet-to-testnet walkthrough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0262D"/>
                <w:sz w:val="18"/>
              </w:rPr>
              <w:t>content/docs/quickstart.mdx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20262D"/>
                <w:sz w:val="18"/>
              </w:rPr>
              <w:t>Commands, flags, examples, and output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0262D"/>
                <w:sz w:val="18"/>
              </w:rPr>
              <w:t>content/docs/commands.mdx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20262D"/>
                <w:sz w:val="18"/>
              </w:rPr>
              <w:t>Confirmed guarantees, limits, and assumptions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0262D"/>
                <w:sz w:val="18"/>
              </w:rPr>
              <w:t>content/docs/privacy.mdx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20262D"/>
                <w:sz w:val="18"/>
              </w:rPr>
              <w:t>Agent workflow and confirmed feature behavior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0262D"/>
                <w:sz w:val="18"/>
              </w:rPr>
              <w:t>content/docs/guides.mdx and content/docs/faq.mdx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20262D"/>
                <w:sz w:val="18"/>
              </w:rPr>
              <w:t>Real terminal recording and project links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0262D"/>
                <w:sz w:val="18"/>
              </w:rPr>
              <w:t>app/page.tsx</w:t>
            </w:r>
          </w:p>
        </w:tc>
      </w:tr>
    </w:tbl>
    <w:p>
      <w:pPr>
        <w:pStyle w:val="Heading1"/>
      </w:pPr>
      <w:r>
        <w:t>5. Accuracy and safety checklist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color w:val="20262D"/>
          <w:sz w:val="21"/>
        </w:rPr>
        <w:t>Use test wallets and testnet for examples and recordings; never expose a seed phrase or private key.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color w:val="20262D"/>
          <w:sz w:val="21"/>
        </w:rPr>
        <w:t>Do not show real addresses or amounts in public examples. Mask or replace sensitive transaction details before sharing.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color w:val="20262D"/>
          <w:sz w:val="21"/>
        </w:rPr>
        <w:t>Do not present mock terminal output or unverified privacy behavior as live or guaranteed functionality.</w:t>
      </w:r>
    </w:p>
    <w:p>
      <w:pPr>
        <w:pStyle w:val="ChecklistItem"/>
        <w:spacing w:line="300" w:lineRule="auto" w:after="80"/>
        <w:ind w:left="540" w:hanging="271"/>
        <w:numPr>
          <w:ilvl w:val="0"/>
          <w:numId w:val="10"/>
        </w:numPr>
      </w:pPr>
      <w:r>
        <w:rPr>
          <w:rFonts w:ascii="Calibri" w:hAnsi="Calibri"/>
          <w:color w:val="20262D"/>
          <w:sz w:val="21"/>
        </w:rPr>
        <w:t>Update the docs and recording when command names, output, or behavior change.</w:t>
      </w:r>
    </w:p>
    <w:p>
      <w:pPr>
        <w:pStyle w:val="Heading1"/>
      </w:pPr>
      <w:r>
        <w:t>6. Frontend already in place</w:t>
      </w:r>
    </w:p>
    <w:p>
      <w:pPr>
        <w:spacing w:after="60"/>
      </w:pPr>
      <w:r>
        <w:rPr>
          <w:rFonts w:ascii="Calibri" w:hAnsi="Calibri"/>
          <w:b/>
          <w:color w:val="20262D"/>
          <w:sz w:val="21"/>
        </w:rPr>
        <w:t xml:space="preserve">The landing page, responsive docs layout, local search, and explanatory pages are built. </w:t>
      </w:r>
      <w:r>
        <w:rPr>
          <w:rFonts w:ascii="Calibri" w:hAnsi="Calibri"/>
          <w:color w:val="20262D"/>
          <w:sz w:val="21"/>
        </w:rPr>
        <w:t>The docs need the verified inputs above before installation, quickstart, command, recording, and implementation-specific privacy content can be completed. No backend or API from the tool is needed for this frontend handoff.</w:t>
      </w:r>
    </w:p>
    <w:p>
      <w:pPr>
        <w:pStyle w:val="SmallNote"/>
        <w:spacing w:before="100"/>
      </w:pPr>
      <w:r>
        <w:rPr>
          <w:rFonts w:ascii="Calibri" w:hAnsi="Calibri"/>
          <w:b/>
          <w:color w:val="F27635"/>
          <w:sz w:val="18"/>
        </w:rPr>
        <w:t xml:space="preserve">Suggested reply: </w:t>
      </w:r>
      <w:r>
        <w:rPr>
          <w:rFonts w:ascii="Calibri" w:hAnsi="Calibri"/>
          <w:color w:val="5B6570"/>
          <w:sz w:val="18"/>
        </w:rPr>
        <w:t>Share the repo URL and current CLI contract first; then send the verified install/quickstart, privacy notes, and real testnet recording as they become available.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B6570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570"/>
        <w:sz w:val="16"/>
      </w:rPr>
      <w:t>PROVOUS  /  PARTNER HANDOFF</w:t>
    </w:r>
    <w:r>
      <w:rPr>
        <w:rFonts w:ascii="Calibri" w:hAnsi="Calibri"/>
        <w:color w:val="5B6570"/>
        <w:sz w:val="16"/>
      </w:rPr>
      <w:t xml:space="preserve">                                           FRONTEND + CORE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egoe UI Symbol" w:hAnsi="Segoe UI Symbo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80" w:line="240" w:lineRule="auto"/>
    </w:pPr>
    <w:rPr>
      <w:rFonts w:ascii="Calibri" w:hAnsi="Calibri"/>
      <w:b/>
      <w:color w:val="F27635"/>
      <w:sz w:val="16"/>
    </w:rPr>
  </w:style>
  <w:style w:type="paragraph" w:customStyle="1" w:styleId="DocSubtitle">
    <w:name w:val="Doc Subtitle"/>
    <w:pPr>
      <w:spacing w:before="0" w:after="240" w:line="276" w:lineRule="auto"/>
    </w:pPr>
    <w:rPr>
      <w:rFonts w:ascii="Calibri" w:hAnsi="Calibri"/>
      <w:b w:val="0"/>
      <w:color w:val="5B6570"/>
      <w:sz w:val="24"/>
    </w:rPr>
  </w:style>
  <w:style w:type="paragraph" w:customStyle="1" w:styleId="ChecklistItem">
    <w:name w:val="Checklist Item"/>
    <w:pPr>
      <w:spacing w:before="0" w:after="80" w:line="300" w:lineRule="auto"/>
    </w:pPr>
    <w:rPr>
      <w:rFonts w:ascii="Calibri" w:hAnsi="Calibri"/>
      <w:b w:val="0"/>
      <w:color w:val="20262D"/>
      <w:sz w:val="21"/>
    </w:rPr>
  </w:style>
  <w:style w:type="paragraph" w:customStyle="1" w:styleId="SmallNote">
    <w:name w:val="Small Note"/>
    <w:pPr>
      <w:spacing w:before="0" w:after="60" w:line="276" w:lineRule="auto"/>
    </w:pPr>
    <w:rPr>
      <w:rFonts w:ascii="Calibri" w:hAnsi="Calibri"/>
      <w:b w:val="0"/>
      <w:color w:val="5B65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Provous Partner Handoff Checklist</dc:title>
  <dc:subject>Frontend documentation inputs and shared release decisions</dc:subject>
  <dc:creator>Provous project team</dc:creator>
  <cp:keywords>Provous, partner handoff, frontend, documentation, Zecathon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