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090"/>
          <w:sz w:val="36"/>
          <w:szCs w:val="36"/>
          <w:rFonts w:ascii="Arial" w:cs="Arial" w:eastAsia="Arial" w:hAnsi="Arial"/>
        </w:rPr>
        <w:t xml:space="preserve">NPS PROMOTER ANALYSIS</w:t>
      </w:r>
    </w:p>
    <w:p>
      <w:pPr>
        <w:spacing w:after="40"/>
      </w:pPr>
      <w:r>
        <w:rPr>
          <w:color w:val="666666"/>
          <w:sz w:val="22"/>
          <w:szCs w:val="22"/>
          <w:rFonts w:ascii="Arial" w:cs="Arial" w:eastAsia="Arial" w:hAnsi="Arial"/>
        </w:rPr>
        <w:t xml:space="preserve">Sprint 11 → RSP3  |  Dec 2025 – Mar 2026</w:t>
      </w:r>
    </w:p>
    <w:p>
      <w:pPr>
        <w:spacing w:after="40"/>
      </w:pPr>
      <w:r>
        <w:rPr>
          <w:color w:val="666666"/>
          <w:sz w:val="22"/>
          <w:szCs w:val="22"/>
          <w:rFonts w:ascii="Arial" w:cs="Arial" w:eastAsia="Arial" w:hAnsi="Arial"/>
        </w:rPr>
        <w:t xml:space="preserve">Total respondents: 5,580  |  Promoters: 2,525</w:t>
      </w:r>
    </w:p>
    <w:p>
      <w:pPr>
        <w:pBdr>
          <w:bottom w:val="single" w:color="2E5090" w:sz="6" w:space="8"/>
        </w:pBdr>
        <w:spacing w:after="240"/>
      </w:pPr>
    </w:p>
    <w:p>
      <w:pPr>
        <w:shd w:fill="E8EEF4" w:val="clear"/>
        <w:spacing w:after="240"/>
      </w:pPr>
      <w:r>
        <w:rPr>
          <w:i/>
          <w:iCs/>
          <w:color w:val="2E5090"/>
          <w:sz w:val="20"/>
          <w:szCs w:val="20"/>
          <w:rFonts w:ascii="Arial" w:cs="Arial" w:eastAsia="Arial" w:hAnsi="Arial"/>
        </w:rPr>
        <w:t xml:space="preserve">This report reads the data from the promoter’s lens — who they are, what’s holding their loyalty, and what they’re telling us (and not telling us).</w:t>
      </w:r>
    </w:p>
    <w:p>
      <w:pPr>
        <w:pStyle w:val="Heading1"/>
        <w:spacing w:before="360" w:after="200"/>
      </w:pPr>
      <w:r>
        <w:rPr>
          <w:b/>
          <w:bCs/>
          <w:color w:val="2E5090"/>
          <w:sz w:val="28"/>
          <w:szCs w:val="28"/>
          <w:rFonts w:ascii="Arial" w:cs="Arial" w:eastAsia="Arial" w:hAnsi="Arial"/>
        </w:rPr>
        <w:t xml:space="preserve">1. What Are Promoters Responding To?</w:t>
      </w:r>
    </w:p>
    <w:p>
      <w:pPr>
        <w:spacing w:after="160" w:line="276"/>
      </w:pPr>
      <w:r>
        <w:rPr>
          <w:color w:val="333333"/>
          <w:sz w:val="20"/>
          <w:szCs w:val="20"/>
          <w:rFonts w:ascii="Arial" w:cs="Arial" w:eastAsia="Arial" w:hAnsi="Arial"/>
        </w:rPr>
        <w:t xml:space="preserve">The promoter share has moved from 46% to 41% across 7 sprints. Before unpacking what’s driving that shift, it’s worth noting a measurement constraint: 67% of tagged promoters sit under “General Good Service” — so for most promoters, we don’t actually have a specific reason on record. Only 28% carry a usable tag. What follows is an attempt to read the promoter signal through that narrow window — the specific tags we do have, the free-text comments, and the service ticket data — to understand what these customers value, what keeps them loyal, and where that loyalty has conditions attached. S14, the one sprint where promoters crossed 50%, is worth examining closely for what it can tell us about what a good sprint looks like from the promoter’s side.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20"/>
        <w:gridCol w:w="2120"/>
        <w:gridCol w:w="212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Sprint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N</w:t>
            </w:r>
          </w:p>
        </w:tc>
        <w:tc>
          <w:tcPr>
            <w:tcW w:type="dxa" w:w="2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Promoter %</w:t>
            </w:r>
          </w:p>
        </w:tc>
        <w:tc>
          <w:tcPr>
            <w:tcW w:type="dxa" w:w="2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Detractor %</w:t>
            </w:r>
          </w:p>
        </w:tc>
        <w:tc>
          <w:tcPr>
            <w:tcW w:type="dxa" w:w="2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NPS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S11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714</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46.1%</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46.8%</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-0.7</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S12</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691</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46.2%</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47.2%</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S13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816</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46.0%</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44.2%</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+1.7</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S14</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711</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50.2%</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44.7%</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+5.5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RSP1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908</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45.9%</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47.2%</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-1.3</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RSP2</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800</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42.9%</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49.6%</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-6.8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RSP3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940</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41.0%</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52.3%</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-11.4 ▼</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b/>
                <w:bCs/>
                <w:color w:val="333333"/>
                <w:sz w:val="18"/>
                <w:szCs w:val="18"/>
                <w:rFonts w:ascii="Arial" w:cs="Arial" w:eastAsia="Arial" w:hAnsi="Arial"/>
              </w:rPr>
              <w:t xml:space="preserve">Total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bCs/>
                <w:color w:val="333333"/>
                <w:sz w:val="18"/>
                <w:szCs w:val="18"/>
                <w:rFonts w:ascii="Arial" w:cs="Arial" w:eastAsia="Arial" w:hAnsi="Arial"/>
              </w:rPr>
              <w:t xml:space="preserve">5,580</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bCs/>
                <w:color w:val="333333"/>
                <w:sz w:val="18"/>
                <w:szCs w:val="18"/>
                <w:rFonts w:ascii="Arial" w:cs="Arial" w:eastAsia="Arial" w:hAnsi="Arial"/>
              </w:rPr>
              <w:t xml:space="preserve">45.3%</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bCs/>
                <w:color w:val="333333"/>
                <w:sz w:val="18"/>
                <w:szCs w:val="18"/>
                <w:rFonts w:ascii="Arial" w:cs="Arial" w:eastAsia="Arial" w:hAnsi="Arial"/>
              </w:rPr>
              <w:t xml:space="preserve">47.6%</w:t>
            </w:r>
          </w:p>
        </w:tc>
        <w:tc>
          <w:tcPr>
            <w:tcW w:type="dxa" w:w="2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bCs/>
                <w:color w:val="333333"/>
                <w:sz w:val="18"/>
                <w:szCs w:val="18"/>
                <w:rFonts w:ascii="Arial" w:cs="Arial" w:eastAsia="Arial" w:hAnsi="Arial"/>
              </w:rPr>
              <w:t xml:space="preserve">-2.4</w:t>
            </w:r>
          </w:p>
        </w:tc>
      </w:tr>
    </w:tbl>
    <w:p>
      <w:pPr>
        <w:spacing w:after="160"/>
      </w:pPr>
    </w:p>
    <w:p>
      <w:pPr>
        <w:pStyle w:val="Heading1"/>
        <w:spacing w:before="360" w:after="200"/>
      </w:pPr>
      <w:r>
        <w:rPr>
          <w:b/>
          <w:bCs/>
          <w:color w:val="2E5090"/>
          <w:sz w:val="28"/>
          <w:szCs w:val="28"/>
          <w:rFonts w:ascii="Arial" w:cs="Arial" w:eastAsia="Arial" w:hAnsi="Arial"/>
        </w:rPr>
        <w:t xml:space="preserve">2. A Note on What We Can and Can’t See</w:t>
      </w:r>
    </w:p>
    <w:p>
      <w:pPr>
        <w:spacing w:after="160" w:line="276"/>
      </w:pPr>
      <w:r>
        <w:rPr>
          <w:color w:val="333333"/>
          <w:sz w:val="20"/>
          <w:szCs w:val="20"/>
          <w:rFonts w:ascii="Arial" w:cs="Arial" w:eastAsia="Arial" w:hAnsi="Arial"/>
        </w:rPr>
        <w:t xml:space="preserve">The specificity gap between promoters and detractors is worth sitting with. When a detractor is tagged, 58% of the time they receive a specific problem label. When a promoter is tagged, 67% of the time they receive “General Good Service” — a catch-all that typically corresponds to one- or two-word comments like “good service”, “nice”, or “all okay” — content that confirms satisfaction but gives no signal on what’s driving it. Detractors also write nearly twice as much in free text (60 chars vs 34 chars). This isn’t a criticism of the tagging process — it’s natural to describe problems more precisely than satisfaction. But it does mean our understanding of what’s working is structurally thinner than our understanding of what’s broken.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200"/>
        <w:gridCol w:w="1000"/>
        <w:gridCol w:w="1320"/>
        <w:gridCol w:w="1320"/>
        <w:gridCol w:w="1320"/>
      </w:tblGrid>
      <w:tr>
        <w:tc>
          <w:tcPr>
            <w:tcW w:type="dxa" w:w="1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Segment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Has comment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Tagged</w:t>
            </w:r>
          </w:p>
        </w:tc>
        <w:tc>
          <w:tcPr>
            <w:tcW w:type="dxa" w:w="13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Generic tag</w:t>
            </w:r>
          </w:p>
        </w:tc>
        <w:tc>
          <w:tcPr>
            <w:tcW w:type="dxa" w:w="13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Specific tag</w:t>
            </w:r>
          </w:p>
        </w:tc>
        <w:tc>
          <w:tcPr>
            <w:tcW w:type="dxa" w:w="13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Avg length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Promoters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2,525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50.9%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28.1%</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67.1%</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28.3%</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34 chars</w:t>
            </w:r>
          </w:p>
        </w:tc>
      </w:tr>
      <w:tr>
        <w:tc>
          <w:tcPr>
            <w:tcW w:type="dxa" w:w="13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Detractors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2,657</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68.9%</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40.3%</w:t>
            </w:r>
          </w:p>
        </w:tc>
        <w:tc>
          <w:tcPr>
            <w:tcW w:type="dxa" w:w="13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35.8%</w:t>
            </w:r>
          </w:p>
        </w:tc>
        <w:tc>
          <w:tcPr>
            <w:tcW w:type="dxa" w:w="13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58.4%</w:t>
            </w:r>
          </w:p>
        </w:tc>
        <w:tc>
          <w:tcPr>
            <w:tcW w:type="dxa" w:w="13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60 chars</w:t>
            </w:r>
          </w:p>
        </w:tc>
      </w:tr>
    </w:tbl>
    <w:p>
      <w:pPr>
        <w:spacing w:after="80"/>
      </w:pPr>
    </w:p>
    <w:p>
      <w:pPr>
        <w:spacing w:after="160" w:line="276"/>
      </w:pPr>
      <w:r>
        <w:rPr>
          <w:i/>
          <w:iCs/>
          <w:color w:val="666666"/>
          <w:sz w:val="20"/>
          <w:szCs w:val="20"/>
          <w:rFonts w:ascii="Arial" w:cs="Arial" w:eastAsia="Arial" w:hAnsi="Arial"/>
        </w:rPr>
        <w:t xml:space="preserve">What follows is based on the 28% of tagged promoters with specific tags, plus keyword analysis of free-text comments.</w:t>
      </w:r>
    </w:p>
    <w:p>
      <w:pPr>
        <w:spacing w:after="160"/>
      </w:pPr>
    </w:p>
    <w:p>
      <w:pPr>
        <w:pStyle w:val="Heading1"/>
        <w:spacing w:before="360" w:after="200"/>
      </w:pPr>
      <w:r>
        <w:rPr>
          <w:b/>
          <w:bCs/>
          <w:color w:val="2E5090"/>
          <w:sz w:val="28"/>
          <w:szCs w:val="28"/>
          <w:rFonts w:ascii="Arial" w:cs="Arial" w:eastAsia="Arial" w:hAnsi="Arial"/>
        </w:rPr>
        <w:t xml:space="preserve">3. What Promoters Are Responding To</w:t>
      </w:r>
    </w:p>
    <w:p>
      <w:pPr>
        <w:pStyle w:val="Heading2"/>
        <w:spacing w:before="280" w:after="140"/>
      </w:pPr>
      <w:r>
        <w:rPr>
          <w:b/>
          <w:bCs/>
          <w:color w:val="2E5090"/>
          <w:sz w:val="24"/>
          <w:szCs w:val="24"/>
          <w:rFonts w:ascii="Arial" w:cs="Arial" w:eastAsia="Arial" w:hAnsi="Arial"/>
        </w:rPr>
        <w:t xml:space="preserve">Affordable / Value for Money — 119 promoters (4.7%)</w:t>
      </w:r>
    </w:p>
    <w:p>
      <w:pPr>
        <w:spacing w:after="160" w:line="276"/>
      </w:pPr>
      <w:r>
        <w:rPr>
          <w:color w:val="333333"/>
          <w:sz w:val="20"/>
          <w:szCs w:val="20"/>
          <w:rFonts w:ascii="Arial" w:cs="Arial" w:eastAsia="Arial" w:hAnsi="Arial"/>
        </w:rPr>
        <w:t xml:space="preserve">This is the most consistent signal across all sprints (3–7% per sprint; all sprint-level counts below 30 and directional). What’s interesting is how these customers talk about value — it’s less about being cheap and more about access. They describe a service level a middle-class household can actually afford, with flexible plan sizes and zero installation cost. This group also appears to be the most likely to refer unprompted, which raises the question: is affordability doing more work for acquisition than we’re giving it credit for?</w:t>
      </w:r>
    </w:p>
    <w:p>
      <w:pPr>
        <w:pBdr>
          <w:left w:val="single" w:color="2E5090" w:sz="6" w:space="8"/>
        </w:pBdr>
        <w:spacing w:after="120" w:line="276"/>
        <w:ind w:left="480"/>
      </w:pPr>
      <w:r>
        <w:rPr>
          <w:b/>
          <w:bCs/>
          <w:i/>
          <w:iCs/>
          <w:color w:val="666666"/>
          <w:sz w:val="18"/>
          <w:szCs w:val="18"/>
          <w:rFonts w:ascii="Arial" w:cs="Arial" w:eastAsia="Arial" w:hAnsi="Arial"/>
        </w:rPr>
        <w:t xml:space="preserve">[RSP2, Delhi]  </w:t>
      </w:r>
      <w:r>
        <w:rPr>
          <w:i/>
          <w:iCs/>
          <w:color w:val="666666"/>
          <w:sz w:val="18"/>
          <w:szCs w:val="18"/>
          <w:rFonts w:ascii="Arial" w:cs="Arial" w:eastAsia="Arial" w:hAnsi="Arial"/>
        </w:rPr>
        <w:t xml:space="preserve">“Koi bhi person low budget me apna wifi lgwa sakta hai woh bhi apne manpasand plan ke sath... jaise uska budget 500₹ hai toh wo person 50 MBps wala connection lagwa skta hai”</w:t>
      </w:r>
    </w:p>
    <w:p>
      <w:pPr>
        <w:pBdr>
          <w:left w:val="single" w:color="2E5090" w:sz="6" w:space="8"/>
        </w:pBdr>
        <w:spacing w:after="120" w:line="276"/>
        <w:ind w:left="480"/>
      </w:pPr>
      <w:r>
        <w:rPr>
          <w:b/>
          <w:bCs/>
          <w:i/>
          <w:iCs/>
          <w:color w:val="666666"/>
          <w:sz w:val="18"/>
          <w:szCs w:val="18"/>
          <w:rFonts w:ascii="Arial" w:cs="Arial" w:eastAsia="Arial" w:hAnsi="Arial"/>
        </w:rPr>
        <w:t xml:space="preserve">[S13, Delhi]  </w:t>
      </w:r>
      <w:r>
        <w:rPr>
          <w:i/>
          <w:iCs/>
          <w:color w:val="666666"/>
          <w:sz w:val="18"/>
          <w:szCs w:val="18"/>
          <w:rFonts w:ascii="Arial" w:cs="Arial" w:eastAsia="Arial" w:hAnsi="Arial"/>
        </w:rPr>
        <w:t xml:space="preserve">“I told my dear relatives how cheap and good wifi is, Many of my relatives are enjoying your wifi”</w:t>
      </w:r>
    </w:p>
    <w:p>
      <w:pPr>
        <w:pBdr>
          <w:left w:val="single" w:color="2E5090" w:sz="6" w:space="8"/>
        </w:pBdr>
        <w:spacing w:after="120" w:line="276"/>
        <w:ind w:left="480"/>
      </w:pPr>
      <w:r>
        <w:rPr>
          <w:b/>
          <w:bCs/>
          <w:i/>
          <w:iCs/>
          <w:color w:val="666666"/>
          <w:sz w:val="18"/>
          <w:szCs w:val="18"/>
          <w:rFonts w:ascii="Arial" w:cs="Arial" w:eastAsia="Arial" w:hAnsi="Arial"/>
        </w:rPr>
        <w:t xml:space="preserve">[RSP3, Delhi]  </w:t>
      </w:r>
      <w:r>
        <w:rPr>
          <w:i/>
          <w:iCs/>
          <w:color w:val="666666"/>
          <w:sz w:val="18"/>
          <w:szCs w:val="18"/>
          <w:rFonts w:ascii="Arial" w:cs="Arial" w:eastAsia="Arial" w:hAnsi="Arial"/>
        </w:rPr>
        <w:t xml:space="preserve">“ise lagwane ki cost zero h aur hume sirf recharge ke paise dene hote h”</w:t>
      </w:r>
    </w:p>
    <w:p>
      <w:pPr>
        <w:spacing w:after="160" w:line="276"/>
      </w:pPr>
      <w:r>
        <w:rPr>
          <w:b/>
          <w:bCs/>
          <w:color w:val="333333"/>
          <w:sz w:val="20"/>
          <w:szCs w:val="20"/>
          <w:rFonts w:ascii="Arial" w:cs="Arial" w:eastAsia="Arial" w:hAnsi="Arial"/>
        </w:rPr>
        <w:t xml:space="preserve">Word-of-mouth signal: </w:t>
      </w:r>
      <w:r>
        <w:rPr>
          <w:color w:val="333333"/>
          <w:sz w:val="20"/>
          <w:szCs w:val="20"/>
          <w:rFonts w:ascii="Arial" w:cs="Arial" w:eastAsia="Arial" w:hAnsi="Arial"/>
        </w:rPr>
        <w:t xml:space="preserve">16 promoters explicitly mention recommending to friends or family — too small to be conclusive (⚠ all sprint counts &lt;30), but the clustering within this theme rather than others is worth noting.</w:t>
      </w:r>
    </w:p>
    <w:p>
      <w:pPr>
        <w:spacing w:after="80"/>
      </w:pPr>
    </w:p>
    <w:p>
      <w:pPr>
        <w:pStyle w:val="Heading2"/>
        <w:spacing w:before="280" w:after="140"/>
      </w:pPr>
      <w:r>
        <w:rPr>
          <w:b/>
          <w:bCs/>
          <w:color w:val="2E5090"/>
          <w:sz w:val="24"/>
          <w:szCs w:val="24"/>
          <w:rFonts w:ascii="Arial" w:cs="Arial" w:eastAsia="Arial" w:hAnsi="Arial"/>
        </w:rPr>
        <w:t xml:space="preserve">Good Speed — 186 promoters (7.4%)</w:t>
      </w:r>
    </w:p>
    <w:p>
      <w:pPr>
        <w:spacing w:after="160" w:line="276"/>
      </w:pPr>
      <w:r>
        <w:rPr>
          <w:color w:val="333333"/>
          <w:sz w:val="20"/>
          <w:szCs w:val="20"/>
          <w:rFonts w:ascii="Arial" w:cs="Arial" w:eastAsia="Arial" w:hAnsi="Arial"/>
        </w:rPr>
        <w:t xml:space="preserve">The largest specific positive pool, consistent across sprints (4–9% per sprint; directional). What stands out is how promoters talk about speed. They’re not citing Mbps numbers — they’re describing what speed feels like in use: uninterrupted streaming, multiple devices working at once, a noticeable improvement over JioFiber or a previous connection. The benchmark is experiential, not technical. This suggests that as long as the lived experience holds, these customers stay loyal — but it also means the loyalty is tied to a feeling that can shift without any change in the underlying specs.</w:t>
      </w:r>
    </w:p>
    <w:p>
      <w:pPr>
        <w:pBdr>
          <w:left w:val="single" w:color="2E5090" w:sz="6" w:space="8"/>
        </w:pBdr>
        <w:spacing w:after="120" w:line="276"/>
        <w:ind w:left="480"/>
      </w:pPr>
      <w:r>
        <w:rPr>
          <w:b/>
          <w:bCs/>
          <w:i/>
          <w:iCs/>
          <w:color w:val="666666"/>
          <w:sz w:val="18"/>
          <w:szCs w:val="18"/>
          <w:rFonts w:ascii="Arial" w:cs="Arial" w:eastAsia="Arial" w:hAnsi="Arial"/>
        </w:rPr>
        <w:t xml:space="preserve">[RSP1, Delhi]  </w:t>
      </w:r>
      <w:r>
        <w:rPr>
          <w:i/>
          <w:iCs/>
          <w:color w:val="666666"/>
          <w:sz w:val="18"/>
          <w:szCs w:val="18"/>
          <w:rFonts w:ascii="Arial" w:cs="Arial" w:eastAsia="Arial" w:hAnsi="Arial"/>
        </w:rPr>
        <w:t xml:space="preserve">“Mere area mein Wiom 5G bahut hi achha perform kar raha hai. Maine Jio AirFiber 5G bhi use kiya hai, lekin Wiom ki speed zyada fast aur kaafi stable hai”</w:t>
      </w:r>
    </w:p>
    <w:p>
      <w:pPr>
        <w:pBdr>
          <w:left w:val="single" w:color="2E5090" w:sz="6" w:space="8"/>
        </w:pBdr>
        <w:spacing w:after="120" w:line="276"/>
        <w:ind w:left="480"/>
      </w:pPr>
      <w:r>
        <w:rPr>
          <w:b/>
          <w:bCs/>
          <w:i/>
          <w:iCs/>
          <w:color w:val="666666"/>
          <w:sz w:val="18"/>
          <w:szCs w:val="18"/>
          <w:rFonts w:ascii="Arial" w:cs="Arial" w:eastAsia="Arial" w:hAnsi="Arial"/>
        </w:rPr>
        <w:t xml:space="preserve">[RSP3, Delhi]  </w:t>
      </w:r>
      <w:r>
        <w:rPr>
          <w:i/>
          <w:iCs/>
          <w:color w:val="666666"/>
          <w:sz w:val="18"/>
          <w:szCs w:val="18"/>
          <w:rFonts w:ascii="Arial" w:cs="Arial" w:eastAsia="Arial" w:hAnsi="Arial"/>
        </w:rPr>
        <w:t xml:space="preserve">“speed achi h or speed achi hone se picture quality bhi achi aati h”</w:t>
      </w:r>
    </w:p>
    <w:p>
      <w:pPr>
        <w:spacing w:after="80"/>
      </w:pPr>
    </w:p>
    <w:p>
      <w:pPr>
        <w:pStyle w:val="Heading2"/>
        <w:spacing w:before="280" w:after="140"/>
      </w:pPr>
      <w:r>
        <w:rPr>
          <w:b/>
          <w:bCs/>
          <w:color w:val="2E5090"/>
          <w:sz w:val="24"/>
          <w:szCs w:val="24"/>
          <w:rFonts w:ascii="Arial" w:cs="Arial" w:eastAsia="Arial" w:hAnsi="Arial"/>
        </w:rPr>
        <w:t xml:space="preserve">Fast Complaint Resolution — 31 promoters (1.2%)</w:t>
      </w:r>
    </w:p>
    <w:p>
      <w:pPr>
        <w:spacing w:after="160" w:line="276"/>
      </w:pPr>
      <w:r>
        <w:rPr>
          <w:color w:val="333333"/>
          <w:sz w:val="20"/>
          <w:szCs w:val="20"/>
          <w:rFonts w:ascii="Arial" w:cs="Arial" w:eastAsia="Arial" w:hAnsi="Arial"/>
        </w:rPr>
        <w:t xml:space="preserve">A small group in absolute terms, but something interesting shows up here: customers who had a problem and saw it resolved quickly seem to express stronger advocacy than customers who never had an issue at all. If this holds at scale, there may be a counterintuitive path to promoter creation through service recovery rather than just service avoidance.</w:t>
      </w:r>
    </w:p>
    <w:p>
      <w:pPr>
        <w:pBdr>
          <w:left w:val="single" w:color="2E5090" w:sz="6" w:space="8"/>
        </w:pBdr>
        <w:spacing w:after="120" w:line="276"/>
        <w:ind w:left="480"/>
      </w:pPr>
      <w:r>
        <w:rPr>
          <w:b/>
          <w:bCs/>
          <w:i/>
          <w:iCs/>
          <w:color w:val="666666"/>
          <w:sz w:val="18"/>
          <w:szCs w:val="18"/>
          <w:rFonts w:ascii="Arial" w:cs="Arial" w:eastAsia="Arial" w:hAnsi="Arial"/>
        </w:rPr>
        <w:t xml:space="preserve">[RSP2, Delhi]  </w:t>
      </w:r>
      <w:r>
        <w:rPr>
          <w:i/>
          <w:iCs/>
          <w:color w:val="666666"/>
          <w:sz w:val="18"/>
          <w:szCs w:val="18"/>
          <w:rFonts w:ascii="Arial" w:cs="Arial" w:eastAsia="Arial" w:hAnsi="Arial"/>
        </w:rPr>
        <w:t xml:space="preserve">“jo bhi problem Hoti Hai Ham contact karte Hain paanch minute mein solve Ho jaati Hai”</w:t>
      </w:r>
    </w:p>
    <w:p>
      <w:pPr>
        <w:pBdr>
          <w:left w:val="single" w:color="2E5090" w:sz="6" w:space="8"/>
        </w:pBdr>
        <w:spacing w:after="120" w:line="276"/>
        <w:ind w:left="480"/>
      </w:pPr>
      <w:r>
        <w:rPr>
          <w:b/>
          <w:bCs/>
          <w:i/>
          <w:iCs/>
          <w:color w:val="666666"/>
          <w:sz w:val="18"/>
          <w:szCs w:val="18"/>
          <w:rFonts w:ascii="Arial" w:cs="Arial" w:eastAsia="Arial" w:hAnsi="Arial"/>
        </w:rPr>
        <w:t xml:space="preserve">[RSP3, Delhi]  </w:t>
      </w:r>
      <w:r>
        <w:rPr>
          <w:i/>
          <w:iCs/>
          <w:color w:val="666666"/>
          <w:sz w:val="18"/>
          <w:szCs w:val="18"/>
          <w:rFonts w:ascii="Arial" w:cs="Arial" w:eastAsia="Arial" w:hAnsi="Arial"/>
        </w:rPr>
        <w:t xml:space="preserve">“agr kuch bhi problem hoti h to thik bhi jldi ho jata h, vese to jldi problem aati nhi”</w:t>
      </w:r>
    </w:p>
    <w:p>
      <w:pPr>
        <w:spacing w:after="80"/>
      </w:pPr>
    </w:p>
    <w:p>
      <w:pPr>
        <w:pStyle w:val="Heading2"/>
        <w:spacing w:before="280" w:after="140"/>
      </w:pPr>
      <w:r>
        <w:rPr>
          <w:b/>
          <w:bCs/>
          <w:color w:val="2E5090"/>
          <w:sz w:val="24"/>
          <w:szCs w:val="24"/>
          <w:rFonts w:ascii="Arial" w:cs="Arial" w:eastAsia="Arial" w:hAnsi="Arial"/>
        </w:rPr>
        <w:t xml:space="preserve">Good Support / Technician — 24 promoters (1.0%)</w:t>
      </w:r>
    </w:p>
    <w:p>
      <w:pPr>
        <w:spacing w:after="160" w:line="276"/>
      </w:pPr>
      <w:r>
        <w:rPr>
          <w:color w:val="333333"/>
          <w:sz w:val="20"/>
          <w:szCs w:val="20"/>
          <w:rFonts w:ascii="Arial" w:cs="Arial" w:eastAsia="Arial" w:hAnsi="Arial"/>
        </w:rPr>
        <w:t xml:space="preserve">Episodic and too sparse for trends, but the human touchpoints — call-centre agent tone, technician behaviour during installation — do register when they go well. Worth asking whether these moments are being left to chance or whether there’s something systematic producing them.</w:t>
      </w:r>
    </w:p>
    <w:p>
      <w:pPr>
        <w:spacing w:after="160"/>
      </w:pPr>
    </w:p>
    <w:p>
      <w:pPr>
        <w:pStyle w:val="Heading1"/>
        <w:spacing w:before="360" w:after="200"/>
      </w:pPr>
      <w:r>
        <w:rPr>
          <w:b/>
          <w:bCs/>
          <w:color w:val="2E5090"/>
          <w:sz w:val="28"/>
          <w:szCs w:val="28"/>
          <w:rFonts w:ascii="Arial" w:cs="Arial" w:eastAsia="Arial" w:hAnsi="Arial"/>
        </w:rPr>
        <w:t xml:space="preserve">4. Where Promoter Loyalty Has Conditions</w:t>
      </w:r>
    </w:p>
    <w:p>
      <w:pPr>
        <w:spacing w:after="160" w:line="276"/>
      </w:pPr>
      <w:r>
        <w:rPr>
          <w:color w:val="333333"/>
          <w:sz w:val="20"/>
          <w:szCs w:val="20"/>
          <w:rFonts w:ascii="Arial" w:cs="Arial" w:eastAsia="Arial" w:hAnsi="Arial"/>
        </w:rPr>
        <w:t xml:space="preserve">42 promoters (1.7%) rate 9–10 but surface a real problem in their tag or comment. A further 10 lead with praise and bury a complaint as a secondary tag. These are worth reading carefully — they’re telling us what could tip them. Four patterns emerge:</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Reliability tolerance — </w:t>
      </w:r>
      <w:r>
        <w:rPr>
          <w:color w:val="333333"/>
          <w:sz w:val="20"/>
          <w:szCs w:val="20"/>
          <w:rFonts w:ascii="Arial" w:cs="Arial" w:eastAsia="Arial" w:hAnsi="Arial"/>
        </w:rPr>
        <w:t xml:space="preserve">The largest category. These promoters accept intermittent disconnects or slow patches because the price makes it worthwhile. The loyalty is real but conditional: it holds as long as the value equation stays intact. A tariff increase or a credible competitor offering similar value would test this group first.</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28-day billing — </w:t>
      </w:r>
      <w:r>
        <w:rPr>
          <w:color w:val="333333"/>
          <w:sz w:val="20"/>
          <w:szCs w:val="20"/>
          <w:rFonts w:ascii="Arial" w:cs="Arial" w:eastAsia="Arial" w:hAnsi="Arial"/>
        </w:rPr>
        <w:t xml:space="preserve">A specific, articulate ask for calendar-month plans. It comes up enough to notice, though at current levels it reads more as a wish than a friction point. Worth tracking whether this grows.</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Range constraint — </w:t>
      </w:r>
      <w:r>
        <w:rPr>
          <w:color w:val="333333"/>
          <w:sz w:val="20"/>
          <w:szCs w:val="20"/>
          <w:rFonts w:ascii="Arial" w:cs="Arial" w:eastAsia="Arial" w:hAnsi="Arial"/>
        </w:rPr>
        <w:t xml:space="preserve">“Wiom sabhi jagah acha nhi chalta” — satisfaction is capped by geography. Not quite a complaint, more of a caveat. These promoters are telling us they’d rate higher if coverage were better.</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Support roulette — </w:t>
      </w:r>
      <w:r>
        <w:rPr>
          <w:color w:val="333333"/>
          <w:sz w:val="20"/>
          <w:szCs w:val="20"/>
          <w:rFonts w:ascii="Arial" w:cs="Arial" w:eastAsia="Arial" w:hAnsi="Arial"/>
        </w:rPr>
        <w:t xml:space="preserve">One bad technician visit or call-centre interaction sitting inside an otherwise positive relationship. Episodic from what we can see here, not systemic — but each instance is a reminder that a single human interaction can dent an otherwise strong promoter.</w:t>
      </w:r>
    </w:p>
    <w:p>
      <w:pPr>
        <w:spacing w:after="80"/>
      </w:pPr>
    </w:p>
    <w:p>
      <w:pPr>
        <w:spacing w:after="160" w:line="276"/>
      </w:pPr>
      <w:r>
        <w:rPr>
          <w:b/>
          <w:bCs/>
          <w:color w:val="333333"/>
          <w:sz w:val="20"/>
          <w:szCs w:val="20"/>
          <w:rFonts w:ascii="Arial" w:cs="Arial" w:eastAsia="Arial" w:hAnsi="Arial"/>
        </w:rPr>
        <w:t xml:space="preserve">Sprint trend on conditional promoters </w:t>
      </w:r>
      <w:r>
        <w:rPr>
          <w:color w:val="333333"/>
          <w:sz w:val="20"/>
          <w:szCs w:val="20"/>
          <w:rFonts w:ascii="Arial" w:cs="Arial" w:eastAsia="Arial" w:hAnsi="Arial"/>
        </w:rPr>
        <w:t xml:space="preserve">(⚠ all &lt;30): S13: 1.9% → S14: 0.6% → RSP1: 3.4% → RSP2: 1.5% → RSP3: 3.6%. The RSP3 reading returning to RSP1 levels is the directional flag worth watching — is this noise, or are more promoters starting to attach caveats?</w:t>
      </w:r>
    </w:p>
    <w:p>
      <w:pPr>
        <w:spacing w:after="160"/>
      </w:pPr>
    </w:p>
    <w:p>
      <w:pPr>
        <w:pStyle w:val="Heading1"/>
        <w:spacing w:before="360" w:after="200"/>
      </w:pPr>
      <w:r>
        <w:rPr>
          <w:b/>
          <w:bCs/>
          <w:color w:val="2E5090"/>
          <w:sz w:val="28"/>
          <w:szCs w:val="28"/>
          <w:rFonts w:ascii="Arial" w:cs="Arial" w:eastAsia="Arial" w:hAnsi="Arial"/>
        </w:rPr>
        <w:t xml:space="preserve">5. What Service Tickets Tell Us About Promoter Creation</w:t>
      </w:r>
    </w:p>
    <w:p>
      <w:pPr>
        <w:spacing w:after="160" w:line="276"/>
      </w:pPr>
      <w:r>
        <w:rPr>
          <w:b/>
          <w:bCs/>
          <w:i/>
          <w:iCs/>
          <w:color w:val="666666"/>
          <w:sz w:val="20"/>
          <w:szCs w:val="20"/>
          <w:rFonts w:ascii="Arial" w:cs="Arial" w:eastAsia="Arial" w:hAnsi="Arial"/>
        </w:rPr>
        <w:t xml:space="preserve">Tenure ≥3 months. </w:t>
      </w:r>
      <w:r>
        <w:rPr>
          <w:color w:val="333333"/>
          <w:sz w:val="20"/>
          <w:szCs w:val="20"/>
          <w:rFonts w:ascii="Arial" w:cs="Arial" w:eastAsia="Arial" w:hAnsi="Arial"/>
        </w:rPr>
        <w:t xml:space="preserve">Ticket types counted: RDNI (Recharge Done No Internet), ISD (Internet Supply Down), Slow Speed / Range, Frequent Disconnection, Partner Misbehavior. Billing, payment, and administrative tickets excluded. Window: Oct 2025 – Mar 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960"/>
        <w:gridCol w:w="1800"/>
      </w:tblGrid>
      <w:tr>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Service tickets (3-mo)</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Promoter %</w:t>
            </w:r>
          </w:p>
        </w:tc>
        <w:tc>
          <w:tcPr>
            <w:tcW w:type="dxa" w:w="1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Detractor %</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center"/>
            </w:pPr>
            <w:r>
              <w:rPr>
                <w:b/>
                <w:bCs/>
                <w:color w:val="FFFFFF"/>
                <w:sz w:val="18"/>
                <w:szCs w:val="18"/>
                <w:rFonts w:ascii="Arial" w:cs="Arial" w:eastAsia="Arial" w:hAnsi="Arial"/>
              </w:rPr>
              <w:t xml:space="preserve">NPS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1,537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53.2%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38.8%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+14.4</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1</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1,075</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48.9%</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42.6%</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+6.3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783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44.3%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49.2%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-4.9</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543</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40.5%</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52.5%</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-12.0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color w:val="333333"/>
                <w:sz w:val="18"/>
                <w:szCs w:val="18"/>
                <w:rFonts w:ascii="Arial" w:cs="Arial" w:eastAsia="Arial" w:hAnsi="Arial"/>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1,482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36.0%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58.1%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color w:val="333333"/>
                <w:sz w:val="18"/>
                <w:szCs w:val="18"/>
                <w:rFonts w:ascii="Arial" w:cs="Arial" w:eastAsia="Arial" w:hAnsi="Arial"/>
              </w:rPr>
              <w:t xml:space="preserve">-22.1</w:t>
            </w:r>
          </w:p>
        </w:tc>
      </w:tr>
    </w:tbl>
    <w:p>
      <w:pPr>
        <w:spacing w:after="80"/>
      </w:pPr>
    </w:p>
    <w:p>
      <w:pPr>
        <w:spacing w:after="160" w:line="276"/>
      </w:pPr>
      <w:r>
        <w:rPr>
          <w:color w:val="333333"/>
          <w:sz w:val="20"/>
          <w:szCs w:val="20"/>
          <w:rFonts w:ascii="Arial" w:cs="Arial" w:eastAsia="Arial" w:hAnsi="Arial"/>
        </w:rPr>
        <w:t xml:space="preserve">The gradient here is steep and consistent. Customers with zero service issues in three months sit at NPS +14.4 — a strong promoter-majority base. Each additional ticket erodes roughly 9 NPS points. By the time a customer has logged 4+ tickets, promoter share has dropped to 36% and detractors dominate at 58%.</w:t>
      </w:r>
    </w:p>
    <w:p>
      <w:pPr>
        <w:spacing w:after="160" w:line="276"/>
      </w:pPr>
      <w:r>
        <w:rPr>
          <w:color w:val="333333"/>
          <w:sz w:val="20"/>
          <w:szCs w:val="20"/>
          <w:rFonts w:ascii="Arial" w:cs="Arial" w:eastAsia="Arial" w:hAnsi="Arial"/>
        </w:rPr>
        <w:t xml:space="preserve">This raises a question worth exploring: if the clearest path to a promoter is an uninterrupted 3-month experience, how many customers are actually getting that? The 1,482 customers in the 4+ bracket are raising service issues faster than they’re being resolved — understanding what’s driving repeat tickets for this group could be as important as any acquisition or loyalty programme.</w:t>
      </w:r>
    </w:p>
    <w:p>
      <w:pPr>
        <w:spacing w:after="100"/>
      </w:pPr>
    </w:p>
    <w:p>
      <w:pPr>
        <w:pStyle w:val="Heading1"/>
        <w:spacing w:before="360" w:after="200"/>
      </w:pPr>
      <w:r>
        <w:rPr>
          <w:b/>
          <w:bCs/>
          <w:color w:val="2E5090"/>
          <w:sz w:val="28"/>
          <w:szCs w:val="28"/>
          <w:rFonts w:ascii="Arial" w:cs="Arial" w:eastAsia="Arial" w:hAnsi="Arial"/>
        </w:rPr>
        <w:t xml:space="preserve">6. Next Steps</w:t>
      </w:r>
    </w:p>
    <w:p>
      <w:pPr>
        <w:spacing w:after="160" w:line="276"/>
      </w:pPr>
      <w:r>
        <w:rPr>
          <w:color w:val="333333"/>
          <w:sz w:val="20"/>
          <w:szCs w:val="20"/>
          <w:rFonts w:ascii="Arial" w:cs="Arial" w:eastAsia="Arial" w:hAnsi="Arial"/>
        </w:rPr>
        <w:t xml:space="preserve">This analysis opens several threads worth pulling on. The following are areas where additional data could sharpen the picture:</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Missed call rates — </w:t>
      </w:r>
      <w:r>
        <w:rPr>
          <w:color w:val="333333"/>
          <w:sz w:val="20"/>
          <w:szCs w:val="20"/>
          <w:rFonts w:ascii="Arial" w:cs="Arial" w:eastAsia="Arial" w:hAnsi="Arial"/>
        </w:rPr>
        <w:t xml:space="preserve">How many promoters are trying to reach support and not getting through? If the service recovery path (Section 3) is as powerful as it appears, missed calls could be silently converting would-be promoters into passives or detractors. Overlaying missed call data by sprint could help explain part of the S14 → RSP3 decline.</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S14 deep dive — </w:t>
      </w:r>
      <w:r>
        <w:rPr>
          <w:color w:val="333333"/>
          <w:sz w:val="20"/>
          <w:szCs w:val="20"/>
          <w:rFonts w:ascii="Arial" w:cs="Arial" w:eastAsia="Arial" w:hAnsi="Arial"/>
        </w:rPr>
        <w:t xml:space="preserve">S14 remains the only sprint with a promoter majority. Was there a network improvement, a seasonal effect, a cohort difference, or a campaign running? Identifying the driver would tell us whether it’s replicable.</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Repeat ticket root causes — </w:t>
      </w:r>
      <w:r>
        <w:rPr>
          <w:color w:val="333333"/>
          <w:sz w:val="20"/>
          <w:szCs w:val="20"/>
          <w:rFonts w:ascii="Arial" w:cs="Arial" w:eastAsia="Arial" w:hAnsi="Arial"/>
        </w:rPr>
        <w:t xml:space="preserve">The 1,482 customers with 4+ service tickets (NPS -22) are the clearest at-risk group. Breaking down the ticket sequence for this cohort — what’s the first ticket type, what recurs, and how long between tickets — could reveal whether this is a systemic infrastructure issue or a resolution-quality issue.</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Promoter tagging improvement — </w:t>
      </w:r>
      <w:r>
        <w:rPr>
          <w:color w:val="333333"/>
          <w:sz w:val="20"/>
          <w:szCs w:val="20"/>
          <w:rFonts w:ascii="Arial" w:cs="Arial" w:eastAsia="Arial" w:hAnsi="Arial"/>
        </w:rPr>
        <w:t xml:space="preserve">With 67% of promoters tagged generically, we’re working with a partial view. Even a simple secondary prompt (“What specifically do you like most?”) for 9–10 raters could double the usable signal without changing the survey structure.</w:t>
      </w:r>
    </w:p>
    <w:p>
      <w:pPr>
        <w:spacing w:after="100" w:line="276"/>
        <w:ind w:left="360"/>
      </w:pPr>
      <w:r>
        <w:rPr>
          <w:b/>
          <w:bCs/>
          <w:color w:val="2E5090"/>
          <w:sz w:val="20"/>
          <w:szCs w:val="20"/>
          <w:rFonts w:ascii="Arial" w:cs="Arial" w:eastAsia="Arial" w:hAnsi="Arial"/>
        </w:rPr>
        <w:t xml:space="preserve">•  </w:t>
      </w:r>
      <w:r>
        <w:rPr>
          <w:b/>
          <w:bCs/>
          <w:color w:val="333333"/>
          <w:sz w:val="20"/>
          <w:szCs w:val="20"/>
          <w:rFonts w:ascii="Arial" w:cs="Arial" w:eastAsia="Arial" w:hAnsi="Arial"/>
        </w:rPr>
        <w:t xml:space="preserve">Affordability → referral tracking — </w:t>
      </w:r>
      <w:r>
        <w:rPr>
          <w:color w:val="333333"/>
          <w:sz w:val="20"/>
          <w:szCs w:val="20"/>
          <w:rFonts w:ascii="Arial" w:cs="Arial" w:eastAsia="Arial" w:hAnsi="Arial"/>
        </w:rPr>
        <w:t xml:space="preserve">The 16 unprompted referral mentions clustered in the affordability theme are directional, but if referral codes or source tracking exists, cross-referencing actual referral conversions against NPS scores could validate whether promoters are genuinely driving acquisition.</w:t>
      </w:r>
    </w:p>
    <w:p>
      <w:pPr>
        <w:spacing w:after="200"/>
      </w:pPr>
    </w:p>
    <w:p>
      <w:pPr>
        <w:pBdr>
          <w:top w:val="single" w:color="CCCCCC" w:sz="2" w:space="8"/>
        </w:pBdr>
        <w:spacing w:before="100"/>
      </w:pPr>
      <w:r>
        <w:rPr>
          <w:i/>
          <w:iCs/>
          <w:color w:val="666666"/>
          <w:sz w:val="16"/>
          <w:szCs w:val="16"/>
          <w:rFonts w:ascii="Arial" w:cs="Arial" w:eastAsia="Arial" w:hAnsi="Arial"/>
        </w:rPr>
        <w:t xml:space="preserve">Source: NPS Verma Parivar.xlsx (Sprint 11 Dec’25 – RSP3 Mar’26) + Metabase service_ticket_model. Sprint-level promoter theme counts are all &lt;30 and should be treated as directional only. Ticket window: Oct 2025 – Mar 2026 scoped to service ticket types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2" w:space="4"/>
      </w:pBdr>
      <w:jc w:val="right"/>
    </w:pPr>
    <w:r>
      <w:rPr>
        <w:color w:val="666666"/>
        <w:sz w:val="16"/>
        <w:szCs w:val="16"/>
        <w:rFonts w:ascii="Arial" w:cs="Arial" w:eastAsia="Arial" w:hAnsi="Arial"/>
      </w:rPr>
      <w:t xml:space="preserve">Page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4"/>
      </w:pBdr>
    </w:pPr>
    <w:r>
      <w:rPr>
        <w:color w:val="666666"/>
        <w:sz w:val="16"/>
        <w:szCs w:val="16"/>
        <w:rFonts w:ascii="Arial" w:cs="Arial" w:eastAsia="Arial" w:hAnsi="Arial"/>
      </w:rPr>
      <w:t xml:space="preserve">NPS Promoter Analysis  |  Sprint 11 → RSP3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2E5090"/>
      <w:sz w:val="28"/>
      <w:szCs w:val="28"/>
      <w:rFonts w:ascii="Arial" w:cs="Arial" w:eastAsia="Arial" w:hAnsi="Arial"/>
    </w:rPr>
  </w:style>
  <w:style w:type="paragraph" w:styleId="Heading2">
    <w:name w:val="Heading 2"/>
    <w:basedOn w:val="Normal"/>
    <w:next w:val="Normal"/>
    <w:qFormat/>
    <w:pPr>
      <w:spacing w:before="280" w:after="140"/>
      <w:outlineLvl w:val="1"/>
    </w:pPr>
    <w:rPr>
      <w:b/>
      <w:bCs/>
      <w:color w:val="2E5090"/>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2026-03-23T13:44:34.086Z</dcterms:created>
  <dcterms:modified xsi:type="dcterms:W3CDTF">2026-03-23T13:44:34.087Z</dcterms:modified>
</cp:coreProperties>
</file>

<file path=docProps/custom.xml><?xml version="1.0" encoding="utf-8"?>
<Properties xmlns="http://schemas.openxmlformats.org/officeDocument/2006/custom-properties" xmlns:vt="http://schemas.openxmlformats.org/officeDocument/2006/docPropsVTypes"/>
</file>