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D37FF5" w14:textId="77777777" w:rsidR="0034117F" w:rsidRDefault="00000000">
      <w:pPr>
        <w:spacing w:after="60" w:line="252" w:lineRule="auto"/>
        <w:jc w:val="center"/>
      </w:pPr>
      <w:r>
        <w:rPr>
          <w:b/>
          <w:bCs/>
          <w:sz w:val="28"/>
          <w:szCs w:val="28"/>
        </w:rPr>
        <w:t>Lab 3 - Architectural Justification</w:t>
      </w:r>
    </w:p>
    <w:p w14:paraId="0CE0A78F" w14:textId="29B4A554" w:rsidR="0034117F" w:rsidRDefault="00000000">
      <w:pPr>
        <w:spacing w:after="40" w:line="252" w:lineRule="auto"/>
        <w:jc w:val="center"/>
      </w:pPr>
      <w:r>
        <w:t>Airport Lost Luggage Claim &amp; Tracking Portal</w:t>
      </w:r>
    </w:p>
    <w:p w14:paraId="2188CC5A" w14:textId="77777777" w:rsidR="0034117F" w:rsidRDefault="00000000">
      <w:pPr>
        <w:spacing w:after="260" w:line="252" w:lineRule="auto"/>
        <w:jc w:val="center"/>
      </w:pPr>
      <w:r>
        <w:rPr>
          <w:sz w:val="20"/>
          <w:szCs w:val="20"/>
        </w:rPr>
        <w:t>Divisha Gupta   |   SRN: PES1UG24CS158   |   Section: 5C</w:t>
      </w:r>
    </w:p>
    <w:p w14:paraId="18146367" w14:textId="6EFECC0B" w:rsidR="0034117F" w:rsidRDefault="00000000">
      <w:pPr>
        <w:spacing w:after="150" w:line="252" w:lineRule="auto"/>
        <w:jc w:val="both"/>
      </w:pPr>
      <w:r>
        <w:rPr>
          <w:b/>
          <w:bCs/>
        </w:rPr>
        <w:t xml:space="preserve">Architecture Selected: </w:t>
      </w:r>
      <w:r w:rsidR="00680053" w:rsidRPr="00680053">
        <w:t>We chose</w:t>
      </w:r>
      <w:r w:rsidR="00680053">
        <w:rPr>
          <w:b/>
          <w:bCs/>
        </w:rPr>
        <w:t xml:space="preserve"> </w:t>
      </w:r>
      <w:r>
        <w:t>Microservices Architecture, for the Airport Lost Luggage Claim &amp; Tracking Portal System.</w:t>
      </w:r>
    </w:p>
    <w:p w14:paraId="61361D90" w14:textId="77777777" w:rsidR="0034117F" w:rsidRDefault="00000000">
      <w:pPr>
        <w:spacing w:after="60" w:line="252" w:lineRule="auto"/>
        <w:jc w:val="both"/>
      </w:pPr>
      <w:r>
        <w:rPr>
          <w:b/>
          <w:bCs/>
        </w:rPr>
        <w:t>1. Architectural Styles Considered</w:t>
      </w:r>
    </w:p>
    <w:p w14:paraId="74191186" w14:textId="77777777" w:rsidR="0034117F" w:rsidRDefault="00000000">
      <w:pPr>
        <w:spacing w:after="90" w:line="252" w:lineRule="auto"/>
        <w:jc w:val="both"/>
      </w:pPr>
      <w:r>
        <w:rPr>
          <w:b/>
          <w:bCs/>
        </w:rPr>
        <w:t xml:space="preserve">Layered. </w:t>
      </w:r>
      <w:r>
        <w:t>Separating presentation, business and data logic gives a clear structure and is straightforward to build, but every request descends the same stack. The high-volume timeline lookup could not then be scaled apart from claim registration and compensation, since all three share one deployable and one datastore.</w:t>
      </w:r>
    </w:p>
    <w:p w14:paraId="00C23752" w14:textId="77777777" w:rsidR="0034117F" w:rsidRDefault="00000000">
      <w:pPr>
        <w:spacing w:after="90" w:line="252" w:lineRule="auto"/>
        <w:jc w:val="both"/>
      </w:pPr>
      <w:r>
        <w:rPr>
          <w:b/>
          <w:bCs/>
        </w:rPr>
        <w:t xml:space="preserve">Client-Server. </w:t>
      </w:r>
      <w:r>
        <w:t xml:space="preserve">A single </w:t>
      </w:r>
      <w:proofErr w:type="spellStart"/>
      <w:r>
        <w:t>centralised</w:t>
      </w:r>
      <w:proofErr w:type="spellEnd"/>
      <w:r>
        <w:t xml:space="preserve"> server keeps deployment simple and data consistent, but it is a single point of failure and a scalability bottleneck. A platform that must keep accepting bag-tag scans from every connected terminal cannot rest on one server that </w:t>
      </w:r>
      <w:proofErr w:type="gramStart"/>
      <w:r>
        <w:t>fails as a whole</w:t>
      </w:r>
      <w:proofErr w:type="gramEnd"/>
      <w:r>
        <w:t>.</w:t>
      </w:r>
    </w:p>
    <w:p w14:paraId="35D0FF02" w14:textId="77777777" w:rsidR="0034117F" w:rsidRDefault="00000000">
      <w:pPr>
        <w:spacing w:after="150" w:line="252" w:lineRule="auto"/>
        <w:jc w:val="both"/>
      </w:pPr>
      <w:r>
        <w:rPr>
          <w:b/>
          <w:bCs/>
        </w:rPr>
        <w:t xml:space="preserve">Microservices (selected). </w:t>
      </w:r>
      <w:r>
        <w:t>Independently deployable services cost more to operate and introduce network latency between them, but they deliver independent scaling and fault isolation - the two properties this system most depends on, for the reasons set out below.</w:t>
      </w:r>
    </w:p>
    <w:p w14:paraId="2DD3CEBD" w14:textId="77777777" w:rsidR="0034117F" w:rsidRDefault="00000000">
      <w:pPr>
        <w:spacing w:after="60" w:line="252" w:lineRule="auto"/>
        <w:jc w:val="both"/>
      </w:pPr>
      <w:r>
        <w:rPr>
          <w:b/>
          <w:bCs/>
        </w:rPr>
        <w:t>2. Architectural Choice</w:t>
      </w:r>
    </w:p>
    <w:p w14:paraId="31AEF3E4" w14:textId="77777777" w:rsidR="0034117F" w:rsidRDefault="00000000">
      <w:pPr>
        <w:spacing w:after="150" w:line="252" w:lineRule="auto"/>
        <w:jc w:val="both"/>
      </w:pPr>
      <w:r>
        <w:t>The system is decomposed into independently deployable services: Order Manager (claim order orchestration), Baggage Tracking, Payment Service (compensation payouts), Notification, and Identity &amp; Access. Each service owns its data privately - Claim Order Store, Scan Timeline Store and Payout Ledger Store - and is reached only through its published interface. All external traffic enters through a single API Gateway.</w:t>
      </w:r>
    </w:p>
    <w:p w14:paraId="1FCF3365" w14:textId="77777777" w:rsidR="0034117F" w:rsidRDefault="00000000">
      <w:pPr>
        <w:spacing w:after="60" w:line="252" w:lineRule="auto"/>
        <w:jc w:val="both"/>
      </w:pPr>
      <w:r>
        <w:rPr>
          <w:b/>
          <w:bCs/>
        </w:rPr>
        <w:t>3. Reasons for the Choice</w:t>
      </w:r>
    </w:p>
    <w:p w14:paraId="6AF35AB1" w14:textId="77777777" w:rsidR="0034117F" w:rsidRDefault="00000000">
      <w:pPr>
        <w:spacing w:after="90" w:line="252" w:lineRule="auto"/>
        <w:jc w:val="both"/>
      </w:pPr>
      <w:r>
        <w:rPr>
          <w:b/>
          <w:bCs/>
        </w:rPr>
        <w:t xml:space="preserve">Reason 1 - Tracking and claim handling carry very different loads. </w:t>
      </w:r>
      <w:r>
        <w:t xml:space="preserve">Passengers check bag-tag scan timelines far more often than they file claims, and the timeline API must return a complete multi-leg scan history within the latency target set in NFR-001, while claim registration is comparatively infrequent. Because </w:t>
      </w:r>
      <w:proofErr w:type="spellStart"/>
      <w:r>
        <w:t>ITimelineQuery</w:t>
      </w:r>
      <w:proofErr w:type="spellEnd"/>
      <w:r>
        <w:t xml:space="preserve"> is served by the Baggage Tracking component directly from the gateway, that service can be replicated on its own without scaling claim handling or payment processing alongside it.</w:t>
      </w:r>
    </w:p>
    <w:p w14:paraId="14EB3090" w14:textId="77777777" w:rsidR="0034117F" w:rsidRDefault="00000000">
      <w:pPr>
        <w:spacing w:after="150" w:line="252" w:lineRule="auto"/>
        <w:jc w:val="both"/>
      </w:pPr>
      <w:r>
        <w:rPr>
          <w:b/>
          <w:bCs/>
        </w:rPr>
        <w:t xml:space="preserve">Reason 2 - The compensation workflow depends on an external party. </w:t>
      </w:r>
      <w:r>
        <w:t>Automated passenger compensation requires an external payment provider that the platform does not control. Isolating it as the Payment Service means a provider outage halts payouts only: scan-timeline tracing and the cross-referencing of claims against unrouted luggage logs (FR-001) continue to operate. In a single deployable, that same failure would disable the entire portal precisely when baggage disruption, and therefore demand, is at its highest.</w:t>
      </w:r>
    </w:p>
    <w:p w14:paraId="1DB2CC52" w14:textId="77777777" w:rsidR="0034117F" w:rsidRDefault="00000000">
      <w:pPr>
        <w:spacing w:after="60" w:line="252" w:lineRule="auto"/>
        <w:jc w:val="both"/>
      </w:pPr>
      <w:r>
        <w:rPr>
          <w:b/>
          <w:bCs/>
        </w:rPr>
        <w:t>4. Security Advantage</w:t>
      </w:r>
    </w:p>
    <w:p w14:paraId="6F552E9E" w14:textId="77777777" w:rsidR="0034117F" w:rsidRDefault="00000000">
      <w:pPr>
        <w:spacing w:after="150" w:line="252" w:lineRule="auto"/>
        <w:jc w:val="both"/>
      </w:pPr>
      <w:r>
        <w:t>No service is exposed directly to external traffic. Every request terminates at the API Gateway, which validates credentials against the Identity &amp; Access component (</w:t>
      </w:r>
      <w:proofErr w:type="spellStart"/>
      <w:r>
        <w:t>IAuthToken</w:t>
      </w:r>
      <w:proofErr w:type="spellEnd"/>
      <w:r>
        <w:t>, OAuth2/JWT)</w:t>
      </w:r>
      <w:proofErr w:type="spellStart"/>
      <w:r>
        <w:t xml:space="preserve"> before an</w:t>
      </w:r>
      <w:proofErr w:type="spellEnd"/>
      <w:r>
        <w:t>y service can be reached, and passengers and baggage service agents arrive over separate interfaces (</w:t>
      </w:r>
      <w:proofErr w:type="spellStart"/>
      <w:r>
        <w:t>IClaimPortalAPI</w:t>
      </w:r>
      <w:proofErr w:type="spellEnd"/>
      <w:r>
        <w:t xml:space="preserve"> and </w:t>
      </w:r>
      <w:proofErr w:type="spellStart"/>
      <w:r>
        <w:t>IAgentOpsAPI</w:t>
      </w:r>
      <w:proofErr w:type="spellEnd"/>
      <w:r>
        <w:t xml:space="preserve"> over </w:t>
      </w:r>
      <w:proofErr w:type="spellStart"/>
      <w:r>
        <w:t>mTLS</w:t>
      </w:r>
      <w:proofErr w:type="spellEnd"/>
      <w:r>
        <w:t>) so that agent-level privileges cannot be exercised from the passenger-facing channel. Because each service owns its store privately, a service that is compromised cannot read another service's data directly; it is limited to what that service's interface exposes, which contains the blast radius of any single breach.</w:t>
      </w:r>
    </w:p>
    <w:p w14:paraId="31EA5285" w14:textId="77777777" w:rsidR="0034117F" w:rsidRDefault="00000000">
      <w:pPr>
        <w:spacing w:after="60" w:line="252" w:lineRule="auto"/>
        <w:jc w:val="both"/>
      </w:pPr>
      <w:r>
        <w:rPr>
          <w:b/>
          <w:bCs/>
        </w:rPr>
        <w:t>5. Performance Benefit</w:t>
      </w:r>
    </w:p>
    <w:p w14:paraId="056C7A2F" w14:textId="77777777" w:rsidR="0034117F" w:rsidRDefault="00000000">
      <w:pPr>
        <w:spacing w:line="252" w:lineRule="auto"/>
        <w:jc w:val="both"/>
      </w:pPr>
      <w:r>
        <w:t>The read path is independent of the write path. Timeline queries are answered by Baggage Tracking from the Scan Timeline Store, which is tuned for time-series scan events, without passing through Order Manager or touching claim data. The latency target therefore holds regardless of how many claims or payouts are being processed at the time, and Baggage Tracking can be scaled horizontally during disruption events without provisioning additional capacity for services that are not under load.</w:t>
      </w:r>
    </w:p>
    <w:sectPr w:rsidR="0034117F">
      <w:pgSz w:w="12240" w:h="15840"/>
      <w:pgMar w:top="1020" w:right="1170" w:bottom="1020" w:left="117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96380D"/>
    <w:multiLevelType w:val="hybridMultilevel"/>
    <w:tmpl w:val="FB9A07B0"/>
    <w:lvl w:ilvl="0" w:tplc="4BC2C548">
      <w:start w:val="1"/>
      <w:numFmt w:val="bullet"/>
      <w:lvlText w:val="●"/>
      <w:lvlJc w:val="left"/>
      <w:pPr>
        <w:ind w:left="720" w:hanging="360"/>
      </w:pPr>
    </w:lvl>
    <w:lvl w:ilvl="1" w:tplc="DC9E264E">
      <w:start w:val="1"/>
      <w:numFmt w:val="bullet"/>
      <w:lvlText w:val="○"/>
      <w:lvlJc w:val="left"/>
      <w:pPr>
        <w:ind w:left="1440" w:hanging="360"/>
      </w:pPr>
    </w:lvl>
    <w:lvl w:ilvl="2" w:tplc="FE06C5E4">
      <w:start w:val="1"/>
      <w:numFmt w:val="bullet"/>
      <w:lvlText w:val="■"/>
      <w:lvlJc w:val="left"/>
      <w:pPr>
        <w:ind w:left="2160" w:hanging="360"/>
      </w:pPr>
    </w:lvl>
    <w:lvl w:ilvl="3" w:tplc="4FB07DDA">
      <w:start w:val="1"/>
      <w:numFmt w:val="bullet"/>
      <w:lvlText w:val="●"/>
      <w:lvlJc w:val="left"/>
      <w:pPr>
        <w:ind w:left="2880" w:hanging="360"/>
      </w:pPr>
    </w:lvl>
    <w:lvl w:ilvl="4" w:tplc="7108E07E">
      <w:start w:val="1"/>
      <w:numFmt w:val="bullet"/>
      <w:lvlText w:val="○"/>
      <w:lvlJc w:val="left"/>
      <w:pPr>
        <w:ind w:left="3600" w:hanging="360"/>
      </w:pPr>
    </w:lvl>
    <w:lvl w:ilvl="5" w:tplc="D66ED360">
      <w:start w:val="1"/>
      <w:numFmt w:val="bullet"/>
      <w:lvlText w:val="■"/>
      <w:lvlJc w:val="left"/>
      <w:pPr>
        <w:ind w:left="4320" w:hanging="360"/>
      </w:pPr>
    </w:lvl>
    <w:lvl w:ilvl="6" w:tplc="859C3036">
      <w:start w:val="1"/>
      <w:numFmt w:val="bullet"/>
      <w:lvlText w:val="●"/>
      <w:lvlJc w:val="left"/>
      <w:pPr>
        <w:ind w:left="5040" w:hanging="360"/>
      </w:pPr>
    </w:lvl>
    <w:lvl w:ilvl="7" w:tplc="DF3EE7BE">
      <w:start w:val="1"/>
      <w:numFmt w:val="bullet"/>
      <w:lvlText w:val="●"/>
      <w:lvlJc w:val="left"/>
      <w:pPr>
        <w:ind w:left="5760" w:hanging="360"/>
      </w:pPr>
    </w:lvl>
    <w:lvl w:ilvl="8" w:tplc="EFA2D128">
      <w:start w:val="1"/>
      <w:numFmt w:val="bullet"/>
      <w:lvlText w:val="●"/>
      <w:lvlJc w:val="left"/>
      <w:pPr>
        <w:ind w:left="6480" w:hanging="360"/>
      </w:pPr>
    </w:lvl>
  </w:abstractNum>
  <w:num w:numId="1" w16cid:durableId="28103263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17F"/>
    <w:rsid w:val="000A5269"/>
    <w:rsid w:val="0034117F"/>
    <w:rsid w:val="00680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087C98"/>
  <w15:docId w15:val="{6E7ED4ED-DE46-D842-B758-AA2B54BF6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576</Words>
  <Characters>3286</Characters>
  <Application>Microsoft Office Word</Application>
  <DocSecurity>0</DocSecurity>
  <Lines>27</Lines>
  <Paragraphs>7</Paragraphs>
  <ScaleCrop>false</ScaleCrop>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Divisha Gupta</cp:lastModifiedBy>
  <cp:revision>2</cp:revision>
  <dcterms:created xsi:type="dcterms:W3CDTF">2026-09-12T18:00:00Z</dcterms:created>
  <dcterms:modified xsi:type="dcterms:W3CDTF">2026-09-13T03:28:00Z</dcterms:modified>
</cp:coreProperties>
</file>