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  <w:tab/>
        <w:tab/>
        <w:tab/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REPORT_PART1: LAB2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Pair Programming Group 19 - Divya Neelamegam, Harika Boyina</w:t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advancement of deep learning in image processing has paved the way for innovative approaches to enhance image resolution. Super-resolution techniques, particularly those employing Generative Adversarial Networks (GANs), have shown promising results in improving the quality and details of up-scaled images. This report details the deployment of SRGAN, highlighting its architecture, training process, and the results obtained from testing on low-resolution images.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Model Architecture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SRGAN model comprises two primary components: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Generator:</w:t>
      </w:r>
      <w:r w:rsidDel="00000000" w:rsidR="00000000" w:rsidRPr="00000000">
        <w:rPr>
          <w:rtl w:val="0"/>
        </w:rPr>
        <w:t xml:space="preserve"> Responsible for producing high-resolution images from low-resolution inputs. The generator architecture is built upon a ResNet model that includes multiple residual blocks with convolutional layers, batch normalization, and ParametricReLU activation to enhance feature extraction without adding computational complexity.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Discriminator</w:t>
      </w:r>
      <w:r w:rsidDel="00000000" w:rsidR="00000000" w:rsidRPr="00000000">
        <w:rPr>
          <w:rtl w:val="0"/>
        </w:rPr>
        <w:t xml:space="preserve">: Acts as a critic that distinguishes between high-resolution images generated by the Generator and the authentic high-resolution images. It consists of a deep convolutional network which progressively downsamples its input.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Feature Extraction: </w:t>
      </w:r>
      <w:r w:rsidDel="00000000" w:rsidR="00000000" w:rsidRPr="00000000">
        <w:rPr>
          <w:rtl w:val="0"/>
        </w:rPr>
        <w:t xml:space="preserve">A pre-trained VGG19 model, truncated at the 18th layer, serves as a feature extractor to calculate content loss. This method ensures that the generator not only fools the discriminator but also aligns its output closely with the feature-rich aspects of the target high-resolution images.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Training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Data Preparation: </w:t>
      </w:r>
      <w:r w:rsidDel="00000000" w:rsidR="00000000" w:rsidRPr="00000000">
        <w:rPr>
          <w:rtl w:val="0"/>
        </w:rPr>
        <w:t xml:space="preserve">Images are sourced and stored in high-resolution and low-resolution directories. During preprocessing, images undergo transformations such as normalization and conversion to tensors to prepare them for processing by the neural network.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Sample input image pair (LR and HR)  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212761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127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Loss Functions: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Adversarial Loss: Employs Mean Squared Error (MSE) to measure the ability of the generator to fool the discriminator.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Content Loss: Utilizes L1 loss between features extracted from the generated images and the features of real images, emphasizing similarity in content beyond mere pixel values.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Optimization</w:t>
      </w:r>
      <w:r w:rsidDel="00000000" w:rsidR="00000000" w:rsidRPr="00000000">
        <w:rPr>
          <w:rtl w:val="0"/>
        </w:rPr>
        <w:t xml:space="preserve">: Separate Adam optimizers with learning rates of 0.0002 and momentum parameters betas=(0.5, 0.999) are used for the generator and discriminator to stabilize training and promote convergence.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  <w:t xml:space="preserve">After training the model with 250 epochs, the model performs well in generating SR images. The saved model is attached in this submission as </w:t>
      </w:r>
      <w:r w:rsidDel="00000000" w:rsidR="00000000" w:rsidRPr="00000000">
        <w:rPr>
          <w:b w:val="1"/>
          <w:rtl w:val="0"/>
        </w:rPr>
        <w:t xml:space="preserve">“srgan_checkpoint.pth”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Evaluation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The effectiveness of SRGAN is assessed through comparisons between the generated high-resolution images and their corresponding ground truths. Images are displayed using matplotlib to illustrate improvements in resolution and detail.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Test image generated: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Challenges and Improvements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GANs, especially on high-resolution images, is computationally intensive. Optimizations such as model quantization were necessary to manage resource usage effectively.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model is not defined properly, only blur images were generated with decreasing Discriminator  loss and increasing generator loss.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model could perform even better if trained for more epochs for perfect output.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implementation of SRGAN has demonstrated significant potential in enhancing low-resolution images to high-resolution. The model successfully learns to reconstruct high-quality images that are both visually appealing and close in detail to the original high-resolution images. Further research into more efficient training methods and advanced GAN architectures could lead to even better performance and broader application possibilities.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