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color w:val="C0392B"/>
          <w:sz w:val="96"/>
          <w:szCs w:val="96"/>
        </w:rPr>
        <w:t xml:space="preserve">🛡</w:t>
      </w:r>
    </w:p>
    <w:p>
      <w:pPr>
        <w:spacing w:after="60" w:before="200"/>
        <w:jc w:val="center"/>
      </w:pPr>
      <w:r>
        <w:rPr>
          <w:b/>
          <w:bCs/>
          <w:color w:val="1B2A4A"/>
          <w:sz w:val="64"/>
          <w:szCs w:val="64"/>
        </w:rPr>
        <w:t xml:space="preserve">RAKSHANET</w:t>
      </w:r>
    </w:p>
    <w:p>
      <w:pPr>
        <w:spacing w:after="400"/>
        <w:jc w:val="center"/>
      </w:pPr>
      <w:r>
        <w:rPr>
          <w:color w:val="5D6D7E"/>
          <w:sz w:val="24"/>
          <w:szCs w:val="24"/>
        </w:rPr>
        <w:t xml:space="preserve">AI-Driven Multi-Hazard Risk Zonation, Carrying Capacity &amp;</w:t>
      </w:r>
    </w:p>
    <w:p>
      <w:pPr>
        <w:spacing w:after="500"/>
        <w:jc w:val="center"/>
      </w:pPr>
      <w:r>
        <w:rPr>
          <w:i/>
          <w:iCs/>
          <w:color w:val="5D6D7E"/>
          <w:sz w:val="24"/>
          <w:szCs w:val="24"/>
        </w:rPr>
        <w:t xml:space="preserve">Strategic Relocation Platform</w:t>
      </w:r>
    </w:p>
    <w:tbl>
      <w:tblPr>
        <w:tblW w:type="dxa" w:w="6000"/>
        <w:jc w:val="center"/>
        <w:tblBorders>
          <w:top w:val="single" w:color="D5D8DC" w:sz="4"/>
          <w:left w:val="single" w:color="D5D8DC" w:sz="4"/>
          <w:bottom w:val="single" w:color="D5D8DC" w:sz="4"/>
          <w:right w:val="single" w:color="D5D8DC" w:sz="4"/>
          <w:insideH w:val="single" w:color="D5D8DC" w:sz="4"/>
          <w:insideV w:val="none" w:color="FFFFFF" w:sz="0"/>
        </w:tblBorders>
      </w:tblPr>
      <w:tblGrid>
        <w:gridCol w:w="6000"/>
      </w:tblGrid>
      <w:tr>
        <w:tc>
          <w:tcPr>
            <w:tcW w:type="dxa" w:w="6000"/>
            <w:shd w:fill="F4F6F7" w:val="clear"/>
            <w:tcMar>
              <w:top w:type="dxa" w:w="140"/>
              <w:left w:type="dxa" w:w="200"/>
              <w:bottom w:type="dxa" w:w="140"/>
              <w:right w:type="dxa" w:w="200"/>
            </w:tcMar>
          </w:tcPr>
          <w:p>
            <w:pPr>
              <w:spacing w:after="60"/>
              <w:jc w:val="center"/>
            </w:pPr>
            <w:r>
              <w:rPr>
                <w:b/>
                <w:bCs/>
                <w:color w:val="1B2A4A"/>
                <w:sz w:val="22"/>
                <w:szCs w:val="22"/>
              </w:rPr>
              <w:t xml:space="preserve">Team Jeevan Setu</w:t>
            </w:r>
          </w:p>
          <w:p>
            <w:pPr>
              <w:spacing w:after="60"/>
              <w:jc w:val="center"/>
            </w:pPr>
            <w:r>
              <w:rPr>
                <w:color w:val="5D6D7E"/>
                <w:sz w:val="20"/>
                <w:szCs w:val="20"/>
              </w:rPr>
              <w:t xml:space="preserve">Smart India Hackathon 2026</w:t>
            </w:r>
          </w:p>
          <w:p>
            <w:pPr>
              <w:spacing w:after="60"/>
              <w:jc w:val="center"/>
            </w:pPr>
            <w:r>
              <w:rPr>
                <w:color w:val="5D6D7E"/>
                <w:sz w:val="20"/>
                <w:szCs w:val="20"/>
              </w:rPr>
              <w:t xml:space="preserve">Problem Statement 26191 — Ministry of Home Affairs / NDRF</w:t>
            </w:r>
          </w:p>
          <w:p>
            <w:pPr>
              <w:jc w:val="center"/>
            </w:pPr>
            <w:r>
              <w:rPr>
                <w:i/>
                <w:iCs/>
                <w:color w:val="5D6D7E"/>
                <w:sz w:val="20"/>
                <w:szCs w:val="20"/>
              </w:rPr>
              <w:t xml:space="preserve">Judge Briefing Pack — Pitch Script · FAQ · Technical Reference</w:t>
            </w:r>
          </w:p>
        </w:tc>
      </w:tr>
    </w:tbl>
    <w:p>
      <w:r>
        <w:br w:type="page"/>
      </w:r>
    </w:p>
    <w:p>
      <w:pPr>
        <w:pStyle w:val="Heading1"/>
        <w:pBdr>
          <w:bottom w:val="single" w:color="1B2A4A" w:sz="6" w:space="4"/>
        </w:pBdr>
        <w:spacing w:after="200" w:before="400"/>
      </w:pPr>
      <w:r>
        <w:rPr>
          <w:b/>
          <w:bCs/>
          <w:color w:val="1B2A4A"/>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B2A4A" w:sz="6" w:space="4"/>
        </w:pBdr>
        <w:spacing w:after="200" w:before="400"/>
      </w:pPr>
      <w:r>
        <w:rPr>
          <w:b/>
          <w:bCs/>
          <w:color w:val="1B2A4A"/>
          <w:sz w:val="30"/>
          <w:szCs w:val="30"/>
        </w:rPr>
        <w:t xml:space="preserve">1. The 3–4 Minute Pitch Script</w:t>
      </w:r>
    </w:p>
    <w:p>
      <w:pPr>
        <w:spacing w:after="160" w:line="300"/>
      </w:pPr>
      <w:r>
        <w:rPr>
          <w:b w:val="false"/>
          <w:bCs w:val="false"/>
          <w:i/>
          <w:iCs/>
          <w:color w:val="2C3E50"/>
          <w:sz w:val="22"/>
          <w:szCs w:val="22"/>
        </w:rPr>
        <w:t xml:space="preserve">Timed for roughly 3 minutes 30 seconds at a natural speaking pace (~150 words/minute). Italicized side-notes are stage cues, not spoken lines. Practice this out loud twice before the demo — it is written to be spoken, not read.</w:t>
      </w:r>
    </w:p>
    <w:p>
      <w:pPr>
        <w:shd w:fill="1B2A4A" w:val="clear"/>
        <w:spacing w:after="60" w:before="260"/>
      </w:pPr>
      <w:r>
        <w:rPr>
          <w:b/>
          <w:bCs/>
          <w:color w:val="FFFFFF"/>
          <w:sz w:val="20"/>
          <w:szCs w:val="20"/>
        </w:rPr>
        <w:t xml:space="preserve">0:00 – 0:25   THE HOOK</w:t>
      </w:r>
    </w:p>
    <w:p>
      <w:pPr>
        <w:spacing w:after="160" w:line="300"/>
      </w:pPr>
      <w:r>
        <w:rPr>
          <w:color w:val="17202A"/>
          <w:sz w:val="23"/>
          <w:szCs w:val="23"/>
        </w:rPr>
        <w:t xml:space="preserve">"Every year, Indian disaster authorities do the same thing: they react. A landslide happens, a flood hits — and then teams scramble to rescue people who were already in danger, sometimes for months. Problem Statement 26191 from the Ministry of Home Affairs and NDRF asks a harder question: what if we moved people to safety before the disaster, not after?"</w:t>
      </w:r>
    </w:p>
    <w:p>
      <w:pPr>
        <w:pBdr>
          <w:left w:val="single" w:color="E67E22" w:sz="18" w:space="8"/>
        </w:pBdr>
        <w:spacing w:after="120" w:line="300"/>
        <w:ind w:left="431"/>
      </w:pPr>
      <w:r>
        <w:rPr>
          <w:i/>
          <w:iCs/>
          <w:color w:val="5D6D7E"/>
          <w:sz w:val="20"/>
          <w:szCs w:val="20"/>
        </w:rPr>
        <w:t xml:space="preserve">Cue: pause here. Let the question land before moving on.</w:t>
      </w:r>
    </w:p>
    <w:p>
      <w:pPr>
        <w:shd w:fill="1B2A4A" w:val="clear"/>
        <w:spacing w:after="60" w:before="260"/>
      </w:pPr>
      <w:r>
        <w:rPr>
          <w:b/>
          <w:bCs/>
          <w:color w:val="FFFFFF"/>
          <w:sz w:val="20"/>
          <w:szCs w:val="20"/>
        </w:rPr>
        <w:t xml:space="preserve">0:25 – 0:55   INTRODUCE RAKSHANET</w:t>
      </w:r>
    </w:p>
    <w:p>
      <w:pPr>
        <w:spacing w:after="160" w:line="300"/>
      </w:pPr>
      <w:r>
        <w:rPr>
          <w:color w:val="17202A"/>
          <w:sz w:val="23"/>
          <w:szCs w:val="23"/>
        </w:rPr>
        <w:t xml:space="preserve">"That's RakshaNet. It's a proactive disaster-risk intelligence platform built by Team Jeevan Setu that does four things end to end: it turns citizen and field reports into a live, explainable risk map; it checks whether a candidate relocation site can actually support the people being moved there; it ranks at-risk habitations and matches each one to the best available safe site — splitting the population across multiple sites if one isn't enough; and it keeps a human officer in control of every single approval."</w:t>
      </w:r>
    </w:p>
    <w:p>
      <w:pPr>
        <w:shd w:fill="1B2A4A" w:val="clear"/>
        <w:spacing w:after="60" w:before="260"/>
      </w:pPr>
      <w:r>
        <w:rPr>
          <w:b/>
          <w:bCs/>
          <w:color w:val="FFFFFF"/>
          <w:sz w:val="20"/>
          <w:szCs w:val="20"/>
        </w:rPr>
        <w:t xml:space="preserve">0:55 – 1:45   THE FLOW, WITH A LIVE EXAMPLE</w:t>
      </w:r>
    </w:p>
    <w:p>
      <w:pPr>
        <w:spacing w:after="160" w:line="300"/>
      </w:pPr>
      <w:r>
        <w:rPr>
          <w:color w:val="17202A"/>
          <w:sz w:val="23"/>
          <w:szCs w:val="23"/>
        </w:rPr>
        <w:t xml:space="preserve">"Let me show you the full loop, live — not a slideshow." </w:t>
      </w:r>
    </w:p>
    <w:p>
      <w:pPr>
        <w:pBdr>
          <w:left w:val="single" w:color="E67E22" w:sz="18" w:space="8"/>
        </w:pBdr>
        <w:spacing w:after="120" w:line="300"/>
        <w:ind w:left="431"/>
      </w:pPr>
      <w:r>
        <w:rPr>
          <w:i/>
          <w:iCs/>
          <w:color w:val="5D6D7E"/>
          <w:sz w:val="20"/>
          <w:szCs w:val="20"/>
        </w:rPr>
        <w:t xml:space="preserve">Cue: switch to the browser. Two tabs are open — the Citizen mobile preview and the Command Center dashboard.</w:t>
      </w:r>
    </w:p>
    <w:p>
      <w:pPr>
        <w:spacing w:after="160" w:line="300"/>
      </w:pPr>
      <w:r>
        <w:rPr>
          <w:color w:val="17202A"/>
          <w:sz w:val="23"/>
          <w:szCs w:val="23"/>
        </w:rPr>
        <w:t xml:space="preserve">"On the left is our mobile app — one shared app for Citizens and Volunteers, with different home screens for each role. I'm logged in as a citizen. I report a hazard — say, a flood — with severity, a description, and my GPS location auto-attached. One tap, submitted."</w:t>
      </w:r>
    </w:p>
    <w:p>
      <w:pPr>
        <w:spacing w:after="160" w:line="300"/>
      </w:pPr>
      <w:r>
        <w:rPr>
          <w:color w:val="17202A"/>
          <w:sz w:val="23"/>
          <w:szCs w:val="23"/>
        </w:rPr>
        <w:t xml:space="preserve">"On the right is the Command Center — the web dashboard SDMA and DDMA officers use. Watch: that report just appeared in the Verification Queue, live, over a WebSocket connection — no refresh needed. A Volunteer in the field verifies it — Verified, Rejected, Needs More Evidence, or Duplicate. Once verified, it feeds directly into our risk-scoring engine."</w:t>
      </w:r>
    </w:p>
    <w:p>
      <w:pPr>
        <w:shd w:fill="1B2A4A" w:val="clear"/>
        <w:spacing w:after="60" w:before="260"/>
      </w:pPr>
      <w:r>
        <w:rPr>
          <w:b/>
          <w:bCs/>
          <w:color w:val="FFFFFF"/>
          <w:sz w:val="20"/>
          <w:szCs w:val="20"/>
        </w:rPr>
        <w:t xml:space="preserve">1:45 – 2:35   THE INTELLIGENCE LAYER</w:t>
      </w:r>
    </w:p>
    <w:p>
      <w:pPr>
        <w:spacing w:after="160" w:line="300"/>
      </w:pPr>
      <w:r>
        <w:rPr>
          <w:color w:val="17202A"/>
          <w:sz w:val="23"/>
          <w:szCs w:val="23"/>
        </w:rPr>
        <w:t xml:space="preserve">"Here's what makes RakshaNet different from a reporting app: every risk score is explainable. We compute a Habitation Vulnerability Index — HVI — from five transparent, weighted factors: hazard exposure, population vulnerability, housing and structural quality, accessibility and infrastructure, and historical/environmental risk. No black-box model — an officer can see exactly which factor pushed a habitation into the Red zone."</w:t>
      </w:r>
    </w:p>
    <w:p>
      <w:pPr>
        <w:spacing w:after="160" w:line="300"/>
      </w:pPr>
      <w:r>
        <w:rPr>
          <w:color w:val="17202A"/>
          <w:sz w:val="23"/>
          <w:szCs w:val="23"/>
        </w:rPr>
        <w:t xml:space="preserve">"Once a habitation is flagged, our matching engine ranks every candidate safe site on six factors — safety, capacity fit, accessibility, distance, resource sufficiency, and route reliability — and shows the officer why the top site was chosen. If one site can't hold everyone, RakshaNet automatically generates a split allocation across multiple sites, and runs a stress test to make sure approving this move doesn't push another site into a resource crisis."</w:t>
      </w:r>
    </w:p>
    <w:p>
      <w:pPr>
        <w:pBdr>
          <w:left w:val="single" w:color="E67E22" w:sz="18" w:space="8"/>
        </w:pBdr>
        <w:spacing w:after="120" w:line="300"/>
        <w:ind w:left="431"/>
      </w:pPr>
      <w:r>
        <w:rPr>
          <w:i/>
          <w:iCs/>
          <w:color w:val="5D6D7E"/>
          <w:sz w:val="20"/>
          <w:szCs w:val="20"/>
        </w:rPr>
        <w:t xml:space="preserve">Cue: open the Relocation Planner — point at the ranked list and a split-allocation card.</w:t>
      </w:r>
    </w:p>
    <w:p>
      <w:pPr>
        <w:shd w:fill="1B2A4A" w:val="clear"/>
        <w:spacing w:after="60" w:before="260"/>
      </w:pPr>
      <w:r>
        <w:rPr>
          <w:b/>
          <w:bCs/>
          <w:color w:val="FFFFFF"/>
          <w:sz w:val="20"/>
          <w:szCs w:val="20"/>
        </w:rPr>
        <w:t xml:space="preserve">2:35 – 3:05   HUMAN-IN-THE-LOOP &amp; OFFLINE-FIRST</w:t>
      </w:r>
    </w:p>
    <w:p>
      <w:pPr>
        <w:spacing w:after="160" w:line="300"/>
      </w:pPr>
      <w:r>
        <w:rPr>
          <w:color w:val="17202A"/>
          <w:sz w:val="23"/>
          <w:szCs w:val="23"/>
        </w:rPr>
        <w:t xml:space="preserve">"Nothing moves without a human. Every relocation plan needs an officer to Approve, Modify, or Reject — and modifying or rejecting requires a documented reason. That decision, and every other privileged action, is written to an immutable audit log."</w:t>
      </w:r>
    </w:p>
    <w:p>
      <w:pPr>
        <w:spacing w:after="160" w:line="300"/>
      </w:pPr>
      <w:r>
        <w:rPr>
          <w:color w:val="17202A"/>
          <w:sz w:val="23"/>
          <w:szCs w:val="23"/>
        </w:rPr>
        <w:t xml:space="preserve">"And because the people most at risk often have the worst connectivity, the mobile app works fully offline — reports queue locally in SQLite and sync automatically the moment a connection returns — plus an SMS/IVR adapter for zero-network areas, feeding the exact same pipeline."</w:t>
      </w:r>
    </w:p>
    <w:p>
      <w:pPr>
        <w:shd w:fill="1B2A4A" w:val="clear"/>
        <w:spacing w:after="60" w:before="260"/>
      </w:pPr>
      <w:r>
        <w:rPr>
          <w:b/>
          <w:bCs/>
          <w:color w:val="FFFFFF"/>
          <w:sz w:val="20"/>
          <w:szCs w:val="20"/>
        </w:rPr>
        <w:t xml:space="preserve">3:05 – 3:30   THE CLOSE</w:t>
      </w:r>
    </w:p>
    <w:p>
      <w:pPr>
        <w:spacing w:after="160" w:line="300"/>
      </w:pPr>
      <w:r>
        <w:rPr>
          <w:color w:val="17202A"/>
          <w:sz w:val="23"/>
          <w:szCs w:val="23"/>
        </w:rPr>
        <w:t xml:space="preserve">"RakshaNet isn't a mockup. It's a working system, right now, on Postgres with PostGIS spatial queries, running on a real backend with 61 passing automated tests — you just watched a real report travel from a citizen's phone to an officer's dashboard in under a second. Our ask isn't just 'build this bigger' — it's 'let this be the layer between a hazard report and a life saved.'"</w:t>
      </w:r>
    </w:p>
    <w:p>
      <w:pPr>
        <w:pBdr>
          <w:left w:val="single" w:color="E67E22" w:sz="18" w:space="8"/>
        </w:pBdr>
        <w:spacing w:after="120" w:line="300"/>
        <w:ind w:left="431"/>
      </w:pPr>
      <w:r>
        <w:rPr>
          <w:i/>
          <w:iCs/>
          <w:color w:val="5D6D7E"/>
          <w:sz w:val="20"/>
          <w:szCs w:val="20"/>
        </w:rPr>
        <w:t xml:space="preserve">Cue: end on the Live Risk Map with zone colors visible. Pause. Take questions.</w:t>
      </w:r>
    </w:p>
    <w:p>
      <w:r>
        <w:br w:type="page"/>
      </w:r>
    </w:p>
    <w:p>
      <w:pPr>
        <w:pStyle w:val="Heading1"/>
        <w:pBdr>
          <w:bottom w:val="single" w:color="1B2A4A" w:sz="6" w:space="4"/>
        </w:pBdr>
        <w:spacing w:after="200" w:before="400"/>
      </w:pPr>
      <w:r>
        <w:rPr>
          <w:b/>
          <w:bCs/>
          <w:color w:val="1B2A4A"/>
          <w:sz w:val="30"/>
          <w:szCs w:val="30"/>
        </w:rPr>
        <w:t xml:space="preserve">2. Project Overview</w:t>
      </w:r>
    </w:p>
    <w:p>
      <w:pPr>
        <w:pStyle w:val="Heading2"/>
        <w:spacing w:after="120" w:before="300"/>
      </w:pPr>
      <w:r>
        <w:rPr>
          <w:b/>
          <w:bCs/>
          <w:color w:val="1B2A4A"/>
          <w:sz w:val="24"/>
          <w:szCs w:val="24"/>
        </w:rPr>
        <w:t xml:space="preserve">2.1 The Problem</w:t>
      </w:r>
    </w:p>
    <w:p>
      <w:pPr>
        <w:spacing w:after="160" w:line="300"/>
      </w:pPr>
      <w:r>
        <w:rPr>
          <w:b w:val="false"/>
          <w:bCs w:val="false"/>
          <w:i w:val="false"/>
          <w:iCs w:val="false"/>
          <w:color w:val="2C3E50"/>
          <w:sz w:val="22"/>
          <w:szCs w:val="22"/>
        </w:rPr>
        <w:t xml:space="preserve">Most disaster-management tools in India react after a disaster strikes — they log incidents and dispatch rescue teams. PS 26191 (MHA/NDRF) asks for the opposite: a system that identifies dangerous zones and moves vulnerable people to safety before disaster strikes.</w:t>
      </w:r>
    </w:p>
    <w:p>
      <w:pPr>
        <w:pStyle w:val="Heading2"/>
        <w:spacing w:after="120" w:before="300"/>
      </w:pPr>
      <w:r>
        <w:rPr>
          <w:b/>
          <w:bCs/>
          <w:color w:val="1B2A4A"/>
          <w:sz w:val="24"/>
          <w:szCs w:val="24"/>
        </w:rPr>
        <w:t xml:space="preserve">2.2 The Answer — One Continuous Pipeline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55"/>
        <w:gridCol w:w="1055"/>
        <w:gridCol w:w="1055"/>
        <w:gridCol w:w="1055"/>
        <w:gridCol w:w="1055"/>
        <w:gridCol w:w="1055"/>
        <w:gridCol w:w="1055"/>
        <w:gridCol w:w="1055"/>
        <w:gridCol w:w="1055"/>
      </w:tblGrid>
      <w:tr>
        <w:tc>
          <w:tcPr>
            <w:tcW w:type="dxa" w:w="1055"/>
            <w:shd w:fill="1B2A4A" w:val="clear"/>
            <w:tcMar>
              <w:top w:type="dxa" w:w="100"/>
              <w:left w:type="dxa" w:w="40"/>
              <w:bottom w:type="dxa" w:w="100"/>
              <w:right w:type="dxa" w:w="40"/>
            </w:tcMar>
          </w:tcPr>
          <w:p>
            <w:pPr>
              <w:jc w:val="center"/>
            </w:pPr>
            <w:r>
              <w:rPr>
                <w:b/>
                <w:bCs/>
                <w:color w:val="FFFFFF"/>
                <w:sz w:val="15"/>
                <w:szCs w:val="15"/>
              </w:rPr>
              <w:t xml:space="preserve">REPORT</w:t>
            </w:r>
          </w:p>
        </w:tc>
        <w:tc>
          <w:tcPr>
            <w:tcW w:type="dxa" w:w="1055"/>
            <w:shd w:fill="2E4272" w:val="clear"/>
            <w:tcMar>
              <w:top w:type="dxa" w:w="100"/>
              <w:left w:type="dxa" w:w="40"/>
              <w:bottom w:type="dxa" w:w="100"/>
              <w:right w:type="dxa" w:w="40"/>
            </w:tcMar>
          </w:tcPr>
          <w:p>
            <w:pPr>
              <w:jc w:val="center"/>
            </w:pPr>
            <w:r>
              <w:rPr>
                <w:b/>
                <w:bCs/>
                <w:color w:val="FFFFFF"/>
                <w:sz w:val="15"/>
                <w:szCs w:val="15"/>
              </w:rPr>
              <w:t xml:space="preserve">VERIFY</w:t>
            </w:r>
          </w:p>
        </w:tc>
        <w:tc>
          <w:tcPr>
            <w:tcW w:type="dxa" w:w="1055"/>
            <w:shd w:fill="1B2A4A" w:val="clear"/>
            <w:tcMar>
              <w:top w:type="dxa" w:w="100"/>
              <w:left w:type="dxa" w:w="40"/>
              <w:bottom w:type="dxa" w:w="100"/>
              <w:right w:type="dxa" w:w="40"/>
            </w:tcMar>
          </w:tcPr>
          <w:p>
            <w:pPr>
              <w:jc w:val="center"/>
            </w:pPr>
            <w:r>
              <w:rPr>
                <w:b/>
                <w:bCs/>
                <w:color w:val="FFFFFF"/>
                <w:sz w:val="15"/>
                <w:szCs w:val="15"/>
              </w:rPr>
              <w:t xml:space="preserve">RISK</w:t>
            </w:r>
          </w:p>
        </w:tc>
        <w:tc>
          <w:tcPr>
            <w:tcW w:type="dxa" w:w="1055"/>
            <w:shd w:fill="2E4272" w:val="clear"/>
            <w:tcMar>
              <w:top w:type="dxa" w:w="100"/>
              <w:left w:type="dxa" w:w="40"/>
              <w:bottom w:type="dxa" w:w="100"/>
              <w:right w:type="dxa" w:w="40"/>
            </w:tcMar>
          </w:tcPr>
          <w:p>
            <w:pPr>
              <w:jc w:val="center"/>
            </w:pPr>
            <w:r>
              <w:rPr>
                <w:b/>
                <w:bCs/>
                <w:color w:val="FFFFFF"/>
                <w:sz w:val="15"/>
                <w:szCs w:val="15"/>
              </w:rPr>
              <w:t xml:space="preserve">RED ZONE</w:t>
            </w:r>
          </w:p>
        </w:tc>
        <w:tc>
          <w:tcPr>
            <w:tcW w:type="dxa" w:w="1055"/>
            <w:shd w:fill="1B2A4A" w:val="clear"/>
            <w:tcMar>
              <w:top w:type="dxa" w:w="100"/>
              <w:left w:type="dxa" w:w="40"/>
              <w:bottom w:type="dxa" w:w="100"/>
              <w:right w:type="dxa" w:w="40"/>
            </w:tcMar>
          </w:tcPr>
          <w:p>
            <w:pPr>
              <w:jc w:val="center"/>
            </w:pPr>
            <w:r>
              <w:rPr>
                <w:b/>
                <w:bCs/>
                <w:color w:val="FFFFFF"/>
                <w:sz w:val="15"/>
                <w:szCs w:val="15"/>
              </w:rPr>
              <w:t xml:space="preserve">SAFE SITE</w:t>
            </w:r>
          </w:p>
        </w:tc>
        <w:tc>
          <w:tcPr>
            <w:tcW w:type="dxa" w:w="1055"/>
            <w:shd w:fill="2E4272" w:val="clear"/>
            <w:tcMar>
              <w:top w:type="dxa" w:w="100"/>
              <w:left w:type="dxa" w:w="40"/>
              <w:bottom w:type="dxa" w:w="100"/>
              <w:right w:type="dxa" w:w="40"/>
            </w:tcMar>
          </w:tcPr>
          <w:p>
            <w:pPr>
              <w:jc w:val="center"/>
            </w:pPr>
            <w:r>
              <w:rPr>
                <w:b/>
                <w:bCs/>
                <w:color w:val="FFFFFF"/>
                <w:sz w:val="15"/>
                <w:szCs w:val="15"/>
              </w:rPr>
              <w:t xml:space="preserve">CAPACITY</w:t>
            </w:r>
          </w:p>
        </w:tc>
        <w:tc>
          <w:tcPr>
            <w:tcW w:type="dxa" w:w="1055"/>
            <w:shd w:fill="1B2A4A" w:val="clear"/>
            <w:tcMar>
              <w:top w:type="dxa" w:w="100"/>
              <w:left w:type="dxa" w:w="40"/>
              <w:bottom w:type="dxa" w:w="100"/>
              <w:right w:type="dxa" w:w="40"/>
            </w:tcMar>
          </w:tcPr>
          <w:p>
            <w:pPr>
              <w:jc w:val="center"/>
            </w:pPr>
            <w:r>
              <w:rPr>
                <w:b/>
                <w:bCs/>
                <w:color w:val="FFFFFF"/>
                <w:sz w:val="15"/>
                <w:szCs w:val="15"/>
              </w:rPr>
              <w:t xml:space="preserve">MATCH</w:t>
            </w:r>
          </w:p>
        </w:tc>
        <w:tc>
          <w:tcPr>
            <w:tcW w:type="dxa" w:w="1055"/>
            <w:shd w:fill="2E4272" w:val="clear"/>
            <w:tcMar>
              <w:top w:type="dxa" w:w="100"/>
              <w:left w:type="dxa" w:w="40"/>
              <w:bottom w:type="dxa" w:w="100"/>
              <w:right w:type="dxa" w:w="40"/>
            </w:tcMar>
          </w:tcPr>
          <w:p>
            <w:pPr>
              <w:jc w:val="center"/>
            </w:pPr>
            <w:r>
              <w:rPr>
                <w:b/>
                <w:bCs/>
                <w:color w:val="FFFFFF"/>
                <w:sz w:val="15"/>
                <w:szCs w:val="15"/>
              </w:rPr>
              <w:t xml:space="preserve">RELOCATE</w:t>
            </w:r>
          </w:p>
        </w:tc>
        <w:tc>
          <w:tcPr>
            <w:tcW w:type="dxa" w:w="1055"/>
            <w:shd w:fill="1B2A4A" w:val="clear"/>
            <w:tcMar>
              <w:top w:type="dxa" w:w="100"/>
              <w:left w:type="dxa" w:w="40"/>
              <w:bottom w:type="dxa" w:w="100"/>
              <w:right w:type="dxa" w:w="40"/>
            </w:tcMar>
          </w:tcPr>
          <w:p>
            <w:pPr>
              <w:jc w:val="center"/>
            </w:pPr>
            <w:r>
              <w:rPr>
                <w:b/>
                <w:bCs/>
                <w:color w:val="FFFFFF"/>
                <w:sz w:val="15"/>
                <w:szCs w:val="15"/>
              </w:rPr>
              <w:t xml:space="preserve">MONITOR</w:t>
            </w:r>
          </w:p>
        </w:tc>
      </w:tr>
    </w:tbl>
    <w:p>
      <w:pPr>
        <w:spacing w:after="160" w:line="300"/>
      </w:pPr>
      <w:r>
        <w:rPr>
          <w:b w:val="false"/>
          <w:bCs w:val="false"/>
          <w:i w:val="false"/>
          <w:iCs w:val="false"/>
          <w:color w:val="2C3E50"/>
          <w:sz w:val="22"/>
          <w:szCs w:val="22"/>
        </w:rPr>
        <w:t xml:space="preserve"> </w:t>
      </w:r>
    </w:p>
    <w:p>
      <w:pPr>
        <w:spacing w:after="160" w:line="300"/>
      </w:pPr>
      <w:r>
        <w:rPr>
          <w:b w:val="false"/>
          <w:bCs w:val="false"/>
          <w:i w:val="false"/>
          <w:iCs w:val="false"/>
          <w:color w:val="2C3E50"/>
          <w:sz w:val="22"/>
          <w:szCs w:val="22"/>
        </w:rPr>
        <w:t xml:space="preserve">Citizen and field reports, hazard history, and habitation data are combined into a live, color-coded risk picture; candidate safe sites are screened for real carrying capacity; at-risk habitations are matched to sites and ranked by urgency; and every move is officer-approved and tracked through to resolution.</w:t>
      </w:r>
    </w:p>
    <w:p>
      <w:pPr>
        <w:pStyle w:val="Heading2"/>
        <w:spacing w:after="120" w:before="300"/>
      </w:pPr>
      <w:r>
        <w:rPr>
          <w:b/>
          <w:bCs/>
          <w:color w:val="1B2A4A"/>
          <w:sz w:val="24"/>
          <w:szCs w:val="24"/>
        </w:rPr>
        <w:t xml:space="preserve">2.3 Roles &amp; Interfaces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rPr>
          <w:tblHeader/>
        </w:trPr>
        <w:tc>
          <w:tcPr>
            <w:tcW w:type="dxa" w:w="2000"/>
            <w:shd w:fill="1B2A4A" w:val="clear"/>
            <w:tcMar>
              <w:top w:type="dxa" w:w="100"/>
              <w:left w:type="dxa" w:w="120"/>
              <w:bottom w:type="dxa" w:w="100"/>
              <w:right w:type="dxa" w:w="120"/>
            </w:tcMar>
          </w:tcPr>
          <w:p>
            <w:r>
              <w:rPr>
                <w:b/>
                <w:bCs/>
                <w:color w:val="FFFFFF"/>
                <w:sz w:val="20"/>
                <w:szCs w:val="20"/>
              </w:rPr>
              <w:t xml:space="preserve">Role</w:t>
            </w:r>
          </w:p>
        </w:tc>
        <w:tc>
          <w:tcPr>
            <w:tcW w:type="dxa" w:w="2000"/>
            <w:shd w:fill="1B2A4A" w:val="clear"/>
            <w:tcMar>
              <w:top w:type="dxa" w:w="100"/>
              <w:left w:type="dxa" w:w="120"/>
              <w:bottom w:type="dxa" w:w="100"/>
              <w:right w:type="dxa" w:w="120"/>
            </w:tcMar>
          </w:tcPr>
          <w:p>
            <w:r>
              <w:rPr>
                <w:b/>
                <w:bCs/>
                <w:color w:val="FFFFFF"/>
                <w:sz w:val="20"/>
                <w:szCs w:val="20"/>
              </w:rPr>
              <w:t xml:space="preserve">Interface</w:t>
            </w:r>
          </w:p>
        </w:tc>
        <w:tc>
          <w:tcPr>
            <w:tcW w:type="dxa" w:w="2000"/>
            <w:shd w:fill="1B2A4A" w:val="clear"/>
            <w:tcMar>
              <w:top w:type="dxa" w:w="100"/>
              <w:left w:type="dxa" w:w="120"/>
              <w:bottom w:type="dxa" w:w="100"/>
              <w:right w:type="dxa" w:w="120"/>
            </w:tcMar>
          </w:tcPr>
          <w:p>
            <w:r>
              <w:rPr>
                <w:b/>
                <w:bCs/>
                <w:color w:val="FFFFFF"/>
                <w:sz w:val="20"/>
                <w:szCs w:val="20"/>
              </w:rPr>
              <w:t xml:space="preserve">What they do</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Citizen</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Mobile app</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SOS, report hazard/vulnerability, view alerts and nearby risk, track own reports</w:t>
            </w:r>
          </w:p>
        </w:tc>
      </w:tr>
      <w:tr>
        <w:tc>
          <w:tcPr>
            <w:tcW w:type="dxa" w:w="2000"/>
            <w:tcMar>
              <w:top w:type="dxa" w:w="100"/>
              <w:left w:type="dxa" w:w="120"/>
              <w:bottom w:type="dxa" w:w="100"/>
              <w:right w:type="dxa" w:w="120"/>
            </w:tcMar>
          </w:tcPr>
          <w:p>
            <w:r>
              <w:rPr>
                <w:b w:val="false"/>
                <w:bCs w:val="false"/>
                <w:color w:val="2C3E50"/>
                <w:sz w:val="20"/>
                <w:szCs w:val="20"/>
              </w:rPr>
              <w:t xml:space="preserve">Volunteer</w:t>
            </w:r>
          </w:p>
        </w:tc>
        <w:tc>
          <w:tcPr>
            <w:tcW w:type="dxa" w:w="2000"/>
            <w:tcMar>
              <w:top w:type="dxa" w:w="100"/>
              <w:left w:type="dxa" w:w="120"/>
              <w:bottom w:type="dxa" w:w="100"/>
              <w:right w:type="dxa" w:w="120"/>
            </w:tcMar>
          </w:tcPr>
          <w:p>
            <w:r>
              <w:rPr>
                <w:b w:val="false"/>
                <w:bCs w:val="false"/>
                <w:color w:val="2C3E50"/>
                <w:sz w:val="20"/>
                <w:szCs w:val="20"/>
              </w:rPr>
              <w:t xml:space="preserve">Mobile app (same app, different home screen)</w:t>
            </w:r>
          </w:p>
        </w:tc>
        <w:tc>
          <w:tcPr>
            <w:tcW w:type="dxa" w:w="2000"/>
            <w:tcMar>
              <w:top w:type="dxa" w:w="100"/>
              <w:left w:type="dxa" w:w="120"/>
              <w:bottom w:type="dxa" w:w="100"/>
              <w:right w:type="dxa" w:w="120"/>
            </w:tcMar>
          </w:tcPr>
          <w:p>
            <w:r>
              <w:rPr>
                <w:b w:val="false"/>
                <w:bCs w:val="false"/>
                <w:color w:val="2C3E50"/>
                <w:sz w:val="20"/>
                <w:szCs w:val="20"/>
              </w:rPr>
              <w:t xml:space="preserve">Verify citizen reports, run structured field surveys, view assigned tasks</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SDMA / DDMA Officer</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Web Command Center</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Review risk/HVI, approve safe sites, approve/modify/reject relocation plans</w:t>
            </w:r>
          </w:p>
        </w:tc>
      </w:tr>
      <w:tr>
        <w:tc>
          <w:tcPr>
            <w:tcW w:type="dxa" w:w="2000"/>
            <w:tcMar>
              <w:top w:type="dxa" w:w="100"/>
              <w:left w:type="dxa" w:w="120"/>
              <w:bottom w:type="dxa" w:w="100"/>
              <w:right w:type="dxa" w:w="120"/>
            </w:tcMar>
          </w:tcPr>
          <w:p>
            <w:r>
              <w:rPr>
                <w:b w:val="false"/>
                <w:bCs w:val="false"/>
                <w:color w:val="2C3E50"/>
                <w:sz w:val="20"/>
                <w:szCs w:val="20"/>
              </w:rPr>
              <w:t xml:space="preserve">Responder (NDRF)</w:t>
            </w:r>
          </w:p>
        </w:tc>
        <w:tc>
          <w:tcPr>
            <w:tcW w:type="dxa" w:w="2000"/>
            <w:tcMar>
              <w:top w:type="dxa" w:w="100"/>
              <w:left w:type="dxa" w:w="120"/>
              <w:bottom w:type="dxa" w:w="100"/>
              <w:right w:type="dxa" w:w="120"/>
            </w:tcMar>
          </w:tcPr>
          <w:p>
            <w:r>
              <w:rPr>
                <w:b w:val="false"/>
                <w:bCs w:val="false"/>
                <w:color w:val="2C3E50"/>
                <w:sz w:val="20"/>
                <w:szCs w:val="20"/>
              </w:rPr>
              <w:t xml:space="preserve">Web Command Center</w:t>
            </w:r>
          </w:p>
        </w:tc>
        <w:tc>
          <w:tcPr>
            <w:tcW w:type="dxa" w:w="2000"/>
            <w:tcMar>
              <w:top w:type="dxa" w:w="100"/>
              <w:left w:type="dxa" w:w="120"/>
              <w:bottom w:type="dxa" w:w="100"/>
              <w:right w:type="dxa" w:w="120"/>
            </w:tcMar>
          </w:tcPr>
          <w:p>
            <w:r>
              <w:rPr>
                <w:b w:val="false"/>
                <w:bCs w:val="false"/>
                <w:color w:val="2C3E50"/>
                <w:sz w:val="20"/>
                <w:szCs w:val="20"/>
              </w:rPr>
              <w:t xml:space="preserve">Receive prioritized tasks; update Assigned → En Route → On Site → Resolved</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Administrator</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Web Command Center</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Manage users/roles, review audit logs, system configuration</w:t>
            </w:r>
          </w:p>
        </w:tc>
      </w:tr>
    </w:tbl>
    <w:p>
      <w:pPr>
        <w:spacing w:after="160" w:line="300"/>
      </w:pPr>
      <w:r>
        <w:rPr>
          <w:b w:val="false"/>
          <w:bCs w:val="false"/>
          <w:i w:val="false"/>
          <w:iCs w:val="false"/>
          <w:color w:val="2C3E50"/>
          <w:sz w:val="22"/>
          <w:szCs w:val="22"/>
        </w:rPr>
        <w:t xml:space="preserve"> </w:t>
      </w:r>
    </w:p>
    <w:p>
      <w:pPr>
        <w:spacing w:after="160" w:line="300"/>
      </w:pPr>
      <w:r>
        <w:rPr>
          <w:b w:val="false"/>
          <w:bCs w:val="false"/>
          <w:i w:val="false"/>
          <w:iCs w:val="false"/>
          <w:color w:val="2C3E50"/>
          <w:sz w:val="22"/>
          <w:szCs w:val="22"/>
        </w:rPr>
        <w:t xml:space="preserve">Citizens and Volunteers share one mobile app with role-based navigation — Citizens never see operational controls; Volunteers never see relocation-approval authority.</w:t>
      </w:r>
    </w:p>
    <w:p>
      <w:r>
        <w:br w:type="page"/>
      </w:r>
    </w:p>
    <w:p>
      <w:pPr>
        <w:pStyle w:val="Heading1"/>
        <w:pBdr>
          <w:bottom w:val="single" w:color="1B2A4A" w:sz="6" w:space="4"/>
        </w:pBdr>
        <w:spacing w:after="200" w:before="400"/>
      </w:pPr>
      <w:r>
        <w:rPr>
          <w:b/>
          <w:bCs/>
          <w:color w:val="1B2A4A"/>
          <w:sz w:val="30"/>
          <w:szCs w:val="30"/>
        </w:rPr>
        <w:t xml:space="preserve">3. Core Modules</w:t>
      </w:r>
    </w:p>
    <w:p>
      <w:pPr>
        <w:pStyle w:val="Heading2"/>
        <w:spacing w:after="120" w:before="300"/>
      </w:pPr>
      <w:r>
        <w:rPr>
          <w:b/>
          <w:bCs/>
          <w:color w:val="1B2A4A"/>
          <w:sz w:val="24"/>
          <w:szCs w:val="24"/>
        </w:rPr>
        <w:t xml:space="preserve">3.1 Module 1 — Ground Intelligence &amp; Field Survey (Mobile)</w:t>
      </w:r>
    </w:p>
    <w:p>
      <w:pPr>
        <w:pStyle w:val="ListParagraph"/>
        <w:numPr>
          <w:ilvl w:val="0"/>
          <w:numId w:val="2"/>
        </w:numPr>
        <w:spacing w:after="90" w:line="280"/>
      </w:pPr>
      <w:r>
        <w:rPr>
          <w:b/>
          <w:bCs/>
          <w:color w:val="1B2A4A"/>
          <w:sz w:val="22"/>
          <w:szCs w:val="22"/>
        </w:rPr>
        <w:t xml:space="preserve">Report Hazard: </w:t>
      </w:r>
      <w:r>
        <w:rPr>
          <w:color w:val="2C3E50"/>
          <w:sz w:val="22"/>
          <w:szCs w:val="22"/>
        </w:rPr>
        <w:t xml:space="preserve">photo + GPS + hazard type + severity + description, submitted in seconds.</w:t>
      </w:r>
    </w:p>
    <w:p>
      <w:pPr>
        <w:pStyle w:val="ListParagraph"/>
        <w:numPr>
          <w:ilvl w:val="0"/>
          <w:numId w:val="2"/>
        </w:numPr>
        <w:spacing w:after="90" w:line="280"/>
      </w:pPr>
      <w:r>
        <w:rPr>
          <w:b/>
          <w:bCs/>
          <w:color w:val="1B2A4A"/>
          <w:sz w:val="22"/>
          <w:szCs w:val="22"/>
        </w:rPr>
        <w:t xml:space="preserve">SOS: </w:t>
      </w:r>
      <w:r>
        <w:rPr>
          <w:color w:val="2C3E50"/>
          <w:sz w:val="22"/>
          <w:szCs w:val="22"/>
        </w:rPr>
        <w:t xml:space="preserve">one tap sends live location as a high-priority command-center event.</w:t>
      </w:r>
    </w:p>
    <w:p>
      <w:pPr>
        <w:pStyle w:val="ListParagraph"/>
        <w:numPr>
          <w:ilvl w:val="0"/>
          <w:numId w:val="2"/>
        </w:numPr>
        <w:spacing w:after="90" w:line="280"/>
      </w:pPr>
      <w:r>
        <w:rPr>
          <w:b/>
          <w:bCs/>
          <w:color w:val="1B2A4A"/>
          <w:sz w:val="22"/>
          <w:szCs w:val="22"/>
        </w:rPr>
        <w:t xml:space="preserve">Field Survey: </w:t>
      </w:r>
      <w:r>
        <w:rPr>
          <w:color w:val="2C3E50"/>
          <w:sz w:val="22"/>
          <w:szCs w:val="22"/>
        </w:rPr>
        <w:t xml:space="preserve">structured vulnerability checklist a Volunteer runs for a habitation, geotagged and photo-backed.</w:t>
      </w:r>
    </w:p>
    <w:p>
      <w:pPr>
        <w:pStyle w:val="ListParagraph"/>
        <w:numPr>
          <w:ilvl w:val="0"/>
          <w:numId w:val="2"/>
        </w:numPr>
        <w:spacing w:after="90" w:line="280"/>
      </w:pPr>
      <w:r>
        <w:rPr>
          <w:b/>
          <w:bCs/>
          <w:color w:val="1B2A4A"/>
          <w:sz w:val="22"/>
          <w:szCs w:val="22"/>
        </w:rPr>
        <w:t xml:space="preserve">Offline-first: </w:t>
      </w:r>
      <w:r>
        <w:rPr>
          <w:color w:val="2C3E50"/>
          <w:sz w:val="22"/>
          <w:szCs w:val="22"/>
        </w:rPr>
        <w:t xml:space="preserve">reports queue in local SQLite with a client-generated UUID and sync automatically — survives an app restart.</w:t>
      </w:r>
    </w:p>
    <w:p>
      <w:pPr>
        <w:pStyle w:val="ListParagraph"/>
        <w:numPr>
          <w:ilvl w:val="0"/>
          <w:numId w:val="2"/>
        </w:numPr>
        <w:spacing w:after="90" w:line="280"/>
      </w:pPr>
      <w:r>
        <w:rPr>
          <w:b/>
          <w:bCs/>
          <w:color w:val="1B2A4A"/>
          <w:sz w:val="22"/>
          <w:szCs w:val="22"/>
        </w:rPr>
        <w:t xml:space="preserve">SMS/IVR fallback: </w:t>
      </w:r>
      <w:r>
        <w:rPr>
          <w:color w:val="2C3E50"/>
          <w:sz w:val="22"/>
          <w:szCs w:val="22"/>
        </w:rPr>
        <w:t xml:space="preserve">zero-network areas can report by SMS keyword or call, through an adapter feeding the identical report pipeline.</w:t>
      </w:r>
    </w:p>
    <w:p>
      <w:pPr>
        <w:pStyle w:val="Heading2"/>
        <w:spacing w:after="120" w:before="300"/>
      </w:pPr>
      <w:r>
        <w:rPr>
          <w:b/>
          <w:bCs/>
          <w:color w:val="1B2A4A"/>
          <w:sz w:val="24"/>
          <w:szCs w:val="24"/>
        </w:rPr>
        <w:t xml:space="preserve">3.2 Module 2 — Multi-Hazard Risk Zonation &amp; HVI Engine</w:t>
      </w:r>
    </w:p>
    <w:p>
      <w:pPr>
        <w:pStyle w:val="ListParagraph"/>
        <w:numPr>
          <w:ilvl w:val="0"/>
          <w:numId w:val="2"/>
        </w:numPr>
        <w:spacing w:after="90" w:line="280"/>
      </w:pPr>
      <w:r>
        <w:rPr>
          <w:b/>
          <w:bCs/>
          <w:color w:val="1B2A4A"/>
          <w:sz w:val="22"/>
          <w:szCs w:val="22"/>
        </w:rPr>
        <w:t xml:space="preserve">Data ingestion: </w:t>
      </w:r>
      <w:r>
        <w:rPr>
          <w:color w:val="2C3E50"/>
          <w:sz w:val="22"/>
          <w:szCs w:val="22"/>
        </w:rPr>
        <w:t xml:space="preserve">combines verified field reports (severity- and recency-weighted) into a live hazard-exposure score.</w:t>
      </w:r>
    </w:p>
    <w:p>
      <w:pPr>
        <w:pStyle w:val="ListParagraph"/>
        <w:numPr>
          <w:ilvl w:val="0"/>
          <w:numId w:val="2"/>
        </w:numPr>
        <w:spacing w:after="90" w:line="280"/>
      </w:pPr>
      <w:r>
        <w:rPr>
          <w:b/>
          <w:bCs/>
          <w:color w:val="1B2A4A"/>
          <w:sz w:val="22"/>
          <w:szCs w:val="22"/>
        </w:rPr>
        <w:t xml:space="preserve">Risk scoring: </w:t>
      </w:r>
      <w:r>
        <w:rPr>
          <w:color w:val="2C3E50"/>
          <w:sz w:val="22"/>
          <w:szCs w:val="22"/>
        </w:rPr>
        <w:t xml:space="preserve">every habitation gets a 0–100 score and a Red / Orange / Yellow / Green zone, recalculated on demand.</w:t>
      </w:r>
    </w:p>
    <w:p>
      <w:pPr>
        <w:pStyle w:val="ListParagraph"/>
        <w:numPr>
          <w:ilvl w:val="0"/>
          <w:numId w:val="2"/>
        </w:numPr>
        <w:spacing w:after="90" w:line="280"/>
      </w:pPr>
      <w:r>
        <w:rPr>
          <w:b/>
          <w:bCs/>
          <w:color w:val="1B2A4A"/>
          <w:sz w:val="22"/>
          <w:szCs w:val="22"/>
        </w:rPr>
        <w:t xml:space="preserve">HVI: </w:t>
      </w:r>
      <w:r>
        <w:rPr>
          <w:color w:val="2C3E50"/>
          <w:sz w:val="22"/>
          <w:szCs w:val="22"/>
        </w:rPr>
        <w:t xml:space="preserve">a fully explainable weighted index combining five factors (see §5) — the officer always sees why.</w:t>
      </w:r>
    </w:p>
    <w:p>
      <w:pPr>
        <w:pStyle w:val="ListParagraph"/>
        <w:numPr>
          <w:ilvl w:val="0"/>
          <w:numId w:val="2"/>
        </w:numPr>
        <w:spacing w:after="90" w:line="280"/>
      </w:pPr>
      <w:r>
        <w:rPr>
          <w:b/>
          <w:bCs/>
          <w:color w:val="1B2A4A"/>
          <w:sz w:val="22"/>
          <w:szCs w:val="22"/>
        </w:rPr>
        <w:t xml:space="preserve">Fake/duplicate filter: </w:t>
      </w:r>
      <w:r>
        <w:rPr>
          <w:color w:val="2C3E50"/>
          <w:sz w:val="22"/>
          <w:szCs w:val="22"/>
        </w:rPr>
        <w:t xml:space="preserve">a deterministic heuristic pass (density + description length) flags suspect reports before they affect scores.</w:t>
      </w:r>
    </w:p>
    <w:p>
      <w:pPr>
        <w:pStyle w:val="Heading2"/>
        <w:spacing w:after="120" w:before="300"/>
      </w:pPr>
      <w:r>
        <w:rPr>
          <w:b/>
          <w:bCs/>
          <w:color w:val="1B2A4A"/>
          <w:sz w:val="24"/>
          <w:szCs w:val="24"/>
        </w:rPr>
        <w:t xml:space="preserve">3.3 Module 3 — Carrying Capacity &amp; Safe-Site Assessment</w:t>
      </w:r>
    </w:p>
    <w:p>
      <w:pPr>
        <w:pStyle w:val="ListParagraph"/>
        <w:numPr>
          <w:ilvl w:val="0"/>
          <w:numId w:val="2"/>
        </w:numPr>
        <w:spacing w:after="90" w:line="280"/>
      </w:pPr>
      <w:r>
        <w:rPr>
          <w:b/>
          <w:bCs/>
          <w:color w:val="1B2A4A"/>
          <w:sz w:val="22"/>
          <w:szCs w:val="22"/>
        </w:rPr>
        <w:t xml:space="preserve">Capacity check: </w:t>
      </w:r>
      <w:r>
        <w:rPr>
          <w:color w:val="2C3E50"/>
          <w:sz w:val="22"/>
          <w:szCs w:val="22"/>
        </w:rPr>
        <w:t xml:space="preserve">each site's water, medical beds, sanitation, and food stock is compared against the population it would actually hold.</w:t>
      </w:r>
    </w:p>
    <w:p>
      <w:pPr>
        <w:pStyle w:val="ListParagraph"/>
        <w:numPr>
          <w:ilvl w:val="0"/>
          <w:numId w:val="2"/>
        </w:numPr>
        <w:spacing w:after="90" w:line="280"/>
      </w:pPr>
      <w:r>
        <w:rPr>
          <w:b/>
          <w:bCs/>
          <w:color w:val="1B2A4A"/>
          <w:sz w:val="22"/>
          <w:szCs w:val="22"/>
        </w:rPr>
        <w:t xml:space="preserve">Resource status: </w:t>
      </w:r>
      <w:r>
        <w:rPr>
          <w:color w:val="2C3E50"/>
          <w:sz w:val="22"/>
          <w:szCs w:val="22"/>
        </w:rPr>
        <w:t xml:space="preserve">every resource is Surplus / Adequate / Critical, with days-of-coverage shown, not just a raw number.</w:t>
      </w:r>
    </w:p>
    <w:p>
      <w:pPr>
        <w:pStyle w:val="ListParagraph"/>
        <w:numPr>
          <w:ilvl w:val="0"/>
          <w:numId w:val="2"/>
        </w:numPr>
        <w:spacing w:after="90" w:line="280"/>
      </w:pPr>
      <w:r>
        <w:rPr>
          <w:b/>
          <w:bCs/>
          <w:color w:val="1B2A4A"/>
          <w:sz w:val="22"/>
          <w:szCs w:val="22"/>
        </w:rPr>
        <w:t xml:space="preserve">Redistribution suggestions: </w:t>
      </w:r>
      <w:r>
        <w:rPr>
          <w:color w:val="2C3E50"/>
          <w:sz w:val="22"/>
          <w:szCs w:val="22"/>
        </w:rPr>
        <w:t xml:space="preserve">if one site is critical on a resource and a nearby site has surplus, RakshaNet suggests a transfer.</w:t>
      </w:r>
    </w:p>
    <w:p>
      <w:pPr>
        <w:pStyle w:val="Heading2"/>
        <w:spacing w:after="120" w:before="300"/>
      </w:pPr>
      <w:r>
        <w:rPr>
          <w:b/>
          <w:bCs/>
          <w:color w:val="1B2A4A"/>
          <w:sz w:val="24"/>
          <w:szCs w:val="24"/>
        </w:rPr>
        <w:t xml:space="preserve">3.4 Module 4 — Proactive Command &amp; Decision Center (Web)</w:t>
      </w:r>
    </w:p>
    <w:p>
      <w:pPr>
        <w:pStyle w:val="ListParagraph"/>
        <w:numPr>
          <w:ilvl w:val="0"/>
          <w:numId w:val="2"/>
        </w:numPr>
        <w:spacing w:after="90" w:line="280"/>
      </w:pPr>
      <w:r>
        <w:rPr>
          <w:b/>
          <w:bCs/>
          <w:color w:val="1B2A4A"/>
          <w:sz w:val="22"/>
          <w:szCs w:val="22"/>
        </w:rPr>
        <w:t xml:space="preserve">Live Risk Map: </w:t>
      </w:r>
      <w:r>
        <w:rPr>
          <w:color w:val="2C3E50"/>
          <w:sz w:val="22"/>
          <w:szCs w:val="22"/>
        </w:rPr>
        <w:t xml:space="preserve">Leaflet-based, zone-colored habitation pins, safe-site pins, and hazard-report pins on one map.</w:t>
      </w:r>
    </w:p>
    <w:p>
      <w:pPr>
        <w:pStyle w:val="ListParagraph"/>
        <w:numPr>
          <w:ilvl w:val="0"/>
          <w:numId w:val="2"/>
        </w:numPr>
        <w:spacing w:after="90" w:line="280"/>
      </w:pPr>
      <w:r>
        <w:rPr>
          <w:b/>
          <w:bCs/>
          <w:color w:val="1B2A4A"/>
          <w:sz w:val="22"/>
          <w:szCs w:val="22"/>
        </w:rPr>
        <w:t xml:space="preserve">Relocation Planner: </w:t>
      </w:r>
      <w:r>
        <w:rPr>
          <w:color w:val="2C3E50"/>
          <w:sz w:val="22"/>
          <w:szCs w:val="22"/>
        </w:rPr>
        <w:t xml:space="preserve">habitations ranked by urgency (Immediate 0–72h / Short-Term 1–6mo / Medium-Term 6–24mo), matched to sites, with split allocation and a pre-approval stress test.</w:t>
      </w:r>
    </w:p>
    <w:p>
      <w:pPr>
        <w:pStyle w:val="ListParagraph"/>
        <w:numPr>
          <w:ilvl w:val="0"/>
          <w:numId w:val="2"/>
        </w:numPr>
        <w:spacing w:after="90" w:line="280"/>
      </w:pPr>
      <w:r>
        <w:rPr>
          <w:b/>
          <w:bCs/>
          <w:color w:val="1B2A4A"/>
          <w:sz w:val="22"/>
          <w:szCs w:val="22"/>
        </w:rPr>
        <w:t xml:space="preserve">Resource Monitor, Routes &amp; Response, Reports &amp; Export (CSV/PDF/DOCX), and an immutable Audit Log</w:t>
      </w:r>
      <w:r>
        <w:rPr>
          <w:color w:val="2C3E50"/>
          <w:sz w:val="22"/>
          <w:szCs w:val="22"/>
        </w:rPr>
        <w:t xml:space="preserve"> round out the operational picture.</w:t>
      </w:r>
    </w:p>
    <w:p>
      <w:r>
        <w:br w:type="page"/>
      </w:r>
    </w:p>
    <w:p>
      <w:pPr>
        <w:pStyle w:val="Heading1"/>
        <w:pBdr>
          <w:bottom w:val="single" w:color="1B2A4A" w:sz="6" w:space="4"/>
        </w:pBdr>
        <w:spacing w:after="200" w:before="400"/>
      </w:pPr>
      <w:r>
        <w:rPr>
          <w:b/>
          <w:bCs/>
          <w:color w:val="1B2A4A"/>
          <w:sz w:val="30"/>
          <w:szCs w:val="30"/>
        </w:rPr>
        <w:t xml:space="preserve">4. Technology Stack</w:t>
      </w:r>
    </w:p>
    <w:p>
      <w:pPr>
        <w:spacing w:after="160" w:line="300"/>
      </w:pPr>
      <w:r>
        <w:rPr>
          <w:b w:val="false"/>
          <w:bCs w:val="false"/>
          <w:i w:val="false"/>
          <w:iCs w:val="false"/>
          <w:color w:val="2C3E50"/>
          <w:sz w:val="22"/>
          <w:szCs w:val="22"/>
        </w:rPr>
        <w:t xml:space="preserve">Deliberately simple for a hackathon timeline: one spatially-aware relational database, no containers, everything startable with a normal npm command.</w:t>
      </w:r>
    </w:p>
    <w:p>
      <w:pPr>
        <w:pStyle w:val="Heading2"/>
        <w:spacing w:after="120" w:before="300"/>
      </w:pPr>
      <w:r>
        <w:rPr>
          <w:b/>
          <w:bCs/>
          <w:color w:val="1B2A4A"/>
          <w:sz w:val="24"/>
          <w:szCs w:val="24"/>
        </w:rPr>
        <w:t xml:space="preserve">4.1 By Layer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0"/>
      </w:tblGrid>
      <w:tr>
        <w:trPr>
          <w:tblHeader/>
        </w:trPr>
        <w:tc>
          <w:tcPr>
            <w:tcW w:type="dxa" w:w="2000"/>
            <w:shd w:fill="1B2A4A" w:val="clear"/>
            <w:tcMar>
              <w:top w:type="dxa" w:w="100"/>
              <w:left w:type="dxa" w:w="120"/>
              <w:bottom w:type="dxa" w:w="100"/>
              <w:right w:type="dxa" w:w="120"/>
            </w:tcMar>
          </w:tcPr>
          <w:p>
            <w:r>
              <w:rPr>
                <w:b/>
                <w:bCs/>
                <w:color w:val="FFFFFF"/>
                <w:sz w:val="20"/>
                <w:szCs w:val="20"/>
              </w:rPr>
              <w:t xml:space="preserve">Layer</w:t>
            </w:r>
          </w:p>
        </w:tc>
        <w:tc>
          <w:tcPr>
            <w:tcW w:type="dxa" w:w="2000"/>
            <w:shd w:fill="1B2A4A" w:val="clear"/>
            <w:tcMar>
              <w:top w:type="dxa" w:w="100"/>
              <w:left w:type="dxa" w:w="120"/>
              <w:bottom w:type="dxa" w:w="100"/>
              <w:right w:type="dxa" w:w="120"/>
            </w:tcMar>
          </w:tcPr>
          <w:p>
            <w:r>
              <w:rPr>
                <w:b/>
                <w:bCs/>
                <w:color w:val="FFFFFF"/>
                <w:sz w:val="20"/>
                <w:szCs w:val="20"/>
              </w:rPr>
              <w:t xml:space="preserve">Technology</w:t>
            </w:r>
          </w:p>
        </w:tc>
        <w:tc>
          <w:tcPr>
            <w:tcW w:type="dxa" w:w="2000"/>
            <w:shd w:fill="1B2A4A" w:val="clear"/>
            <w:tcMar>
              <w:top w:type="dxa" w:w="100"/>
              <w:left w:type="dxa" w:w="120"/>
              <w:bottom w:type="dxa" w:w="100"/>
              <w:right w:type="dxa" w:w="120"/>
            </w:tcMar>
          </w:tcPr>
          <w:p>
            <w:r>
              <w:rPr>
                <w:b/>
                <w:bCs/>
                <w:color w:val="FFFFFF"/>
                <w:sz w:val="20"/>
                <w:szCs w:val="20"/>
              </w:rPr>
              <w:t xml:space="preserve">Why</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Mobile app</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React Native + Expo, JavaScript</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One codebase for Android/iOS, fast offline support</w:t>
            </w:r>
          </w:p>
        </w:tc>
      </w:tr>
      <w:tr>
        <w:tc>
          <w:tcPr>
            <w:tcW w:type="dxa" w:w="2000"/>
            <w:tcMar>
              <w:top w:type="dxa" w:w="100"/>
              <w:left w:type="dxa" w:w="120"/>
              <w:bottom w:type="dxa" w:w="100"/>
              <w:right w:type="dxa" w:w="120"/>
            </w:tcMar>
          </w:tcPr>
          <w:p>
            <w:r>
              <w:rPr>
                <w:b w:val="false"/>
                <w:bCs w:val="false"/>
                <w:color w:val="2C3E50"/>
                <w:sz w:val="20"/>
                <w:szCs w:val="20"/>
              </w:rPr>
              <w:t xml:space="preserve">Offline storage</w:t>
            </w:r>
          </w:p>
        </w:tc>
        <w:tc>
          <w:tcPr>
            <w:tcW w:type="dxa" w:w="2000"/>
            <w:tcMar>
              <w:top w:type="dxa" w:w="100"/>
              <w:left w:type="dxa" w:w="120"/>
              <w:bottom w:type="dxa" w:w="100"/>
              <w:right w:type="dxa" w:w="120"/>
            </w:tcMar>
          </w:tcPr>
          <w:p>
            <w:r>
              <w:rPr>
                <w:b w:val="false"/>
                <w:bCs w:val="false"/>
                <w:color w:val="2C3E50"/>
                <w:sz w:val="20"/>
                <w:szCs w:val="20"/>
              </w:rPr>
              <w:t xml:space="preserve">SQLite via expo-sqlite</w:t>
            </w:r>
          </w:p>
        </w:tc>
        <w:tc>
          <w:tcPr>
            <w:tcW w:type="dxa" w:w="2000"/>
            <w:tcMar>
              <w:top w:type="dxa" w:w="100"/>
              <w:left w:type="dxa" w:w="120"/>
              <w:bottom w:type="dxa" w:w="100"/>
              <w:right w:type="dxa" w:w="120"/>
            </w:tcMar>
          </w:tcPr>
          <w:p>
            <w:r>
              <w:rPr>
                <w:b w:val="false"/>
                <w:bCs w:val="false"/>
                <w:color w:val="2C3E50"/>
                <w:sz w:val="20"/>
                <w:szCs w:val="20"/>
              </w:rPr>
              <w:t xml:space="preserve">Local queue, survives restart, idempotent sync</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Web dashboard</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React 18 + Vite + Tailwind CSS</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Fast dev loop, small bundle, consistent design tokens</w:t>
            </w:r>
          </w:p>
        </w:tc>
      </w:tr>
      <w:tr>
        <w:tc>
          <w:tcPr>
            <w:tcW w:type="dxa" w:w="2000"/>
            <w:tcMar>
              <w:top w:type="dxa" w:w="100"/>
              <w:left w:type="dxa" w:w="120"/>
              <w:bottom w:type="dxa" w:w="100"/>
              <w:right w:type="dxa" w:w="120"/>
            </w:tcMar>
          </w:tcPr>
          <w:p>
            <w:r>
              <w:rPr>
                <w:b w:val="false"/>
                <w:bCs w:val="false"/>
                <w:color w:val="2C3E50"/>
                <w:sz w:val="20"/>
                <w:szCs w:val="20"/>
              </w:rPr>
              <w:t xml:space="preserve">Maps</w:t>
            </w:r>
          </w:p>
        </w:tc>
        <w:tc>
          <w:tcPr>
            <w:tcW w:type="dxa" w:w="2000"/>
            <w:tcMar>
              <w:top w:type="dxa" w:w="100"/>
              <w:left w:type="dxa" w:w="120"/>
              <w:bottom w:type="dxa" w:w="100"/>
              <w:right w:type="dxa" w:w="120"/>
            </w:tcMar>
          </w:tcPr>
          <w:p>
            <w:r>
              <w:rPr>
                <w:b w:val="false"/>
                <w:bCs w:val="false"/>
                <w:color w:val="2C3E50"/>
                <w:sz w:val="20"/>
                <w:szCs w:val="20"/>
              </w:rPr>
              <w:t xml:space="preserve">Leaflet.js / react-leaflet</w:t>
            </w:r>
          </w:p>
        </w:tc>
        <w:tc>
          <w:tcPr>
            <w:tcW w:type="dxa" w:w="2000"/>
            <w:tcMar>
              <w:top w:type="dxa" w:w="100"/>
              <w:left w:type="dxa" w:w="120"/>
              <w:bottom w:type="dxa" w:w="100"/>
              <w:right w:type="dxa" w:w="120"/>
            </w:tcMar>
          </w:tcPr>
          <w:p>
            <w:r>
              <w:rPr>
                <w:b w:val="false"/>
                <w:bCs w:val="false"/>
                <w:color w:val="2C3E50"/>
                <w:sz w:val="20"/>
                <w:szCs w:val="20"/>
              </w:rPr>
              <w:t xml:space="preserve">Lightweight, no API key required for the demo</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Backend API</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Node.js + Express.js</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Simple REST surface, huge ecosystem, fast to build on</w:t>
            </w:r>
          </w:p>
        </w:tc>
      </w:tr>
      <w:tr>
        <w:tc>
          <w:tcPr>
            <w:tcW w:type="dxa" w:w="2000"/>
            <w:tcMar>
              <w:top w:type="dxa" w:w="100"/>
              <w:left w:type="dxa" w:w="120"/>
              <w:bottom w:type="dxa" w:w="100"/>
              <w:right w:type="dxa" w:w="120"/>
            </w:tcMar>
          </w:tcPr>
          <w:p>
            <w:r>
              <w:rPr>
                <w:b w:val="false"/>
                <w:bCs w:val="false"/>
                <w:color w:val="2C3E50"/>
                <w:sz w:val="20"/>
                <w:szCs w:val="20"/>
              </w:rPr>
              <w:t xml:space="preserve">Real-time</w:t>
            </w:r>
          </w:p>
        </w:tc>
        <w:tc>
          <w:tcPr>
            <w:tcW w:type="dxa" w:w="2000"/>
            <w:tcMar>
              <w:top w:type="dxa" w:w="100"/>
              <w:left w:type="dxa" w:w="120"/>
              <w:bottom w:type="dxa" w:w="100"/>
              <w:right w:type="dxa" w:w="120"/>
            </w:tcMar>
          </w:tcPr>
          <w:p>
            <w:r>
              <w:rPr>
                <w:b w:val="false"/>
                <w:bCs w:val="false"/>
                <w:color w:val="2C3E50"/>
                <w:sz w:val="20"/>
                <w:szCs w:val="20"/>
              </w:rPr>
              <w:t xml:space="preserve">Socket.io</w:t>
            </w:r>
          </w:p>
        </w:tc>
        <w:tc>
          <w:tcPr>
            <w:tcW w:type="dxa" w:w="2000"/>
            <w:tcMar>
              <w:top w:type="dxa" w:w="100"/>
              <w:left w:type="dxa" w:w="120"/>
              <w:bottom w:type="dxa" w:w="100"/>
              <w:right w:type="dxa" w:w="120"/>
            </w:tcMar>
          </w:tcPr>
          <w:p>
            <w:r>
              <w:rPr>
                <w:b w:val="false"/>
                <w:bCs w:val="false"/>
                <w:color w:val="2C3E50"/>
                <w:sz w:val="20"/>
                <w:szCs w:val="20"/>
              </w:rPr>
              <w:t xml:space="preserve">Live zone, verification-queue, and SOS updates with zero polling</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Database</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PostgreSQL + PostGIS</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One database for everything — structured data AND spatial queries (ST_DWithin, ST_Distance)</w:t>
            </w:r>
          </w:p>
        </w:tc>
      </w:tr>
      <w:tr>
        <w:tc>
          <w:tcPr>
            <w:tcW w:type="dxa" w:w="2000"/>
            <w:tcMar>
              <w:top w:type="dxa" w:w="100"/>
              <w:left w:type="dxa" w:w="120"/>
              <w:bottom w:type="dxa" w:w="100"/>
              <w:right w:type="dxa" w:w="120"/>
            </w:tcMar>
          </w:tcPr>
          <w:p>
            <w:r>
              <w:rPr>
                <w:b w:val="false"/>
                <w:bCs w:val="false"/>
                <w:color w:val="2C3E50"/>
                <w:sz w:val="20"/>
                <w:szCs w:val="20"/>
              </w:rPr>
              <w:t xml:space="preserve">ORM</w:t>
            </w:r>
          </w:p>
        </w:tc>
        <w:tc>
          <w:tcPr>
            <w:tcW w:type="dxa" w:w="2000"/>
            <w:tcMar>
              <w:top w:type="dxa" w:w="100"/>
              <w:left w:type="dxa" w:w="120"/>
              <w:bottom w:type="dxa" w:w="100"/>
              <w:right w:type="dxa" w:w="120"/>
            </w:tcMar>
          </w:tcPr>
          <w:p>
            <w:r>
              <w:rPr>
                <w:b w:val="false"/>
                <w:bCs w:val="false"/>
                <w:color w:val="2C3E50"/>
                <w:sz w:val="20"/>
                <w:szCs w:val="20"/>
              </w:rPr>
              <w:t xml:space="preserve">Sequelize</w:t>
            </w:r>
          </w:p>
        </w:tc>
        <w:tc>
          <w:tcPr>
            <w:tcW w:type="dxa" w:w="2000"/>
            <w:tcMar>
              <w:top w:type="dxa" w:w="100"/>
              <w:left w:type="dxa" w:w="120"/>
              <w:bottom w:type="dxa" w:w="100"/>
              <w:right w:type="dxa" w:w="120"/>
            </w:tcMar>
          </w:tcPr>
          <w:p>
            <w:r>
              <w:rPr>
                <w:b w:val="false"/>
                <w:bCs w:val="false"/>
                <w:color w:val="2C3E50"/>
                <w:sz w:val="20"/>
                <w:szCs w:val="20"/>
              </w:rPr>
              <w:t xml:space="preserve">Typed models, migrations-by-sync for hackathon speed</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Auth</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JWT + phone OTP (Twilio/Exotel-ready, dev fallback built in)</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Passwordless for citizens, standard tokens for officers</w:t>
            </w:r>
          </w:p>
        </w:tc>
      </w:tr>
      <w:tr>
        <w:tc>
          <w:tcPr>
            <w:tcW w:type="dxa" w:w="2000"/>
            <w:tcMar>
              <w:top w:type="dxa" w:w="100"/>
              <w:left w:type="dxa" w:w="120"/>
              <w:bottom w:type="dxa" w:w="100"/>
              <w:right w:type="dxa" w:w="120"/>
            </w:tcMar>
          </w:tcPr>
          <w:p>
            <w:r>
              <w:rPr>
                <w:b w:val="false"/>
                <w:bCs w:val="false"/>
                <w:color w:val="2C3E50"/>
                <w:sz w:val="20"/>
                <w:szCs w:val="20"/>
              </w:rPr>
              <w:t xml:space="preserve">Media</w:t>
            </w:r>
          </w:p>
        </w:tc>
        <w:tc>
          <w:tcPr>
            <w:tcW w:type="dxa" w:w="2000"/>
            <w:tcMar>
              <w:top w:type="dxa" w:w="100"/>
              <w:left w:type="dxa" w:w="120"/>
              <w:bottom w:type="dxa" w:w="100"/>
              <w:right w:type="dxa" w:w="120"/>
            </w:tcMar>
          </w:tcPr>
          <w:p>
            <w:r>
              <w:rPr>
                <w:b w:val="false"/>
                <w:bCs w:val="false"/>
                <w:color w:val="2C3E50"/>
                <w:sz w:val="20"/>
                <w:szCs w:val="20"/>
              </w:rPr>
              <w:t xml:space="preserve">Multer + Cloudinary/S3-ready</w:t>
            </w:r>
          </w:p>
        </w:tc>
        <w:tc>
          <w:tcPr>
            <w:tcW w:type="dxa" w:w="2000"/>
            <w:tcMar>
              <w:top w:type="dxa" w:w="100"/>
              <w:left w:type="dxa" w:w="120"/>
              <w:bottom w:type="dxa" w:w="100"/>
              <w:right w:type="dxa" w:w="120"/>
            </w:tcMar>
          </w:tcPr>
          <w:p>
            <w:r>
              <w:rPr>
                <w:b w:val="false"/>
                <w:bCs w:val="false"/>
                <w:color w:val="2C3E50"/>
                <w:sz w:val="20"/>
                <w:szCs w:val="20"/>
              </w:rPr>
              <w:t xml:space="preserve">Photo/video evidence on reports and surveys</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Testing</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Jest + Supertest — 61 passing tests</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Engine logic and API-level integration coverage</w:t>
            </w:r>
          </w:p>
        </w:tc>
      </w:tr>
      <w:tr>
        <w:tc>
          <w:tcPr>
            <w:tcW w:type="dxa" w:w="2000"/>
            <w:tcMar>
              <w:top w:type="dxa" w:w="100"/>
              <w:left w:type="dxa" w:w="120"/>
              <w:bottom w:type="dxa" w:w="100"/>
              <w:right w:type="dxa" w:w="120"/>
            </w:tcMar>
          </w:tcPr>
          <w:p>
            <w:r>
              <w:rPr>
                <w:b w:val="false"/>
                <w:bCs w:val="false"/>
                <w:color w:val="2C3E50"/>
                <w:sz w:val="20"/>
                <w:szCs w:val="20"/>
              </w:rPr>
              <w:t xml:space="preserve">Hosting (no Docker)</w:t>
            </w:r>
          </w:p>
        </w:tc>
        <w:tc>
          <w:tcPr>
            <w:tcW w:type="dxa" w:w="2000"/>
            <w:tcMar>
              <w:top w:type="dxa" w:w="100"/>
              <w:left w:type="dxa" w:w="120"/>
              <w:bottom w:type="dxa" w:w="100"/>
              <w:right w:type="dxa" w:w="120"/>
            </w:tcMar>
          </w:tcPr>
          <w:p>
            <w:r>
              <w:rPr>
                <w:b w:val="false"/>
                <w:bCs w:val="false"/>
                <w:color w:val="2C3E50"/>
                <w:sz w:val="20"/>
                <w:szCs w:val="20"/>
              </w:rPr>
              <w:t xml:space="preserve">Render/Railway (API) · Vercel/Netlify (web) · Neon/Supabase (Postgres+PostGIS) · Expo EAS (mobile APK)</w:t>
            </w:r>
          </w:p>
        </w:tc>
        <w:tc>
          <w:tcPr>
            <w:tcW w:type="dxa" w:w="2000"/>
            <w:tcMar>
              <w:top w:type="dxa" w:w="100"/>
              <w:left w:type="dxa" w:w="120"/>
              <w:bottom w:type="dxa" w:w="100"/>
              <w:right w:type="dxa" w:w="120"/>
            </w:tcMar>
          </w:tcPr>
          <w:p>
            <w:r>
              <w:rPr>
                <w:b w:val="false"/>
                <w:bCs w:val="false"/>
                <w:color w:val="2C3E50"/>
                <w:sz w:val="20"/>
                <w:szCs w:val="20"/>
              </w:rPr>
              <w:t xml:space="preserve">Auto-deploys on every push to main, zero container ops</w:t>
            </w:r>
          </w:p>
        </w:tc>
      </w:tr>
    </w:tbl>
    <w:p>
      <w:pPr>
        <w:pStyle w:val="Heading2"/>
        <w:spacing w:after="120" w:before="300"/>
      </w:pPr>
      <w:r>
        <w:rPr>
          <w:b/>
          <w:bCs/>
          <w:color w:val="1B2A4A"/>
          <w:sz w:val="24"/>
          <w:szCs w:val="24"/>
        </w:rPr>
        <w:t xml:space="preserve">4.2 Repository Layout</w:t>
      </w:r>
    </w:p>
    <w:p>
      <w:pPr>
        <w:pStyle w:val="ListParagraph"/>
        <w:numPr>
          <w:ilvl w:val="0"/>
          <w:numId w:val="2"/>
        </w:numPr>
        <w:spacing w:after="90" w:line="280"/>
      </w:pPr>
      <w:r>
        <w:rPr>
          <w:color w:val="2C3E50"/>
          <w:sz w:val="22"/>
          <w:szCs w:val="22"/>
        </w:rPr>
        <w:t xml:space="preserve">/backend — Node/Express API, Socket.io, PostgreSQL+PostGIS, all engines</w:t>
      </w:r>
    </w:p>
    <w:p>
      <w:pPr>
        <w:pStyle w:val="ListParagraph"/>
        <w:numPr>
          <w:ilvl w:val="0"/>
          <w:numId w:val="2"/>
        </w:numPr>
        <w:spacing w:after="90" w:line="280"/>
      </w:pPr>
      <w:r>
        <w:rPr>
          <w:color w:val="2C3E50"/>
          <w:sz w:val="22"/>
          <w:szCs w:val="22"/>
        </w:rPr>
        <w:t xml:space="preserve">/web — React/Vite/Tailwind Command Center</w:t>
      </w:r>
    </w:p>
    <w:p>
      <w:pPr>
        <w:pStyle w:val="ListParagraph"/>
        <w:numPr>
          <w:ilvl w:val="0"/>
          <w:numId w:val="2"/>
        </w:numPr>
        <w:spacing w:after="90" w:line="280"/>
      </w:pPr>
      <w:r>
        <w:rPr>
          <w:color w:val="2C3E50"/>
          <w:sz w:val="22"/>
          <w:szCs w:val="22"/>
        </w:rPr>
        <w:t xml:space="preserve">/mobile — React Native (Expo) Citizen + Volunteer app</w:t>
      </w:r>
    </w:p>
    <w:p>
      <w:pPr>
        <w:pStyle w:val="ListParagraph"/>
        <w:numPr>
          <w:ilvl w:val="0"/>
          <w:numId w:val="2"/>
        </w:numPr>
        <w:spacing w:after="90" w:line="280"/>
      </w:pPr>
      <w:r>
        <w:rPr>
          <w:color w:val="2C3E50"/>
          <w:sz w:val="22"/>
          <w:szCs w:val="22"/>
        </w:rPr>
        <w:t xml:space="preserve">/shared — cross-cutting types, validation schemas, constants</w:t>
      </w:r>
    </w:p>
    <w:p>
      <w:pPr>
        <w:pStyle w:val="ListParagraph"/>
        <w:numPr>
          <w:ilvl w:val="0"/>
          <w:numId w:val="2"/>
        </w:numPr>
        <w:spacing w:after="90" w:line="280"/>
      </w:pPr>
      <w:r>
        <w:rPr>
          <w:color w:val="2C3E50"/>
          <w:sz w:val="22"/>
          <w:szCs w:val="22"/>
        </w:rPr>
        <w:t xml:space="preserve">/database — migrations and deterministic seed scripts</w:t>
      </w:r>
    </w:p>
    <w:p>
      <w:pPr>
        <w:pStyle w:val="ListParagraph"/>
        <w:numPr>
          <w:ilvl w:val="0"/>
          <w:numId w:val="2"/>
        </w:numPr>
        <w:spacing w:after="90" w:line="280"/>
      </w:pPr>
      <w:r>
        <w:rPr>
          <w:color w:val="2C3E50"/>
          <w:sz w:val="22"/>
          <w:szCs w:val="22"/>
        </w:rPr>
        <w:t xml:space="preserve">/docs — PRD, API reference, demo script</w:t>
      </w:r>
    </w:p>
    <w:p>
      <w:pPr>
        <w:pStyle w:val="ListParagraph"/>
        <w:numPr>
          <w:ilvl w:val="0"/>
          <w:numId w:val="2"/>
        </w:numPr>
        <w:spacing w:after="90" w:line="280"/>
      </w:pPr>
      <w:r>
        <w:rPr>
          <w:color w:val="2C3E50"/>
          <w:sz w:val="22"/>
          <w:szCs w:val="22"/>
        </w:rPr>
        <w:t xml:space="preserve">/tests — unit and integration test suites</w:t>
      </w:r>
    </w:p>
    <w:p>
      <w:r>
        <w:br w:type="page"/>
      </w:r>
    </w:p>
    <w:p>
      <w:pPr>
        <w:pStyle w:val="Heading1"/>
        <w:pBdr>
          <w:bottom w:val="single" w:color="1B2A4A" w:sz="6" w:space="4"/>
        </w:pBdr>
        <w:spacing w:after="200" w:before="400"/>
      </w:pPr>
      <w:r>
        <w:rPr>
          <w:b/>
          <w:bCs/>
          <w:color w:val="1B2A4A"/>
          <w:sz w:val="30"/>
          <w:szCs w:val="30"/>
        </w:rPr>
        <w:t xml:space="preserve">5. The Algorithms — Explainable by Design</w:t>
      </w:r>
    </w:p>
    <w:p>
      <w:pPr>
        <w:spacing w:after="160" w:line="300"/>
      </w:pPr>
      <w:r>
        <w:rPr>
          <w:b w:val="false"/>
          <w:bCs w:val="false"/>
          <w:i w:val="false"/>
          <w:iCs w:val="false"/>
          <w:color w:val="2C3E50"/>
          <w:sz w:val="22"/>
          <w:szCs w:val="22"/>
        </w:rPr>
        <w:t xml:space="preserve">Every score RakshaNet produces is deterministic, weighted, and stored with its full breakdown — an officer can always ask "why" and get a real answer. No black-box model; the interfaces are built so a real ML model can be swapped in later without touching the API contract.</w:t>
      </w:r>
    </w:p>
    <w:p>
      <w:pPr>
        <w:pStyle w:val="Heading2"/>
        <w:spacing w:after="120" w:before="300"/>
      </w:pPr>
      <w:r>
        <w:rPr>
          <w:b/>
          <w:bCs/>
          <w:color w:val="1B2A4A"/>
          <w:sz w:val="24"/>
          <w:szCs w:val="24"/>
        </w:rPr>
        <w:t xml:space="preserve">5.1 Habitation Vulnerability Index (HVI)</w:t>
      </w:r>
    </w:p>
    <w:p>
      <w:pPr>
        <w:spacing w:after="160" w:line="300"/>
      </w:pPr>
      <w:r>
        <w:rPr>
          <w:b w:val="false"/>
          <w:bCs w:val="false"/>
          <w:i w:val="false"/>
          <w:iCs w:val="false"/>
          <w:color w:val="2C3E50"/>
          <w:sz w:val="22"/>
          <w:szCs w:val="22"/>
        </w:rPr>
        <w:t xml:space="preserve">HVI = weighted sum of five 0–100 factors, clamped to 0–100, recomputed on demand and stored with a full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200"/>
      </w:tblGrid>
      <w:tr>
        <w:trPr>
          <w:tblHeader/>
        </w:trPr>
        <w:tc>
          <w:tcPr>
            <w:tcW w:type="dxa" w:w="2000"/>
            <w:shd w:fill="1B2A4A" w:val="clear"/>
            <w:tcMar>
              <w:top w:type="dxa" w:w="100"/>
              <w:left w:type="dxa" w:w="120"/>
              <w:bottom w:type="dxa" w:w="100"/>
              <w:right w:type="dxa" w:w="120"/>
            </w:tcMar>
          </w:tcPr>
          <w:p>
            <w:r>
              <w:rPr>
                <w:b/>
                <w:bCs/>
                <w:color w:val="FFFFFF"/>
                <w:sz w:val="20"/>
                <w:szCs w:val="20"/>
              </w:rPr>
              <w:t xml:space="preserve">Factor</w:t>
            </w:r>
          </w:p>
        </w:tc>
        <w:tc>
          <w:tcPr>
            <w:tcW w:type="dxa" w:w="2000"/>
            <w:shd w:fill="1B2A4A" w:val="clear"/>
            <w:tcMar>
              <w:top w:type="dxa" w:w="100"/>
              <w:left w:type="dxa" w:w="120"/>
              <w:bottom w:type="dxa" w:w="100"/>
              <w:right w:type="dxa" w:w="120"/>
            </w:tcMar>
          </w:tcPr>
          <w:p>
            <w:r>
              <w:rPr>
                <w:b/>
                <w:bCs/>
                <w:color w:val="FFFFFF"/>
                <w:sz w:val="20"/>
                <w:szCs w:val="20"/>
              </w:rPr>
              <w:t xml:space="preserve">Weight</w:t>
            </w:r>
          </w:p>
        </w:tc>
        <w:tc>
          <w:tcPr>
            <w:tcW w:type="dxa" w:w="2000"/>
            <w:shd w:fill="1B2A4A" w:val="clear"/>
            <w:tcMar>
              <w:top w:type="dxa" w:w="100"/>
              <w:left w:type="dxa" w:w="120"/>
              <w:bottom w:type="dxa" w:w="100"/>
              <w:right w:type="dxa" w:w="120"/>
            </w:tcMar>
          </w:tcPr>
          <w:p>
            <w:r>
              <w:rPr>
                <w:b/>
                <w:bCs/>
                <w:color w:val="FFFFFF"/>
                <w:sz w:val="20"/>
                <w:szCs w:val="20"/>
              </w:rPr>
              <w:t xml:space="preserve">What it measures</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Hazard exposure</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30%</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Severity + recency + density of verified nearby hazard reports</w:t>
            </w:r>
          </w:p>
        </w:tc>
      </w:tr>
      <w:tr>
        <w:tc>
          <w:tcPr>
            <w:tcW w:type="dxa" w:w="2000"/>
            <w:tcMar>
              <w:top w:type="dxa" w:w="100"/>
              <w:left w:type="dxa" w:w="120"/>
              <w:bottom w:type="dxa" w:w="100"/>
              <w:right w:type="dxa" w:w="120"/>
            </w:tcMar>
          </w:tcPr>
          <w:p>
            <w:r>
              <w:rPr>
                <w:b w:val="false"/>
                <w:bCs w:val="false"/>
                <w:color w:val="2C3E50"/>
                <w:sz w:val="20"/>
                <w:szCs w:val="20"/>
              </w:rPr>
              <w:t xml:space="preserve">Population vulnerability</w:t>
            </w:r>
          </w:p>
        </w:tc>
        <w:tc>
          <w:tcPr>
            <w:tcW w:type="dxa" w:w="2000"/>
            <w:tcMar>
              <w:top w:type="dxa" w:w="100"/>
              <w:left w:type="dxa" w:w="120"/>
              <w:bottom w:type="dxa" w:w="100"/>
              <w:right w:type="dxa" w:w="120"/>
            </w:tcMar>
          </w:tcPr>
          <w:p>
            <w:r>
              <w:rPr>
                <w:b w:val="false"/>
                <w:bCs w:val="false"/>
                <w:color w:val="2C3E50"/>
                <w:sz w:val="20"/>
                <w:szCs w:val="20"/>
              </w:rPr>
              <w:t xml:space="preserve">25%</w:t>
            </w:r>
          </w:p>
        </w:tc>
        <w:tc>
          <w:tcPr>
            <w:tcW w:type="dxa" w:w="2000"/>
            <w:tcMar>
              <w:top w:type="dxa" w:w="100"/>
              <w:left w:type="dxa" w:w="120"/>
              <w:bottom w:type="dxa" w:w="100"/>
              <w:right w:type="dxa" w:w="120"/>
            </w:tcMar>
          </w:tcPr>
          <w:p>
            <w:r>
              <w:rPr>
                <w:b w:val="false"/>
                <w:bCs w:val="false"/>
                <w:color w:val="2C3E50"/>
                <w:sz w:val="20"/>
                <w:szCs w:val="20"/>
              </w:rPr>
              <w:t xml:space="preserve">Vulnerable-group share (elderly/disabled/children) + population exposure</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Housing/structural</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20%</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Housing type (kutcha/semi-pucca/pucca) blended with the latest field survey</w:t>
            </w:r>
          </w:p>
        </w:tc>
      </w:tr>
      <w:tr>
        <w:tc>
          <w:tcPr>
            <w:tcW w:type="dxa" w:w="2000"/>
            <w:tcMar>
              <w:top w:type="dxa" w:w="100"/>
              <w:left w:type="dxa" w:w="120"/>
              <w:bottom w:type="dxa" w:w="100"/>
              <w:right w:type="dxa" w:w="120"/>
            </w:tcMar>
          </w:tcPr>
          <w:p>
            <w:r>
              <w:rPr>
                <w:b w:val="false"/>
                <w:bCs w:val="false"/>
                <w:color w:val="2C3E50"/>
                <w:sz w:val="20"/>
                <w:szCs w:val="20"/>
              </w:rPr>
              <w:t xml:space="preserve">Accessibility/infrastructure</w:t>
            </w:r>
          </w:p>
        </w:tc>
        <w:tc>
          <w:tcPr>
            <w:tcW w:type="dxa" w:w="2000"/>
            <w:tcMar>
              <w:top w:type="dxa" w:w="100"/>
              <w:left w:type="dxa" w:w="120"/>
              <w:bottom w:type="dxa" w:w="100"/>
              <w:right w:type="dxa" w:w="120"/>
            </w:tcMar>
          </w:tcPr>
          <w:p>
            <w:r>
              <w:rPr>
                <w:b w:val="false"/>
                <w:bCs w:val="false"/>
                <w:color w:val="2C3E50"/>
                <w:sz w:val="20"/>
                <w:szCs w:val="20"/>
              </w:rPr>
              <w:t xml:space="preserve">15%</w:t>
            </w:r>
          </w:p>
        </w:tc>
        <w:tc>
          <w:tcPr>
            <w:tcW w:type="dxa" w:w="2000"/>
            <w:tcMar>
              <w:top w:type="dxa" w:w="100"/>
              <w:left w:type="dxa" w:w="120"/>
              <w:bottom w:type="dxa" w:w="100"/>
              <w:right w:type="dxa" w:w="120"/>
            </w:tcMar>
          </w:tcPr>
          <w:p>
            <w:r>
              <w:rPr>
                <w:b w:val="false"/>
                <w:bCs w:val="false"/>
                <w:color w:val="2C3E50"/>
                <w:sz w:val="20"/>
                <w:szCs w:val="20"/>
              </w:rPr>
              <w:t xml:space="preserve">Road access quality + distance to nearest road</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Historical/environmental</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10%</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Count of past incidents at this habitation, log-scaled</w:t>
            </w:r>
          </w:p>
        </w:tc>
      </w:tr>
    </w:tbl>
    <w:p>
      <w:pPr>
        <w:spacing w:after="160" w:line="300"/>
      </w:pPr>
      <w:r>
        <w:rPr>
          <w:b w:val="false"/>
          <w:bCs w:val="false"/>
          <w:i w:val="false"/>
          <w:iCs w:val="false"/>
          <w:color w:val="2C3E50"/>
          <w:sz w:val="22"/>
          <w:szCs w:val="22"/>
        </w:rPr>
        <w:t xml:space="preserve"> </w:t>
      </w:r>
    </w:p>
    <w:p>
      <w:pPr>
        <w:spacing w:after="160" w:line="300"/>
      </w:pPr>
      <w:r>
        <w:rPr>
          <w:b w:val="false"/>
          <w:bCs w:val="false"/>
          <w:i w:val="false"/>
          <w:iCs w:val="false"/>
          <w:color w:val="2C3E50"/>
          <w:sz w:val="22"/>
          <w:szCs w:val="22"/>
        </w:rPr>
        <w:t xml:space="preserve">Zone thresholds (configurable): 0–39 Green · 40–59 Yellow · 60–79 Orange · 80–100 Red.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shd w:fill="229954" w:val="clear"/>
            <w:tcMar>
              <w:top w:type="dxa" w:w="100"/>
              <w:left w:type="dxa" w:w="120"/>
              <w:bottom w:type="dxa" w:w="100"/>
              <w:right w:type="dxa" w:w="120"/>
            </w:tcMar>
          </w:tcPr>
          <w:p>
            <w:pPr>
              <w:jc w:val="center"/>
            </w:pPr>
            <w:r>
              <w:rPr>
                <w:b/>
                <w:bCs/>
                <w:color w:val="FFFFFF"/>
                <w:sz w:val="20"/>
                <w:szCs w:val="20"/>
              </w:rPr>
              <w:t xml:space="preserve">GREEN 0–39</w:t>
            </w:r>
          </w:p>
        </w:tc>
        <w:tc>
          <w:tcPr>
            <w:tcW w:type="dxa" w:w="1800"/>
            <w:shd w:fill="D4AC0D" w:val="clear"/>
            <w:tcMar>
              <w:top w:type="dxa" w:w="100"/>
              <w:left w:type="dxa" w:w="120"/>
              <w:bottom w:type="dxa" w:w="100"/>
              <w:right w:type="dxa" w:w="120"/>
            </w:tcMar>
          </w:tcPr>
          <w:p>
            <w:pPr>
              <w:jc w:val="center"/>
            </w:pPr>
            <w:r>
              <w:rPr>
                <w:b/>
                <w:bCs/>
                <w:color w:val="FFFFFF"/>
                <w:sz w:val="20"/>
                <w:szCs w:val="20"/>
              </w:rPr>
              <w:t xml:space="preserve">YELLOW 40–59</w:t>
            </w:r>
          </w:p>
        </w:tc>
        <w:tc>
          <w:tcPr>
            <w:tcW w:type="dxa" w:w="1800"/>
            <w:shd w:fill="E67E22" w:val="clear"/>
            <w:tcMar>
              <w:top w:type="dxa" w:w="100"/>
              <w:left w:type="dxa" w:w="120"/>
              <w:bottom w:type="dxa" w:w="100"/>
              <w:right w:type="dxa" w:w="120"/>
            </w:tcMar>
          </w:tcPr>
          <w:p>
            <w:pPr>
              <w:jc w:val="center"/>
            </w:pPr>
            <w:r>
              <w:rPr>
                <w:b/>
                <w:bCs/>
                <w:color w:val="FFFFFF"/>
                <w:sz w:val="20"/>
                <w:szCs w:val="20"/>
              </w:rPr>
              <w:t xml:space="preserve">ORANGE 60–79</w:t>
            </w:r>
          </w:p>
        </w:tc>
        <w:tc>
          <w:tcPr>
            <w:tcW w:type="dxa" w:w="1800"/>
            <w:shd w:fill="C0392B" w:val="clear"/>
            <w:tcMar>
              <w:top w:type="dxa" w:w="100"/>
              <w:left w:type="dxa" w:w="120"/>
              <w:bottom w:type="dxa" w:w="100"/>
              <w:right w:type="dxa" w:w="120"/>
            </w:tcMar>
          </w:tcPr>
          <w:p>
            <w:pPr>
              <w:jc w:val="center"/>
            </w:pPr>
            <w:r>
              <w:rPr>
                <w:b/>
                <w:bCs/>
                <w:color w:val="FFFFFF"/>
                <w:sz w:val="20"/>
                <w:szCs w:val="20"/>
              </w:rPr>
              <w:t xml:space="preserve">RED 80–100</w:t>
            </w:r>
          </w:p>
        </w:tc>
      </w:tr>
    </w:tbl>
    <w:p>
      <w:pPr>
        <w:pStyle w:val="Heading2"/>
        <w:spacing w:after="120" w:before="300"/>
      </w:pPr>
      <w:r>
        <w:rPr>
          <w:b/>
          <w:bCs/>
          <w:color w:val="1B2A4A"/>
          <w:sz w:val="24"/>
          <w:szCs w:val="24"/>
        </w:rPr>
        <w:t xml:space="preserve">5.2 Safe-Site Matching Score</w:t>
      </w:r>
    </w:p>
    <w:p>
      <w:pPr>
        <w:spacing w:after="160" w:line="300"/>
      </w:pPr>
      <w:r>
        <w:rPr>
          <w:b w:val="false"/>
          <w:bCs w:val="false"/>
          <w:i w:val="false"/>
          <w:iCs w:val="false"/>
          <w:color w:val="2C3E50"/>
          <w:sz w:val="22"/>
          <w:szCs w:val="22"/>
        </w:rPr>
        <w:t xml:space="preserve">Every candidate site is scored 0–100 on six weighted components; sites below a hard safety threshold are excluded outright, never merely down-ranked: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200"/>
      </w:tblGrid>
      <w:tr>
        <w:trPr>
          <w:tblHeader/>
        </w:trPr>
        <w:tc>
          <w:tcPr>
            <w:tcW w:type="dxa" w:w="2000"/>
            <w:shd w:fill="1B2A4A" w:val="clear"/>
            <w:tcMar>
              <w:top w:type="dxa" w:w="100"/>
              <w:left w:type="dxa" w:w="120"/>
              <w:bottom w:type="dxa" w:w="100"/>
              <w:right w:type="dxa" w:w="120"/>
            </w:tcMar>
          </w:tcPr>
          <w:p>
            <w:r>
              <w:rPr>
                <w:b/>
                <w:bCs/>
                <w:color w:val="FFFFFF"/>
                <w:sz w:val="20"/>
                <w:szCs w:val="20"/>
              </w:rPr>
              <w:t xml:space="preserve">Component</w:t>
            </w:r>
          </w:p>
        </w:tc>
        <w:tc>
          <w:tcPr>
            <w:tcW w:type="dxa" w:w="2000"/>
            <w:shd w:fill="1B2A4A" w:val="clear"/>
            <w:tcMar>
              <w:top w:type="dxa" w:w="100"/>
              <w:left w:type="dxa" w:w="120"/>
              <w:bottom w:type="dxa" w:w="100"/>
              <w:right w:type="dxa" w:w="120"/>
            </w:tcMar>
          </w:tcPr>
          <w:p>
            <w:r>
              <w:rPr>
                <w:b/>
                <w:bCs/>
                <w:color w:val="FFFFFF"/>
                <w:sz w:val="20"/>
                <w:szCs w:val="20"/>
              </w:rPr>
              <w:t xml:space="preserve">Weight</w:t>
            </w:r>
          </w:p>
        </w:tc>
        <w:tc>
          <w:tcPr>
            <w:tcW w:type="dxa" w:w="2000"/>
            <w:shd w:fill="1B2A4A" w:val="clear"/>
            <w:tcMar>
              <w:top w:type="dxa" w:w="100"/>
              <w:left w:type="dxa" w:w="120"/>
              <w:bottom w:type="dxa" w:w="100"/>
              <w:right w:type="dxa" w:w="120"/>
            </w:tcMar>
          </w:tcPr>
          <w:p>
            <w:r>
              <w:rPr>
                <w:b/>
                <w:bCs/>
                <w:color w:val="FFFFFF"/>
                <w:sz w:val="20"/>
                <w:szCs w:val="20"/>
              </w:rPr>
              <w:t xml:space="preserve">What it measures</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Safety</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30%</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Site safety rating — sites below 40/100 are excluded entirely</w:t>
            </w:r>
          </w:p>
        </w:tc>
      </w:tr>
      <w:tr>
        <w:tc>
          <w:tcPr>
            <w:tcW w:type="dxa" w:w="2000"/>
            <w:tcMar>
              <w:top w:type="dxa" w:w="100"/>
              <w:left w:type="dxa" w:w="120"/>
              <w:bottom w:type="dxa" w:w="100"/>
              <w:right w:type="dxa" w:w="120"/>
            </w:tcMar>
          </w:tcPr>
          <w:p>
            <w:r>
              <w:rPr>
                <w:b w:val="false"/>
                <w:bCs w:val="false"/>
                <w:color w:val="2C3E50"/>
                <w:sz w:val="20"/>
                <w:szCs w:val="20"/>
              </w:rPr>
              <w:t xml:space="preserve">Capacity fit</w:t>
            </w:r>
          </w:p>
        </w:tc>
        <w:tc>
          <w:tcPr>
            <w:tcW w:type="dxa" w:w="2000"/>
            <w:tcMar>
              <w:top w:type="dxa" w:w="100"/>
              <w:left w:type="dxa" w:w="120"/>
              <w:bottom w:type="dxa" w:w="100"/>
              <w:right w:type="dxa" w:w="120"/>
            </w:tcMar>
          </w:tcPr>
          <w:p>
            <w:r>
              <w:rPr>
                <w:b w:val="false"/>
                <w:bCs w:val="false"/>
                <w:color w:val="2C3E50"/>
                <w:sz w:val="20"/>
                <w:szCs w:val="20"/>
              </w:rPr>
              <w:t xml:space="preserve">25%</w:t>
            </w:r>
          </w:p>
        </w:tc>
        <w:tc>
          <w:tcPr>
            <w:tcW w:type="dxa" w:w="2000"/>
            <w:tcMar>
              <w:top w:type="dxa" w:w="100"/>
              <w:left w:type="dxa" w:w="120"/>
              <w:bottom w:type="dxa" w:w="100"/>
              <w:right w:type="dxa" w:w="120"/>
            </w:tcMar>
          </w:tcPr>
          <w:p>
            <w:r>
              <w:rPr>
                <w:b w:val="false"/>
                <w:bCs w:val="false"/>
                <w:color w:val="2C3E50"/>
                <w:sz w:val="20"/>
                <w:szCs w:val="20"/>
              </w:rPr>
              <w:t xml:space="preserve">Available capacity vs. the population that needs to move</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Accessibility</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15%</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Road/infrastructure quality at the site</w:t>
            </w:r>
          </w:p>
        </w:tc>
      </w:tr>
      <w:tr>
        <w:tc>
          <w:tcPr>
            <w:tcW w:type="dxa" w:w="2000"/>
            <w:tcMar>
              <w:top w:type="dxa" w:w="100"/>
              <w:left w:type="dxa" w:w="120"/>
              <w:bottom w:type="dxa" w:w="100"/>
              <w:right w:type="dxa" w:w="120"/>
            </w:tcMar>
          </w:tcPr>
          <w:p>
            <w:r>
              <w:rPr>
                <w:b w:val="false"/>
                <w:bCs w:val="false"/>
                <w:color w:val="2C3E50"/>
                <w:sz w:val="20"/>
                <w:szCs w:val="20"/>
              </w:rPr>
              <w:t xml:space="preserve">Distance</w:t>
            </w:r>
          </w:p>
        </w:tc>
        <w:tc>
          <w:tcPr>
            <w:tcW w:type="dxa" w:w="2000"/>
            <w:tcMar>
              <w:top w:type="dxa" w:w="100"/>
              <w:left w:type="dxa" w:w="120"/>
              <w:bottom w:type="dxa" w:w="100"/>
              <w:right w:type="dxa" w:w="120"/>
            </w:tcMar>
          </w:tcPr>
          <w:p>
            <w:r>
              <w:rPr>
                <w:b w:val="false"/>
                <w:bCs w:val="false"/>
                <w:color w:val="2C3E50"/>
                <w:sz w:val="20"/>
                <w:szCs w:val="20"/>
              </w:rPr>
              <w:t xml:space="preserve">15%</w:t>
            </w:r>
          </w:p>
        </w:tc>
        <w:tc>
          <w:tcPr>
            <w:tcW w:type="dxa" w:w="2000"/>
            <w:tcMar>
              <w:top w:type="dxa" w:w="100"/>
              <w:left w:type="dxa" w:w="120"/>
              <w:bottom w:type="dxa" w:w="100"/>
              <w:right w:type="dxa" w:w="120"/>
            </w:tcMar>
          </w:tcPr>
          <w:p>
            <w:r>
              <w:rPr>
                <w:b w:val="false"/>
                <w:bCs w:val="false"/>
                <w:color w:val="2C3E50"/>
                <w:sz w:val="20"/>
                <w:szCs w:val="20"/>
              </w:rPr>
              <w:t xml:space="preserve">Straight-line proximity via PostGIS ST_Distance</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Resource sufficiency</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10%</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Average water/medical/sanitation/food sufficiency ratio</w:t>
            </w:r>
          </w:p>
        </w:tc>
      </w:tr>
      <w:tr>
        <w:tc>
          <w:tcPr>
            <w:tcW w:type="dxa" w:w="2000"/>
            <w:tcMar>
              <w:top w:type="dxa" w:w="100"/>
              <w:left w:type="dxa" w:w="120"/>
              <w:bottom w:type="dxa" w:w="100"/>
              <w:right w:type="dxa" w:w="120"/>
            </w:tcMar>
          </w:tcPr>
          <w:p>
            <w:r>
              <w:rPr>
                <w:b w:val="false"/>
                <w:bCs w:val="false"/>
                <w:color w:val="2C3E50"/>
                <w:sz w:val="20"/>
                <w:szCs w:val="20"/>
              </w:rPr>
              <w:t xml:space="preserve">Route reliability</w:t>
            </w:r>
          </w:p>
        </w:tc>
        <w:tc>
          <w:tcPr>
            <w:tcW w:type="dxa" w:w="2000"/>
            <w:tcMar>
              <w:top w:type="dxa" w:w="100"/>
              <w:left w:type="dxa" w:w="120"/>
              <w:bottom w:type="dxa" w:w="100"/>
              <w:right w:type="dxa" w:w="120"/>
            </w:tcMar>
          </w:tcPr>
          <w:p>
            <w:r>
              <w:rPr>
                <w:b w:val="false"/>
                <w:bCs w:val="false"/>
                <w:color w:val="2C3E50"/>
                <w:sz w:val="20"/>
                <w:szCs w:val="20"/>
              </w:rPr>
              <w:t xml:space="preserve">5%</w:t>
            </w:r>
          </w:p>
        </w:tc>
        <w:tc>
          <w:tcPr>
            <w:tcW w:type="dxa" w:w="2000"/>
            <w:tcMar>
              <w:top w:type="dxa" w:w="100"/>
              <w:left w:type="dxa" w:w="120"/>
              <w:bottom w:type="dxa" w:w="100"/>
              <w:right w:type="dxa" w:w="120"/>
            </w:tcMar>
          </w:tcPr>
          <w:p>
            <w:r>
              <w:rPr>
                <w:b w:val="false"/>
                <w:bCs w:val="false"/>
                <w:color w:val="2C3E50"/>
                <w:sz w:val="20"/>
                <w:szCs w:val="20"/>
              </w:rPr>
              <w:t xml:space="preserve">Clear / Congested / Blocked / Unknown road status</w:t>
            </w:r>
          </w:p>
        </w:tc>
      </w:tr>
    </w:tbl>
    <w:p>
      <w:pPr>
        <w:spacing w:after="160" w:line="300"/>
      </w:pPr>
      <w:r>
        <w:rPr>
          <w:b w:val="false"/>
          <w:bCs w:val="false"/>
          <w:i w:val="false"/>
          <w:iCs w:val="false"/>
          <w:color w:val="2C3E50"/>
          <w:sz w:val="22"/>
          <w:szCs w:val="22"/>
        </w:rPr>
        <w:t xml:space="preserve"> </w:t>
      </w:r>
    </w:p>
    <w:p>
      <w:pPr>
        <w:spacing w:after="160" w:line="300"/>
      </w:pPr>
      <w:r>
        <w:rPr>
          <w:b w:val="false"/>
          <w:bCs w:val="false"/>
          <w:i w:val="false"/>
          <w:iCs w:val="false"/>
          <w:color w:val="2C3E50"/>
          <w:sz w:val="22"/>
          <w:szCs w:val="22"/>
        </w:rPr>
        <w:t xml:space="preserve">If the top-ranked site cannot hold the full population, RakshaNet walks the ranked list and generates a split allocation, filling each site's available capacity until everyone is placed — and every allocation records its own match score and rationale.</w:t>
      </w:r>
    </w:p>
    <w:p>
      <w:pPr>
        <w:pStyle w:val="Heading2"/>
        <w:spacing w:after="120" w:before="300"/>
      </w:pPr>
      <w:r>
        <w:rPr>
          <w:b/>
          <w:bCs/>
          <w:color w:val="1B2A4A"/>
          <w:sz w:val="24"/>
          <w:szCs w:val="24"/>
        </w:rPr>
        <w:t xml:space="preserve">5.3 Carrying Capacity &amp; Resource Status</w:t>
      </w:r>
    </w:p>
    <w:p>
      <w:pPr>
        <w:spacing w:after="160" w:line="300"/>
      </w:pPr>
      <w:r>
        <w:rPr>
          <w:b w:val="false"/>
          <w:bCs w:val="false"/>
          <w:i w:val="false"/>
          <w:iCs w:val="false"/>
          <w:color w:val="2C3E50"/>
          <w:sz w:val="22"/>
          <w:szCs w:val="22"/>
        </w:rPr>
        <w:t xml:space="preserve">For each resource (water, medical beds, sanitation, food), "required" = the relevant population × a per-capita daily-need standard (loosely Sphere Humanitarian Standards, e.g. 15 litres of water per person per day). The ratio of stock to requirement sets the status:</w:t>
      </w:r>
    </w:p>
    <w:p>
      <w:pPr>
        <w:pStyle w:val="ListParagraph"/>
        <w:numPr>
          <w:ilvl w:val="0"/>
          <w:numId w:val="2"/>
        </w:numPr>
        <w:spacing w:after="90" w:line="280"/>
      </w:pPr>
      <w:r>
        <w:rPr>
          <w:color w:val="2C3E50"/>
          <w:sz w:val="22"/>
          <w:szCs w:val="22"/>
        </w:rPr>
        <w:t xml:space="preserve">Ratio &lt; 0.85  →  Critical</w:t>
      </w:r>
    </w:p>
    <w:p>
      <w:pPr>
        <w:pStyle w:val="ListParagraph"/>
        <w:numPr>
          <w:ilvl w:val="0"/>
          <w:numId w:val="2"/>
        </w:numPr>
        <w:spacing w:after="90" w:line="280"/>
      </w:pPr>
      <w:r>
        <w:rPr>
          <w:color w:val="2C3E50"/>
          <w:sz w:val="22"/>
          <w:szCs w:val="22"/>
        </w:rPr>
        <w:t xml:space="preserve">Ratio 0.85 – 1.15  →  Adequate</w:t>
      </w:r>
    </w:p>
    <w:p>
      <w:pPr>
        <w:pStyle w:val="ListParagraph"/>
        <w:numPr>
          <w:ilvl w:val="0"/>
          <w:numId w:val="2"/>
        </w:numPr>
        <w:spacing w:after="90" w:line="280"/>
      </w:pPr>
      <w:r>
        <w:rPr>
          <w:color w:val="2C3E50"/>
          <w:sz w:val="22"/>
          <w:szCs w:val="22"/>
        </w:rPr>
        <w:t xml:space="preserve">Ratio &gt; 1.15  →  Surplus</w:t>
      </w:r>
    </w:p>
    <w:p>
      <w:pPr>
        <w:pStyle w:val="Heading2"/>
        <w:spacing w:after="120" w:before="300"/>
      </w:pPr>
      <w:r>
        <w:rPr>
          <w:b/>
          <w:bCs/>
          <w:color w:val="1B2A4A"/>
          <w:sz w:val="24"/>
          <w:szCs w:val="24"/>
        </w:rPr>
        <w:t xml:space="preserve">5.4 Human-in-the-Loop, Always</w:t>
      </w:r>
    </w:p>
    <w:p>
      <w:pPr>
        <w:spacing w:after="160" w:line="300"/>
      </w:pPr>
      <w:r>
        <w:rPr>
          <w:b w:val="false"/>
          <w:bCs w:val="false"/>
          <w:i w:val="false"/>
          <w:iCs w:val="false"/>
          <w:color w:val="2C3E50"/>
          <w:sz w:val="22"/>
          <w:szCs w:val="22"/>
        </w:rPr>
        <w:t xml:space="preserve">A relocation plan can be Approved, Modified, or Rejected — never auto-executed. Modifying or rejecting requires a written reason. Before approval, a stress test re-checks whether the move would push any destination site into a resource crisis system-wide. Site occupancy only changes after explicit officer approval.</w:t>
      </w:r>
    </w:p>
    <w:p>
      <w:r>
        <w:br w:type="page"/>
      </w:r>
    </w:p>
    <w:p>
      <w:pPr>
        <w:pStyle w:val="Heading1"/>
        <w:pBdr>
          <w:bottom w:val="single" w:color="1B2A4A" w:sz="6" w:space="4"/>
        </w:pBdr>
        <w:spacing w:after="200" w:before="400"/>
      </w:pPr>
      <w:r>
        <w:rPr>
          <w:b/>
          <w:bCs/>
          <w:color w:val="1B2A4A"/>
          <w:sz w:val="30"/>
          <w:szCs w:val="30"/>
        </w:rPr>
        <w:t xml:space="preserve">6. Data Model Snapshot</w:t>
      </w:r>
    </w:p>
    <w:p>
      <w:pPr>
        <w:spacing w:after="160" w:line="300"/>
      </w:pPr>
      <w:r>
        <w:rPr>
          <w:b w:val="false"/>
          <w:bCs w:val="false"/>
          <w:i w:val="false"/>
          <w:iCs w:val="false"/>
          <w:color w:val="2C3E50"/>
          <w:sz w:val="22"/>
          <w:szCs w:val="22"/>
        </w:rPr>
        <w:t xml:space="preserve">16 tables, one PostgreSQL + PostGIS database. No second database — everything here is structured/relational, so a second document store would have added complexity without value.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000"/>
            <w:shd w:fill="1B2A4A" w:val="clear"/>
            <w:tcMar>
              <w:top w:type="dxa" w:w="100"/>
              <w:left w:type="dxa" w:w="120"/>
              <w:bottom w:type="dxa" w:w="100"/>
              <w:right w:type="dxa" w:w="120"/>
            </w:tcMar>
          </w:tcPr>
          <w:p>
            <w:r>
              <w:rPr>
                <w:b/>
                <w:bCs/>
                <w:color w:val="FFFFFF"/>
                <w:sz w:val="20"/>
                <w:szCs w:val="20"/>
              </w:rPr>
              <w:t xml:space="preserve">Table</w:t>
            </w:r>
          </w:p>
        </w:tc>
        <w:tc>
          <w:tcPr>
            <w:tcW w:type="dxa" w:w="2000"/>
            <w:shd w:fill="1B2A4A" w:val="clear"/>
            <w:tcMar>
              <w:top w:type="dxa" w:w="100"/>
              <w:left w:type="dxa" w:w="120"/>
              <w:bottom w:type="dxa" w:w="100"/>
              <w:right w:type="dxa" w:w="120"/>
            </w:tcMar>
          </w:tcPr>
          <w:p>
            <w:r>
              <w:rPr>
                <w:b/>
                <w:bCs/>
                <w:color w:val="FFFFFF"/>
                <w:sz w:val="20"/>
                <w:szCs w:val="20"/>
              </w:rPr>
              <w:t xml:space="preserve">Purpose</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users</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All five roles; phone or email identity; status/activation</w:t>
            </w:r>
          </w:p>
        </w:tc>
      </w:tr>
      <w:tr>
        <w:tc>
          <w:tcPr>
            <w:tcW w:type="dxa" w:w="2000"/>
            <w:tcMar>
              <w:top w:type="dxa" w:w="100"/>
              <w:left w:type="dxa" w:w="120"/>
              <w:bottom w:type="dxa" w:w="100"/>
              <w:right w:type="dxa" w:w="120"/>
            </w:tcMar>
          </w:tcPr>
          <w:p>
            <w:r>
              <w:rPr>
                <w:b w:val="false"/>
                <w:bCs w:val="false"/>
                <w:color w:val="2C3E50"/>
                <w:sz w:val="20"/>
                <w:szCs w:val="20"/>
              </w:rPr>
              <w:t xml:space="preserve">hazard_reports</w:t>
            </w:r>
          </w:p>
        </w:tc>
        <w:tc>
          <w:tcPr>
            <w:tcW w:type="dxa" w:w="2000"/>
            <w:tcMar>
              <w:top w:type="dxa" w:w="100"/>
              <w:left w:type="dxa" w:w="120"/>
              <w:bottom w:type="dxa" w:w="100"/>
              <w:right w:type="dxa" w:w="120"/>
            </w:tcMar>
          </w:tcPr>
          <w:p>
            <w:r>
              <w:rPr>
                <w:b w:val="false"/>
                <w:bCs w:val="false"/>
                <w:color w:val="2C3E50"/>
                <w:sz w:val="20"/>
                <w:szCs w:val="20"/>
              </w:rPr>
              <w:t xml:space="preserve">Citizen/volunteer reports; local_uuid for offline idempotency; source_channel (app/offline_app/sms/ivr)</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report_media</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Photo/video evidence linked to a report</w:t>
            </w:r>
          </w:p>
        </w:tc>
      </w:tr>
      <w:tr>
        <w:tc>
          <w:tcPr>
            <w:tcW w:type="dxa" w:w="2000"/>
            <w:tcMar>
              <w:top w:type="dxa" w:w="100"/>
              <w:left w:type="dxa" w:w="120"/>
              <w:bottom w:type="dxa" w:w="100"/>
              <w:right w:type="dxa" w:w="120"/>
            </w:tcMar>
          </w:tcPr>
          <w:p>
            <w:r>
              <w:rPr>
                <w:b w:val="false"/>
                <w:bCs w:val="false"/>
                <w:color w:val="2C3E50"/>
                <w:sz w:val="20"/>
                <w:szCs w:val="20"/>
              </w:rPr>
              <w:t xml:space="preserve">verifications</w:t>
            </w:r>
          </w:p>
        </w:tc>
        <w:tc>
          <w:tcPr>
            <w:tcW w:type="dxa" w:w="2000"/>
            <w:tcMar>
              <w:top w:type="dxa" w:w="100"/>
              <w:left w:type="dxa" w:w="120"/>
              <w:bottom w:type="dxa" w:w="100"/>
              <w:right w:type="dxa" w:w="120"/>
            </w:tcMar>
          </w:tcPr>
          <w:p>
            <w:r>
              <w:rPr>
                <w:b w:val="false"/>
                <w:bCs w:val="false"/>
                <w:color w:val="2C3E50"/>
                <w:sz w:val="20"/>
                <w:szCs w:val="20"/>
              </w:rPr>
              <w:t xml:space="preserve">Volunteer decisions on a report — Verified/Rejected/Needs Evidence/Duplicate</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surveys</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Structured field-vulnerability checklists, geotagged</w:t>
            </w:r>
          </w:p>
        </w:tc>
      </w:tr>
      <w:tr>
        <w:tc>
          <w:tcPr>
            <w:tcW w:type="dxa" w:w="2000"/>
            <w:tcMar>
              <w:top w:type="dxa" w:w="100"/>
              <w:left w:type="dxa" w:w="120"/>
              <w:bottom w:type="dxa" w:w="100"/>
              <w:right w:type="dxa" w:w="120"/>
            </w:tcMar>
          </w:tcPr>
          <w:p>
            <w:r>
              <w:rPr>
                <w:b w:val="false"/>
                <w:bCs w:val="false"/>
                <w:color w:val="2C3E50"/>
                <w:sz w:val="20"/>
                <w:szCs w:val="20"/>
              </w:rPr>
              <w:t xml:space="preserve">habitations</w:t>
            </w:r>
          </w:p>
        </w:tc>
        <w:tc>
          <w:tcPr>
            <w:tcW w:type="dxa" w:w="2000"/>
            <w:tcMar>
              <w:top w:type="dxa" w:w="100"/>
              <w:left w:type="dxa" w:w="120"/>
              <w:bottom w:type="dxa" w:w="100"/>
              <w:right w:type="dxa" w:w="120"/>
            </w:tcMar>
          </w:tcPr>
          <w:p>
            <w:r>
              <w:rPr>
                <w:b w:val="false"/>
                <w:bCs w:val="false"/>
                <w:color w:val="2C3E50"/>
                <w:sz w:val="20"/>
                <w:szCs w:val="20"/>
              </w:rPr>
              <w:t xml:space="preserve">Population, vulnerable population, housing/access inputs, PostGIS geometry</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risk_scores</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Full history of every HVI calculation with factor breakdown</w:t>
            </w:r>
          </w:p>
        </w:tc>
      </w:tr>
      <w:tr>
        <w:tc>
          <w:tcPr>
            <w:tcW w:type="dxa" w:w="2000"/>
            <w:tcMar>
              <w:top w:type="dxa" w:w="100"/>
              <w:left w:type="dxa" w:w="120"/>
              <w:bottom w:type="dxa" w:w="100"/>
              <w:right w:type="dxa" w:w="120"/>
            </w:tcMar>
          </w:tcPr>
          <w:p>
            <w:r>
              <w:rPr>
                <w:b w:val="false"/>
                <w:bCs w:val="false"/>
                <w:color w:val="2C3E50"/>
                <w:sz w:val="20"/>
                <w:szCs w:val="20"/>
              </w:rPr>
              <w:t xml:space="preserve">safe_sites</w:t>
            </w:r>
          </w:p>
        </w:tc>
        <w:tc>
          <w:tcPr>
            <w:tcW w:type="dxa" w:w="2000"/>
            <w:tcMar>
              <w:top w:type="dxa" w:w="100"/>
              <w:left w:type="dxa" w:w="120"/>
              <w:bottom w:type="dxa" w:w="100"/>
              <w:right w:type="dxa" w:w="120"/>
            </w:tcMar>
          </w:tcPr>
          <w:p>
            <w:r>
              <w:rPr>
                <w:b w:val="false"/>
                <w:bCs w:val="false"/>
                <w:color w:val="2C3E50"/>
                <w:sz w:val="20"/>
                <w:szCs w:val="20"/>
              </w:rPr>
              <w:t xml:space="preserve">Capacity, safety/accessibility ratings, PostGIS location</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site_resources</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Per-resource stock + daily-need standard per site</w:t>
            </w:r>
          </w:p>
        </w:tc>
      </w:tr>
      <w:tr>
        <w:tc>
          <w:tcPr>
            <w:tcW w:type="dxa" w:w="2000"/>
            <w:tcMar>
              <w:top w:type="dxa" w:w="100"/>
              <w:left w:type="dxa" w:w="120"/>
              <w:bottom w:type="dxa" w:w="100"/>
              <w:right w:type="dxa" w:w="120"/>
            </w:tcMar>
          </w:tcPr>
          <w:p>
            <w:r>
              <w:rPr>
                <w:b w:val="false"/>
                <w:bCs w:val="false"/>
                <w:color w:val="2C3E50"/>
                <w:sz w:val="20"/>
                <w:szCs w:val="20"/>
              </w:rPr>
              <w:t xml:space="preserve">relocation_plans</w:t>
            </w:r>
          </w:p>
        </w:tc>
        <w:tc>
          <w:tcPr>
            <w:tcW w:type="dxa" w:w="2000"/>
            <w:tcMar>
              <w:top w:type="dxa" w:w="100"/>
              <w:left w:type="dxa" w:w="120"/>
              <w:bottom w:type="dxa" w:w="100"/>
              <w:right w:type="dxa" w:w="120"/>
            </w:tcMar>
          </w:tcPr>
          <w:p>
            <w:r>
              <w:rPr>
                <w:b w:val="false"/>
                <w:bCs w:val="false"/>
                <w:color w:val="2C3E50"/>
                <w:sz w:val="20"/>
                <w:szCs w:val="20"/>
              </w:rPr>
              <w:t xml:space="preserve">Priority tier, HVI/zone snapshot, status, stress-test result</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relocation_allocations</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Habitation-to-site legs of a plan — the split-allocation rows</w:t>
            </w:r>
          </w:p>
        </w:tc>
      </w:tr>
      <w:tr>
        <w:tc>
          <w:tcPr>
            <w:tcW w:type="dxa" w:w="2000"/>
            <w:tcMar>
              <w:top w:type="dxa" w:w="100"/>
              <w:left w:type="dxa" w:w="120"/>
              <w:bottom w:type="dxa" w:w="100"/>
              <w:right w:type="dxa" w:w="120"/>
            </w:tcMar>
          </w:tcPr>
          <w:p>
            <w:r>
              <w:rPr>
                <w:b w:val="false"/>
                <w:bCs w:val="false"/>
                <w:color w:val="2C3E50"/>
                <w:sz w:val="20"/>
                <w:szCs w:val="20"/>
              </w:rPr>
              <w:t xml:space="preserve">routes</w:t>
            </w:r>
          </w:p>
        </w:tc>
        <w:tc>
          <w:tcPr>
            <w:tcW w:type="dxa" w:w="2000"/>
            <w:tcMar>
              <w:top w:type="dxa" w:w="100"/>
              <w:left w:type="dxa" w:w="120"/>
              <w:bottom w:type="dxa" w:w="100"/>
              <w:right w:type="dxa" w:w="120"/>
            </w:tcMar>
          </w:tcPr>
          <w:p>
            <w:r>
              <w:rPr>
                <w:b w:val="false"/>
                <w:bCs w:val="false"/>
                <w:color w:val="2C3E50"/>
                <w:sz w:val="20"/>
                <w:szCs w:val="20"/>
              </w:rPr>
              <w:t xml:space="preserve">Habitation ⇄ site route status and distance, with alternates</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response_tasks</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Responder execution tracking — Assigned → En Route → On Site → Resolved</w:t>
            </w:r>
          </w:p>
        </w:tc>
      </w:tr>
      <w:tr>
        <w:tc>
          <w:tcPr>
            <w:tcW w:type="dxa" w:w="2000"/>
            <w:tcMar>
              <w:top w:type="dxa" w:w="100"/>
              <w:left w:type="dxa" w:w="120"/>
              <w:bottom w:type="dxa" w:w="100"/>
              <w:right w:type="dxa" w:w="120"/>
            </w:tcMar>
          </w:tcPr>
          <w:p>
            <w:r>
              <w:rPr>
                <w:b w:val="false"/>
                <w:bCs w:val="false"/>
                <w:color w:val="2C3E50"/>
                <w:sz w:val="20"/>
                <w:szCs w:val="20"/>
              </w:rPr>
              <w:t xml:space="preserve">alerts</w:t>
            </w:r>
          </w:p>
        </w:tc>
        <w:tc>
          <w:tcPr>
            <w:tcW w:type="dxa" w:w="2000"/>
            <w:tcMar>
              <w:top w:type="dxa" w:w="100"/>
              <w:left w:type="dxa" w:w="120"/>
              <w:bottom w:type="dxa" w:w="100"/>
              <w:right w:type="dxa" w:w="120"/>
            </w:tcMar>
          </w:tcPr>
          <w:p>
            <w:r>
              <w:rPr>
                <w:b w:val="false"/>
                <w:bCs w:val="false"/>
                <w:color w:val="2C3E50"/>
                <w:sz w:val="20"/>
                <w:szCs w:val="20"/>
              </w:rPr>
              <w:t xml:space="preserve">Zone/relocation/SOS/system notifications, broadcast or targeted</w:t>
            </w:r>
          </w:p>
        </w:tc>
      </w:tr>
      <w:tr>
        <w:tc>
          <w:tcPr>
            <w:tcW w:type="dxa" w:w="2000"/>
            <w:shd w:fill="F4F6F7" w:val="clear"/>
            <w:tcMar>
              <w:top w:type="dxa" w:w="100"/>
              <w:left w:type="dxa" w:w="120"/>
              <w:bottom w:type="dxa" w:w="100"/>
              <w:right w:type="dxa" w:w="120"/>
            </w:tcMar>
          </w:tcPr>
          <w:p>
            <w:r>
              <w:rPr>
                <w:b w:val="false"/>
                <w:bCs w:val="false"/>
                <w:color w:val="2C3E50"/>
                <w:sz w:val="20"/>
                <w:szCs w:val="20"/>
              </w:rPr>
              <w:t xml:space="preserve">sos_alerts</w:t>
            </w:r>
          </w:p>
        </w:tc>
        <w:tc>
          <w:tcPr>
            <w:tcW w:type="dxa" w:w="2000"/>
            <w:shd w:fill="F4F6F7" w:val="clear"/>
            <w:tcMar>
              <w:top w:type="dxa" w:w="100"/>
              <w:left w:type="dxa" w:w="120"/>
              <w:bottom w:type="dxa" w:w="100"/>
              <w:right w:type="dxa" w:w="120"/>
            </w:tcMar>
          </w:tcPr>
          <w:p>
            <w:r>
              <w:rPr>
                <w:b w:val="false"/>
                <w:bCs w:val="false"/>
                <w:color w:val="2C3E50"/>
                <w:sz w:val="20"/>
                <w:szCs w:val="20"/>
              </w:rPr>
              <w:t xml:space="preserve">One-tap emergency events, its own status workflow</w:t>
            </w:r>
          </w:p>
        </w:tc>
      </w:tr>
      <w:tr>
        <w:tc>
          <w:tcPr>
            <w:tcW w:type="dxa" w:w="2000"/>
            <w:tcMar>
              <w:top w:type="dxa" w:w="100"/>
              <w:left w:type="dxa" w:w="120"/>
              <w:bottom w:type="dxa" w:w="100"/>
              <w:right w:type="dxa" w:w="120"/>
            </w:tcMar>
          </w:tcPr>
          <w:p>
            <w:r>
              <w:rPr>
                <w:b w:val="false"/>
                <w:bCs w:val="false"/>
                <w:color w:val="2C3E50"/>
                <w:sz w:val="20"/>
                <w:szCs w:val="20"/>
              </w:rPr>
              <w:t xml:space="preserve">audit_logs</w:t>
            </w:r>
          </w:p>
        </w:tc>
        <w:tc>
          <w:tcPr>
            <w:tcW w:type="dxa" w:w="2000"/>
            <w:tcMar>
              <w:top w:type="dxa" w:w="100"/>
              <w:left w:type="dxa" w:w="120"/>
              <w:bottom w:type="dxa" w:w="100"/>
              <w:right w:type="dxa" w:w="120"/>
            </w:tcMar>
          </w:tcPr>
          <w:p>
            <w:r>
              <w:rPr>
                <w:b w:val="false"/>
                <w:bCs w:val="false"/>
                <w:color w:val="2C3E50"/>
                <w:sz w:val="20"/>
                <w:szCs w:val="20"/>
              </w:rPr>
              <w:t xml:space="preserve">Immutable before/after record of every privileged action</w:t>
            </w:r>
          </w:p>
        </w:tc>
      </w:tr>
    </w:tbl>
    <w:p>
      <w:r>
        <w:br w:type="page"/>
      </w:r>
    </w:p>
    <w:p>
      <w:pPr>
        <w:pStyle w:val="Heading1"/>
        <w:pBdr>
          <w:bottom w:val="single" w:color="1B2A4A" w:sz="6" w:space="4"/>
        </w:pBdr>
        <w:spacing w:after="200" w:before="400"/>
      </w:pPr>
      <w:r>
        <w:rPr>
          <w:b/>
          <w:bCs/>
          <w:color w:val="1B2A4A"/>
          <w:sz w:val="30"/>
          <w:szCs w:val="30"/>
        </w:rPr>
        <w:t xml:space="preserve">7. Anticipated Judge Questions (FAQ)</w:t>
      </w:r>
    </w:p>
    <w:p>
      <w:pPr>
        <w:pStyle w:val="Heading3"/>
        <w:spacing w:after="100" w:before="200"/>
      </w:pPr>
      <w:r>
        <w:rPr>
          <w:b/>
          <w:bCs/>
          <w:color w:val="5D6D7E"/>
          <w:sz w:val="21"/>
          <w:szCs w:val="21"/>
        </w:rPr>
        <w:t xml:space="preserve">Q1. Why not use a real machine-learning model for the risk score?</w:t>
      </w:r>
    </w:p>
    <w:p>
      <w:pPr>
        <w:spacing w:after="160" w:line="300"/>
      </w:pPr>
      <w:r>
        <w:rPr>
          <w:b w:val="false"/>
          <w:bCs w:val="false"/>
          <w:i w:val="false"/>
          <w:iCs w:val="false"/>
          <w:color w:val="2C3E50"/>
          <w:sz w:val="22"/>
          <w:szCs w:val="22"/>
        </w:rPr>
        <w:t xml:space="preserve">For a hackathon build, an explainable, deterministic weighted model is more trustworthy than a black-box one — a district officer needs to defend a Red-zone call, and "the model said so" isn't defensible. Every factor, weight, and contribution is stored with the score. The scoring service is deliberately isolated behind one interface, so a trained model can replace the arithmetic later without touching the API, the database schema, or the UI.</w:t>
      </w:r>
    </w:p>
    <w:p>
      <w:pPr>
        <w:pStyle w:val="Heading3"/>
        <w:spacing w:after="100" w:before="200"/>
      </w:pPr>
      <w:r>
        <w:rPr>
          <w:b/>
          <w:bCs/>
          <w:color w:val="5D6D7E"/>
          <w:sz w:val="21"/>
          <w:szCs w:val="21"/>
        </w:rPr>
        <w:t xml:space="preserve">Q2. How do you stop fake or duplicate reports from skewing the risk score?</w:t>
      </w:r>
    </w:p>
    <w:p>
      <w:pPr>
        <w:spacing w:after="160" w:line="300"/>
      </w:pPr>
      <w:r>
        <w:rPr>
          <w:b w:val="false"/>
          <w:bCs w:val="false"/>
          <w:i w:val="false"/>
          <w:iCs w:val="false"/>
          <w:color w:val="2C3E50"/>
          <w:sz w:val="22"/>
          <w:szCs w:val="22"/>
        </w:rPr>
        <w:t xml:space="preserve">A deterministic moderation pass runs on every report: it checks for near-duplicate reports of the same hazard type within a radius and time window (via a PostGIS ST_DWithin query), and flags suspiciously low-effort submissions (no photo, near-empty description). Flagged reports are excluded from the hazard-exposure calculation until a Volunteer verifies them. Only Verified reports feed the HVI — unverified ones never move a zone color.</w:t>
      </w:r>
    </w:p>
    <w:p>
      <w:pPr>
        <w:pStyle w:val="Heading3"/>
        <w:spacing w:after="100" w:before="200"/>
      </w:pPr>
      <w:r>
        <w:rPr>
          <w:b/>
          <w:bCs/>
          <w:color w:val="5D6D7E"/>
          <w:sz w:val="21"/>
          <w:szCs w:val="21"/>
        </w:rPr>
        <w:t xml:space="preserve">Q3. What happens with zero connectivity in the field?</w:t>
      </w:r>
    </w:p>
    <w:p>
      <w:pPr>
        <w:spacing w:after="160" w:line="300"/>
      </w:pPr>
      <w:r>
        <w:rPr>
          <w:b w:val="false"/>
          <w:bCs w:val="false"/>
          <w:i w:val="false"/>
          <w:iCs w:val="false"/>
          <w:color w:val="2C3E50"/>
          <w:sz w:val="22"/>
          <w:szCs w:val="22"/>
        </w:rPr>
        <w:t xml:space="preserve">The mobile app queues every report and survey in local SQLite with a client-generated UUID, so a retried sync never creates duplicates. It auto-syncs on reconnect with exponential backoff, survives an app restart, and shows a clear "Pending Sync" state — no separate sync screen needed. For zero-network areas entirely, an SMS/IVR adapter converts a keyword report into the identical pipeline.</w:t>
      </w:r>
    </w:p>
    <w:p>
      <w:pPr>
        <w:pStyle w:val="Heading3"/>
        <w:spacing w:after="100" w:before="200"/>
      </w:pPr>
      <w:r>
        <w:rPr>
          <w:b/>
          <w:bCs/>
          <w:color w:val="5D6D7E"/>
          <w:sz w:val="21"/>
          <w:szCs w:val="21"/>
        </w:rPr>
        <w:t xml:space="preserve">Q4. Does the system ever move people without a human decision?</w:t>
      </w:r>
    </w:p>
    <w:p>
      <w:pPr>
        <w:spacing w:after="160" w:line="300"/>
      </w:pPr>
      <w:r>
        <w:rPr>
          <w:b w:val="false"/>
          <w:bCs w:val="false"/>
          <w:i w:val="false"/>
          <w:iCs w:val="false"/>
          <w:color w:val="2C3E50"/>
          <w:sz w:val="22"/>
          <w:szCs w:val="22"/>
        </w:rPr>
        <w:t xml:space="preserve">Never. AI produces a ranked recommendation with a full rationale; an officer must Approve, Modify, or Reject. Modifying or rejecting requires a written reason. Site occupancy in the database only changes after an explicit approval action, and every decision is written to an immutable audit log with actor, timestamp, and before/after state.</w:t>
      </w:r>
    </w:p>
    <w:p>
      <w:pPr>
        <w:pStyle w:val="Heading3"/>
        <w:spacing w:after="100" w:before="200"/>
      </w:pPr>
      <w:r>
        <w:rPr>
          <w:b/>
          <w:bCs/>
          <w:color w:val="5D6D7E"/>
          <w:sz w:val="21"/>
          <w:szCs w:val="21"/>
        </w:rPr>
        <w:t xml:space="preserve">Q5. How is HVI different from just "a risk score"?</w:t>
      </w:r>
    </w:p>
    <w:p>
      <w:pPr>
        <w:spacing w:after="160" w:line="300"/>
      </w:pPr>
      <w:r>
        <w:rPr>
          <w:b w:val="false"/>
          <w:bCs w:val="false"/>
          <w:i w:val="false"/>
          <w:iCs w:val="false"/>
          <w:color w:val="2C3E50"/>
          <w:sz w:val="22"/>
          <w:szCs w:val="22"/>
        </w:rPr>
        <w:t xml:space="preserve">A raw hazard score answers "how dangerous is this place right now." HVI goes further — it combines that hazard exposure with who lives there and how exposed they are: population vulnerability, housing quality, accessibility, and historical pattern. Two habitations facing the identical flood risk can have very different HVI scores if one has mostly kutcha housing and a high elderly population and the other doesn't — which is exactly the nuance a relocation-priority decision needs.</w:t>
      </w:r>
    </w:p>
    <w:p>
      <w:pPr>
        <w:pStyle w:val="Heading3"/>
        <w:spacing w:after="100" w:before="200"/>
      </w:pPr>
      <w:r>
        <w:rPr>
          <w:b/>
          <w:bCs/>
          <w:color w:val="5D6D7E"/>
          <w:sz w:val="21"/>
          <w:szCs w:val="21"/>
        </w:rPr>
        <w:t xml:space="preserve">Q6. Why one PostgreSQL+PostGIS database instead of a SQL+NoSQL split?</w:t>
      </w:r>
    </w:p>
    <w:p>
      <w:pPr>
        <w:spacing w:after="160" w:line="300"/>
      </w:pPr>
      <w:r>
        <w:rPr>
          <w:b w:val="false"/>
          <w:bCs w:val="false"/>
          <w:i w:val="false"/>
          <w:iCs w:val="false"/>
          <w:color w:val="2C3E50"/>
          <w:sz w:val="22"/>
          <w:szCs w:val="22"/>
        </w:rPr>
        <w:t xml:space="preserve">The original concept used a second document database for report-style data. On review, every entity in this system — reports, surveys, plans, routes — has a fixed, well-understood shape, and PostGIS already gives us production-grade spatial queries (ST_DWithin, ST_Distance) in the same database as everything else. Adding a second database would have meant two connection pools, two backup strategies, and cross-database joins for zero real benefit — complexity without value.</w:t>
      </w:r>
    </w:p>
    <w:p>
      <w:pPr>
        <w:pStyle w:val="Heading3"/>
        <w:spacing w:after="100" w:before="200"/>
      </w:pPr>
      <w:r>
        <w:rPr>
          <w:b/>
          <w:bCs/>
          <w:color w:val="5D6D7E"/>
          <w:sz w:val="21"/>
          <w:szCs w:val="21"/>
        </w:rPr>
        <w:t xml:space="preserve">Q7. How does split allocation actually work?</w:t>
      </w:r>
    </w:p>
    <w:p>
      <w:pPr>
        <w:spacing w:after="160" w:line="300"/>
      </w:pPr>
      <w:r>
        <w:rPr>
          <w:b w:val="false"/>
          <w:bCs w:val="false"/>
          <w:i w:val="false"/>
          <w:iCs w:val="false"/>
          <w:color w:val="2C3E50"/>
          <w:sz w:val="22"/>
          <w:szCs w:val="22"/>
        </w:rPr>
        <w:t xml:space="preserve">The matching engine ranks every safe, active, in-range site for a habitation. If the top site's available capacity is smaller than the population that needs to move, RakshaNet allocates as many people as that site can hold, then moves to the next-best site for the remainder — continuing until everyone is placed or candidates run out. Each leg is stored as its own row with its own match score, so an officer sees exactly which slice of the population goes where and why.</w:t>
      </w:r>
    </w:p>
    <w:p>
      <w:pPr>
        <w:pStyle w:val="Heading3"/>
        <w:spacing w:after="100" w:before="200"/>
      </w:pPr>
      <w:r>
        <w:rPr>
          <w:b/>
          <w:bCs/>
          <w:color w:val="5D6D7E"/>
          <w:sz w:val="21"/>
          <w:szCs w:val="21"/>
        </w:rPr>
        <w:t xml:space="preserve">Q8. What is the "stress test" before approval?</w:t>
      </w:r>
    </w:p>
    <w:p>
      <w:pPr>
        <w:spacing w:after="160" w:line="300"/>
      </w:pPr>
      <w:r>
        <w:rPr>
          <w:b w:val="false"/>
          <w:bCs w:val="false"/>
          <w:i w:val="false"/>
          <w:iCs w:val="false"/>
          <w:color w:val="2C3E50"/>
          <w:sz w:val="22"/>
          <w:szCs w:val="22"/>
        </w:rPr>
        <w:t xml:space="preserve">Before a plan can be approved, RakshaNet re-runs the capacity assessment for every destination site as if the incoming population had already arrived. If that would push any resource into Critical status, the officer sees the specific shortfall and must either choose a different allocation or approve with full knowledge of the trade-off — it is a transparency check, not a silent block.</w:t>
      </w:r>
    </w:p>
    <w:p>
      <w:pPr>
        <w:pStyle w:val="Heading3"/>
        <w:spacing w:after="100" w:before="200"/>
      </w:pPr>
      <w:r>
        <w:rPr>
          <w:b/>
          <w:bCs/>
          <w:color w:val="5D6D7E"/>
          <w:sz w:val="21"/>
          <w:szCs w:val="21"/>
        </w:rPr>
        <w:t xml:space="preserve">Q9. Is this actually scalable beyond a demo district?</w:t>
      </w:r>
    </w:p>
    <w:p>
      <w:pPr>
        <w:spacing w:after="160" w:line="300"/>
      </w:pPr>
      <w:r>
        <w:rPr>
          <w:b w:val="false"/>
          <w:bCs w:val="false"/>
          <w:i w:val="false"/>
          <w:iCs w:val="false"/>
          <w:color w:val="2C3E50"/>
          <w:sz w:val="22"/>
          <w:szCs w:val="22"/>
        </w:rPr>
        <w:t xml:space="preserve">The spatial queries (ST_DWithin, ST_Distance) are indexed with PostGIS GIST indexes and run efficiently at national scale; the architecture is stateless Express + Socket.io behind a managed Postgres instance, which horizontally scales the same way any standard web service does. The current build is intentionally scoped to one district's worth of seed data for a clear, honest demo — the schema and engines do not assume that scale.</w:t>
      </w:r>
    </w:p>
    <w:p>
      <w:pPr>
        <w:pStyle w:val="Heading3"/>
        <w:spacing w:after="100" w:before="200"/>
      </w:pPr>
      <w:r>
        <w:rPr>
          <w:b/>
          <w:bCs/>
          <w:color w:val="5D6D7E"/>
          <w:sz w:val="21"/>
          <w:szCs w:val="21"/>
        </w:rPr>
        <w:t xml:space="preserve">Q10. How is citizen data privacy protected?</w:t>
      </w:r>
    </w:p>
    <w:p>
      <w:pPr>
        <w:spacing w:after="160" w:line="300"/>
      </w:pPr>
      <w:r>
        <w:rPr>
          <w:b w:val="false"/>
          <w:bCs w:val="false"/>
          <w:i w:val="false"/>
          <w:iCs w:val="false"/>
          <w:color w:val="2C3E50"/>
          <w:sz w:val="22"/>
          <w:szCs w:val="22"/>
        </w:rPr>
        <w:t xml:space="preserve">Phone-based OTP login means no password is stored for citizens/volunteers; JWTs are short-lived; role-based access control is enforced on the backend on every route, not just hidden in the UI; and personal data exposure is scoped — a Volunteer sees report content needed to verify it, not a citizen's full profile.</w:t>
      </w:r>
    </w:p>
    <w:p>
      <w:pPr>
        <w:pStyle w:val="Heading3"/>
        <w:spacing w:after="100" w:before="200"/>
      </w:pPr>
      <w:r>
        <w:rPr>
          <w:b/>
          <w:bCs/>
          <w:color w:val="5D6D7E"/>
          <w:sz w:val="21"/>
          <w:szCs w:val="21"/>
        </w:rPr>
        <w:t xml:space="preserve">Q11. What does deployment actually look like — is this a real, runnable system?</w:t>
      </w:r>
    </w:p>
    <w:p>
      <w:pPr>
        <w:spacing w:after="160" w:line="300"/>
      </w:pPr>
      <w:r>
        <w:rPr>
          <w:b w:val="false"/>
          <w:bCs w:val="false"/>
          <w:i w:val="false"/>
          <w:iCs w:val="false"/>
          <w:color w:val="2C3E50"/>
          <w:sz w:val="22"/>
          <w:szCs w:val="22"/>
        </w:rPr>
        <w:t xml:space="preserve">Yes — no Docker, no Kubernetes. GitHub is the single source of truth: the backend deploys to Render or Railway, the web dashboard to Vercel or Netlify, Postgres+PostGIS runs on Neon or Supabase's free managed tier, and the mobile app ships as an installable APK via Expo EAS or is demoed instantly through Expo Go. Every one of those auto-deploys on a push to main.</w:t>
      </w:r>
    </w:p>
    <w:p>
      <w:pPr>
        <w:pStyle w:val="Heading3"/>
        <w:spacing w:after="100" w:before="200"/>
      </w:pPr>
      <w:r>
        <w:rPr>
          <w:b/>
          <w:bCs/>
          <w:color w:val="5D6D7E"/>
          <w:sz w:val="21"/>
          <w:szCs w:val="21"/>
        </w:rPr>
        <w:t xml:space="preserve">Q12. Why one mobile app for Citizens and Volunteers instead of two separate apps?</w:t>
      </w:r>
    </w:p>
    <w:p>
      <w:pPr>
        <w:spacing w:after="160" w:line="300"/>
      </w:pPr>
      <w:r>
        <w:rPr>
          <w:b w:val="false"/>
          <w:bCs w:val="false"/>
          <w:i w:val="false"/>
          <w:iCs w:val="false"/>
          <w:color w:val="2C3E50"/>
          <w:sz w:val="22"/>
          <w:szCs w:val="22"/>
        </w:rPr>
        <w:t xml:space="preserve">One codebase is faster to build and maintain, and it mirrors reality — a volunteer today may need to report a hazard as a citizen tomorrow. The app branches entirely on role after login: a Citizen never sees a Volunteer's verification or survey tools, and a Volunteer never sees officer-only relocation-approval controls.</w:t>
      </w:r>
    </w:p>
    <w:p>
      <w:pPr>
        <w:pStyle w:val="Heading3"/>
        <w:spacing w:after="100" w:before="200"/>
      </w:pPr>
      <w:r>
        <w:rPr>
          <w:b/>
          <w:bCs/>
          <w:color w:val="5D6D7E"/>
          <w:sz w:val="21"/>
          <w:szCs w:val="21"/>
        </w:rPr>
        <w:t xml:space="preserve">Q13. What real government data sources would this integrate with in production?</w:t>
      </w:r>
    </w:p>
    <w:p>
      <w:pPr>
        <w:spacing w:after="160" w:line="300"/>
      </w:pPr>
      <w:r>
        <w:rPr>
          <w:b w:val="false"/>
          <w:bCs w:val="false"/>
          <w:i w:val="false"/>
          <w:iCs w:val="false"/>
          <w:color w:val="2C3E50"/>
          <w:sz w:val="22"/>
          <w:szCs w:val="22"/>
        </w:rPr>
        <w:t xml:space="preserve">The architecture is built to ingest external hazard layers (IMD rainfall data, CWC flood forecasts, GSI landslide susceptibility maps) as additional inputs into the hazard-exposure factor — for the hackathon build, that layer is intentionally left as clearly-labeled seeded/demo data rather than falsely claiming a live government integration that doesn't exist.</w:t>
      </w:r>
    </w:p>
    <w:p>
      <w:pPr>
        <w:pStyle w:val="Heading3"/>
        <w:spacing w:after="100" w:before="200"/>
      </w:pPr>
      <w:r>
        <w:rPr>
          <w:b/>
          <w:bCs/>
          <w:color w:val="5D6D7E"/>
          <w:sz w:val="21"/>
          <w:szCs w:val="21"/>
        </w:rPr>
        <w:t xml:space="preserve">Q14. What's the very next thing you'd build after this hackathon?</w:t>
      </w:r>
    </w:p>
    <w:p>
      <w:pPr>
        <w:spacing w:after="160" w:line="300"/>
      </w:pPr>
      <w:r>
        <w:rPr>
          <w:b w:val="false"/>
          <w:bCs w:val="false"/>
          <w:i w:val="false"/>
          <w:iCs w:val="false"/>
          <w:color w:val="2C3E50"/>
          <w:sz w:val="22"/>
          <w:szCs w:val="22"/>
        </w:rPr>
        <w:t xml:space="preserve">Three things, in order: (1) a real IMD/CWC/GSI data ingestion adapter behind the same hazard-exposure interface, (2) push notifications via Firebase Cloud Messaging for the Alerts feed (currently in-app/socket-only), and (3) EAS production builds published for both app stores instead of a sideloaded APK.</w:t>
      </w:r>
    </w:p>
    <w:p>
      <w:r>
        <w:br w:type="page"/>
      </w:r>
    </w:p>
    <w:p>
      <w:pPr>
        <w:pStyle w:val="Heading1"/>
        <w:pBdr>
          <w:bottom w:val="single" w:color="1B2A4A" w:sz="6" w:space="4"/>
        </w:pBdr>
        <w:spacing w:after="200" w:before="400"/>
      </w:pPr>
      <w:r>
        <w:rPr>
          <w:b/>
          <w:bCs/>
          <w:color w:val="1B2A4A"/>
          <w:sz w:val="30"/>
          <w:szCs w:val="30"/>
        </w:rPr>
        <w:t xml:space="preserve">8. Quick-Reference Numbers</w:t>
      </w:r>
    </w:p>
    <w:p>
      <w:pPr>
        <w:spacing w:after="160" w:line="300"/>
      </w:pPr>
      <w:r>
        <w:rPr>
          <w:b w:val="false"/>
          <w:bCs w:val="false"/>
          <w:i w:val="false"/>
          <w:iCs w:val="false"/>
          <w:color w:val="2C3E50"/>
          <w:sz w:val="22"/>
          <w:szCs w:val="22"/>
        </w:rPr>
        <w:t xml:space="preserve">Everything below is verifiable live in the running demo — nothing here is a projection or a hard-coded dashboard figure.</w:t>
      </w:r>
    </w:p>
    <w:p>
      <w:pPr>
        <w:pStyle w:val="ListParagraph"/>
        <w:numPr>
          <w:ilvl w:val="0"/>
          <w:numId w:val="2"/>
        </w:numPr>
        <w:spacing w:after="90" w:line="280"/>
      </w:pPr>
      <w:r>
        <w:rPr>
          <w:color w:val="2C3E50"/>
          <w:sz w:val="22"/>
          <w:szCs w:val="22"/>
        </w:rPr>
        <w:t xml:space="preserve">16 database tables in a single PostgreSQL + PostGIS instance</w:t>
      </w:r>
    </w:p>
    <w:p>
      <w:pPr>
        <w:pStyle w:val="ListParagraph"/>
        <w:numPr>
          <w:ilvl w:val="0"/>
          <w:numId w:val="2"/>
        </w:numPr>
        <w:spacing w:after="90" w:line="280"/>
      </w:pPr>
      <w:r>
        <w:rPr>
          <w:color w:val="2C3E50"/>
          <w:sz w:val="22"/>
          <w:szCs w:val="22"/>
        </w:rPr>
        <w:t xml:space="preserve">5 roles: Citizen, Volunteer, SDMA/DDMA Officer, Responder, Administrator</w:t>
      </w:r>
    </w:p>
    <w:p>
      <w:pPr>
        <w:pStyle w:val="ListParagraph"/>
        <w:numPr>
          <w:ilvl w:val="0"/>
          <w:numId w:val="2"/>
        </w:numPr>
        <w:spacing w:after="90" w:line="280"/>
      </w:pPr>
      <w:r>
        <w:rPr>
          <w:color w:val="2C3E50"/>
          <w:sz w:val="22"/>
          <w:szCs w:val="22"/>
        </w:rPr>
        <w:t xml:space="preserve">5 weighted HVI factors · 6 weighted site-matching factors — every score fully explainable</w:t>
      </w:r>
    </w:p>
    <w:p>
      <w:pPr>
        <w:pStyle w:val="ListParagraph"/>
        <w:numPr>
          <w:ilvl w:val="0"/>
          <w:numId w:val="2"/>
        </w:numPr>
        <w:spacing w:after="90" w:line="280"/>
      </w:pPr>
      <w:r>
        <w:rPr>
          <w:color w:val="2C3E50"/>
          <w:sz w:val="22"/>
          <w:szCs w:val="22"/>
        </w:rPr>
        <w:t xml:space="preserve">4 zone colors with configurable thresholds: Green / Yellow / Orange / Red</w:t>
      </w:r>
    </w:p>
    <w:p>
      <w:pPr>
        <w:pStyle w:val="ListParagraph"/>
        <w:numPr>
          <w:ilvl w:val="0"/>
          <w:numId w:val="2"/>
        </w:numPr>
        <w:spacing w:after="90" w:line="280"/>
      </w:pPr>
      <w:r>
        <w:rPr>
          <w:color w:val="2C3E50"/>
          <w:sz w:val="22"/>
          <w:szCs w:val="22"/>
        </w:rPr>
        <w:t xml:space="preserve">3 resource statuses per site per resource: Surplus / Adequate / Critical</w:t>
      </w:r>
    </w:p>
    <w:p>
      <w:pPr>
        <w:pStyle w:val="ListParagraph"/>
        <w:numPr>
          <w:ilvl w:val="0"/>
          <w:numId w:val="2"/>
        </w:numPr>
        <w:spacing w:after="90" w:line="280"/>
      </w:pPr>
      <w:r>
        <w:rPr>
          <w:color w:val="2C3E50"/>
          <w:sz w:val="22"/>
          <w:szCs w:val="22"/>
        </w:rPr>
        <w:t xml:space="preserve">3 relocation urgency tiers: Immediate (0–72h) / Short-Term (1–6mo) / Medium-Term (6–24mo)</w:t>
      </w:r>
    </w:p>
    <w:p>
      <w:pPr>
        <w:pStyle w:val="ListParagraph"/>
        <w:numPr>
          <w:ilvl w:val="0"/>
          <w:numId w:val="2"/>
        </w:numPr>
        <w:spacing w:after="90" w:line="280"/>
      </w:pPr>
      <w:r>
        <w:rPr>
          <w:color w:val="2C3E50"/>
          <w:sz w:val="22"/>
          <w:szCs w:val="22"/>
        </w:rPr>
        <w:t xml:space="preserve">61 automated backend tests passing (Jest + Supertest)</w:t>
      </w:r>
    </w:p>
    <w:p>
      <w:pPr>
        <w:pStyle w:val="ListParagraph"/>
        <w:numPr>
          <w:ilvl w:val="0"/>
          <w:numId w:val="2"/>
        </w:numPr>
        <w:spacing w:after="90" w:line="280"/>
      </w:pPr>
      <w:r>
        <w:rPr>
          <w:color w:val="2C3E50"/>
          <w:sz w:val="22"/>
          <w:szCs w:val="22"/>
        </w:rPr>
        <w:t xml:space="preserve">Deterministic seed data: 6 habitations across the HVI spectrum, 4 safe sites with varied capacity, 8+ hazard reports, one successful relocation, one split-allocation/capacity-shortfall scenario, one blocked-route scenario, one pending offline report, one critical resource gap</w:t>
      </w:r>
    </w:p>
    <w:p>
      <w:pPr>
        <w:pStyle w:val="ListParagraph"/>
        <w:numPr>
          <w:ilvl w:val="0"/>
          <w:numId w:val="2"/>
        </w:numPr>
        <w:spacing w:after="90" w:line="280"/>
      </w:pPr>
      <w:r>
        <w:rPr>
          <w:color w:val="2C3E50"/>
          <w:sz w:val="22"/>
          <w:szCs w:val="22"/>
        </w:rPr>
        <w:t xml:space="preserve">No Docker, no Kubernetes, no v2.0 in any user-facing text — deploys straight from GitHub</w:t>
      </w:r>
    </w:p>
    <w:p>
      <w:pPr>
        <w:spacing w:before="500"/>
      </w:pPr>
      <w:r>
        <w:rPr>
          <w:i/>
          <w:iCs/>
          <w:color w:val="5D6D7E"/>
          <w:sz w:val="18"/>
          <w:szCs w:val="18"/>
        </w:rPr>
        <w:t xml:space="preserve">RakshaNet — Team Jeevan Setu — SIH 2026 — Problem Statement 26191</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2026-08-25T03:41:09.771Z</dcterms:created>
  <dcterms:modified xsi:type="dcterms:W3CDTF">2026-08-25T03:41:09.771Z</dcterms:modified>
</cp:coreProperties>
</file>

<file path=docProps/custom.xml><?xml version="1.0" encoding="utf-8"?>
<Properties xmlns="http://schemas.openxmlformats.org/officeDocument/2006/custom-properties" xmlns:vt="http://schemas.openxmlformats.org/officeDocument/2006/docPropsVTypes"/>
</file>