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9BBD6" w14:textId="77777777" w:rsidR="004008B4" w:rsidRDefault="00000000">
      <w:pPr>
        <w:spacing w:after="60"/>
      </w:pPr>
      <w:r>
        <w:rPr>
          <w:b/>
          <w:bCs/>
          <w:sz w:val="32"/>
          <w:szCs w:val="32"/>
        </w:rPr>
        <w:t>Conviction Engine — Consolidated Note for Divyanshu</w:t>
      </w:r>
    </w:p>
    <w:p w14:paraId="2907CFA5" w14:textId="77777777" w:rsidR="004008B4" w:rsidRDefault="00000000">
      <w:pPr>
        <w:spacing w:after="300"/>
      </w:pPr>
      <w:r>
        <w:rPr>
          <w:i/>
          <w:iCs/>
          <w:color w:val="555555"/>
        </w:rPr>
        <w:t>From: Rohit Malhotra   |   28 July 2026   |   Consolidates the v5 spec, the July 2026 update, and today's live session in one document</w:t>
      </w:r>
    </w:p>
    <w:p w14:paraId="2BB5AAAF" w14:textId="77777777" w:rsidR="004008B4" w:rsidRDefault="00000000">
      <w:pPr>
        <w:pStyle w:val="Heading1"/>
        <w:spacing w:before="300" w:after="150"/>
      </w:pPr>
      <w:r>
        <w:t>0. Purpose of This Document</w:t>
      </w:r>
    </w:p>
    <w:p w14:paraId="7361C8D3" w14:textId="77777777" w:rsidR="004008B4" w:rsidRDefault="00000000">
      <w:pPr>
        <w:spacing w:after="120"/>
      </w:pPr>
      <w:r>
        <w:t>This is now the single reference document for the Conviction Engine's fundamental sub-agent. It folds in: (1) a condensed summary of the original v5 technical spec, (2) a condensed summary of the July 2026 update (the new agentic dimensions), and (3) everything tested and found in today's live session — a source-reachability audit, two real conviction runs on NVDA and GOOGL, and one new structural gap (the missing business-type routing gate). Sections tagged FROM V5 SPEC or FROM JULY UPDATE are prior material restated for completeness. Sections tagged NEW — 28 JULY are today's additions.</w:t>
      </w:r>
    </w:p>
    <w:p w14:paraId="09622AE9" w14:textId="77777777" w:rsidR="004008B4" w:rsidRDefault="00000000">
      <w:pPr>
        <w:pStyle w:val="Heading1"/>
        <w:spacing w:before="300" w:after="150"/>
      </w:pPr>
      <w:r>
        <w:t>1. Reference: Original v5 Spec — Condensed</w:t>
      </w:r>
    </w:p>
    <w:p w14:paraId="1614E179" w14:textId="77777777" w:rsidR="004008B4" w:rsidRDefault="00000000">
      <w:pPr>
        <w:spacing w:after="40"/>
      </w:pPr>
      <w:r>
        <w:rPr>
          <w:b/>
          <w:bCs/>
          <w:color w:val="1F6FEB"/>
          <w:sz w:val="18"/>
          <w:szCs w:val="18"/>
        </w:rPr>
        <w:t>FROM V5 SPEC</w:t>
      </w:r>
    </w:p>
    <w:p w14:paraId="3A1A949B" w14:textId="77777777" w:rsidR="004008B4" w:rsidRDefault="00000000">
      <w:pPr>
        <w:spacing w:after="120"/>
      </w:pPr>
      <w:r>
        <w:t>The engine sits on top of the existing technical signal model (TrendPulse, DeltaDrift, Oscillator Delta) as a conviction filter. It does three things: validates buys against fundamental strength, prevents premature exits from high-quality assets during technical noise ('the pause'), and applies a valuation compression tax to expensive names so growth alone can't buy its way to a high conviction score.</w:t>
      </w:r>
    </w:p>
    <w:p w14:paraId="28C3DA3F" w14:textId="77777777" w:rsidR="004008B4" w:rsidRDefault="00000000">
      <w:pPr>
        <w:spacing w:after="120"/>
      </w:pPr>
      <w:r>
        <w:t>Scoring: Business Quality (BQ) score, roughly -10 to +15, computed from a fixed set of dimensions (revenue quality, growth trajectory, margin quality, balance sheet, CEO quality, competitive moat, macro tailwind, divergence signal, deal-delay risk). Separately, a Valuation Compression Tax is computed — always zero or negative — from entry-multiple tier, growth-multiple fragility, PE-historical-percentile, deal-delay flag, market-regime beta, and business-type modifiers. For any stock above 4x forward revenue, a floor of at least -5 is enforced. Conviction Score = BQ + Tax, mapped to a verdict (MAX CONVICTION / TACTICAL BUY / REDUCED BUY / CANCEL BUY on the buy side; PAUSE SELL / PARTIAL EXIT / FULL EXIT / HARD EXIT on the sell side).</w:t>
      </w:r>
    </w:p>
    <w:p w14:paraId="7C9877DA" w14:textId="77777777" w:rsidR="004008B4" w:rsidRDefault="00000000">
      <w:pPr>
        <w:spacing w:after="120"/>
      </w:pPr>
      <w:r>
        <w:t>Data architecture: a persistent JSON store, one record per ticker, split into static fundamentals (written quarterly at full_recalculation), a static cache for the daily runner, and a dynamic slice (written daily — price, PE, OEY, yield metrics, FS score, flags). Full recalculation triggers on six events: earnings date passed, manual override, buyback suspension detected, revenue miss &gt;10%, management change, or dividend cut.</w:t>
      </w:r>
    </w:p>
    <w:p w14:paraId="003AE5A7" w14:textId="77777777" w:rsidR="004008B4" w:rsidRDefault="00000000">
      <w:pPr>
        <w:spacing w:after="120"/>
      </w:pPr>
      <w:r>
        <w:t>Known limitation, already flagged in the original spec: PE-history construction needs a genuine 20-year trailing-EPS-matched-to-price series. yfinance only covers 4-5 years; Macrotrends is the intended fallback but is Cloudflare-blocked with no working bypass. Until resolved, the PE-percentile tax component contributes nothing for any name.</w:t>
      </w:r>
    </w:p>
    <w:p w14:paraId="6E88EA18" w14:textId="77777777" w:rsidR="004008B4" w:rsidRDefault="00000000">
      <w:pPr>
        <w:spacing w:after="120"/>
      </w:pPr>
      <w:r>
        <w:t>Yield trap detection is market-calibrated per exchange (not a flat 3% US-centric threshold) and requires both a z-score-elevated current yield AND an unsustainable-payout condition to fire. Yield trap and FS-class-weak are the two hard gates that cannot be overridden by a high BQ score.</w:t>
      </w:r>
    </w:p>
    <w:p w14:paraId="15897DEE" w14:textId="77777777" w:rsidR="004008B4" w:rsidRDefault="00000000">
      <w:pPr>
        <w:pStyle w:val="Heading1"/>
        <w:spacing w:before="300" w:after="150"/>
      </w:pPr>
      <w:r>
        <w:t>2. Reference: July 2026 Update — Condensed</w:t>
      </w:r>
    </w:p>
    <w:p w14:paraId="56B0C1D7" w14:textId="77777777" w:rsidR="004008B4" w:rsidRDefault="00000000">
      <w:pPr>
        <w:spacing w:after="40"/>
      </w:pPr>
      <w:r>
        <w:rPr>
          <w:b/>
          <w:bCs/>
          <w:color w:val="1F6FEB"/>
          <w:sz w:val="18"/>
          <w:szCs w:val="18"/>
        </w:rPr>
        <w:t>FROM JULY UPDATE</w:t>
      </w:r>
    </w:p>
    <w:p w14:paraId="56093FA7" w14:textId="77777777" w:rsidR="004008B4" w:rsidRDefault="00000000">
      <w:pPr>
        <w:spacing w:after="120"/>
      </w:pPr>
      <w:r>
        <w:t>Four of the BQ dimensions are fully agentic (use Claude API web search with genuine qualitative judgment): Dim 8 (CEO quality — tenure, track record, domain expertise), Dim 10 (competitive moat — adversarial prompt, asks for disruption threats first), Dim 11 (macro tailwind — the primary anchored-confidence example), and Dim 13 (deal-delay risk — searches the latest earnings transcript for timing-slippage language).</w:t>
      </w:r>
    </w:p>
    <w:p w14:paraId="3BDBCEBF" w14:textId="77777777" w:rsidR="004008B4" w:rsidRDefault="00000000">
      <w:pPr>
        <w:spacing w:after="120"/>
      </w:pPr>
      <w:r>
        <w:t>Two more are softer-agentic (use web search as a sourcing aid, but the scoring logic is more mechanical): Dim 9 (capital allocation — buyback history cross-check) and Dim 15 (TAM / reinvestment runway — extracted from earnings transcripts).</w:t>
      </w:r>
    </w:p>
    <w:p w14:paraId="7A97507F" w14:textId="77777777" w:rsidR="004008B4" w:rsidRDefault="00000000">
      <w:pPr>
        <w:spacing w:after="120"/>
      </w:pPr>
      <w:r>
        <w:t>All agentic dimensions share one anchored-confidence rule: explicit confidence scoring in the system prompt, source-count validation in code, and a mandatory evidence_against field. If confidence &lt; 0.7, the score defaults to 0 (neutral) rather than propagating an uncertain number into BQ. For macro tailwind specifically, fewer than 2 sources caps confidence at 0.35 regardless of what the model returns.</w:t>
      </w:r>
    </w:p>
    <w:p w14:paraId="19F8138C" w14:textId="77777777" w:rsidR="004008B4" w:rsidRDefault="00000000">
      <w:pPr>
        <w:spacing w:after="120"/>
      </w:pPr>
      <w:r>
        <w:lastRenderedPageBreak/>
        <w:t>The live production UI actually scores 15 separate BQ dimensions (not the 9 in the original spec table) — it breaks out Capital Allocation, Debt Maturity Risk, Gross Margin Trend, Insider Ownership, Reinvestment Runway, and ROIC/WACC Spread as their own lines, in addition to the original set.</w:t>
      </w:r>
    </w:p>
    <w:p w14:paraId="5D129BA1" w14:textId="77777777" w:rsidR="004008B4" w:rsidRDefault="00000000">
      <w:pPr>
        <w:pStyle w:val="Heading1"/>
        <w:spacing w:before="300" w:after="150"/>
      </w:pPr>
      <w:r>
        <w:t>3. Today's Session — Full Source Audit</w:t>
      </w:r>
    </w:p>
    <w:p w14:paraId="2DE94B0D" w14:textId="77777777" w:rsidR="004008B4" w:rsidRDefault="00000000">
      <w:pPr>
        <w:spacing w:after="40"/>
      </w:pPr>
      <w:r>
        <w:rPr>
          <w:b/>
          <w:bCs/>
          <w:color w:val="1F6FEB"/>
          <w:sz w:val="18"/>
          <w:szCs w:val="18"/>
        </w:rPr>
        <w:t>NEW — 28 JULY</w:t>
      </w:r>
    </w:p>
    <w:p w14:paraId="69F10A36" w14:textId="77777777" w:rsidR="004008B4" w:rsidRDefault="00000000">
      <w:pPr>
        <w:spacing w:after="120"/>
      </w:pPr>
      <w:r>
        <w:t>Live-tested every source named in the July update doc against NVDA and GOOGL, in this chat session (not the production engine). This started as a spot-check and became a full pass across all seven previously partial/untested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5060"/>
      </w:tblGrid>
      <w:tr w:rsidR="004008B4" w14:paraId="5C768A9E" w14:textId="77777777">
        <w:tblPrEx>
          <w:tblCellMar>
            <w:top w:w="0" w:type="dxa"/>
            <w:bottom w:w="0" w:type="dxa"/>
          </w:tblCellMar>
        </w:tblPrEx>
        <w:trPr>
          <w:tblHeader/>
        </w:trPr>
        <w:tc>
          <w:tcPr>
            <w:tcW w:w="2400" w:type="dxa"/>
            <w:shd w:val="clear" w:color="auto" w:fill="1F2937"/>
            <w:vAlign w:val="center"/>
          </w:tcPr>
          <w:p w14:paraId="5F21A750" w14:textId="77777777" w:rsidR="004008B4" w:rsidRDefault="00000000">
            <w:r>
              <w:rPr>
                <w:b/>
                <w:bCs/>
                <w:color w:val="FFFFFF"/>
              </w:rPr>
              <w:t>Source / Check</w:t>
            </w:r>
          </w:p>
        </w:tc>
        <w:tc>
          <w:tcPr>
            <w:tcW w:w="1900" w:type="dxa"/>
            <w:shd w:val="clear" w:color="auto" w:fill="1F2937"/>
            <w:vAlign w:val="center"/>
          </w:tcPr>
          <w:p w14:paraId="291C7EE8" w14:textId="77777777" w:rsidR="004008B4" w:rsidRDefault="00000000">
            <w:r>
              <w:rPr>
                <w:b/>
                <w:bCs/>
                <w:color w:val="FFFFFF"/>
              </w:rPr>
              <w:t>Result</w:t>
            </w:r>
          </w:p>
        </w:tc>
        <w:tc>
          <w:tcPr>
            <w:tcW w:w="5060" w:type="dxa"/>
            <w:shd w:val="clear" w:color="auto" w:fill="1F2937"/>
            <w:vAlign w:val="center"/>
          </w:tcPr>
          <w:p w14:paraId="453D51C3" w14:textId="77777777" w:rsidR="004008B4" w:rsidRDefault="00000000">
            <w:r>
              <w:rPr>
                <w:b/>
                <w:bCs/>
                <w:color w:val="FFFFFF"/>
              </w:rPr>
              <w:t>Detail</w:t>
            </w:r>
          </w:p>
        </w:tc>
      </w:tr>
      <w:tr w:rsidR="004008B4" w14:paraId="2EEC61A1" w14:textId="77777777">
        <w:tblPrEx>
          <w:tblCellMar>
            <w:top w:w="0" w:type="dxa"/>
            <w:bottom w:w="0" w:type="dxa"/>
          </w:tblCellMar>
        </w:tblPrEx>
        <w:tc>
          <w:tcPr>
            <w:tcW w:w="2400" w:type="dxa"/>
            <w:vAlign w:val="center"/>
          </w:tcPr>
          <w:p w14:paraId="4AB0B500" w14:textId="77777777" w:rsidR="004008B4" w:rsidRDefault="00000000">
            <w:r>
              <w:t>SEC EDGAR (DEF14A, 10-Q)</w:t>
            </w:r>
          </w:p>
        </w:tc>
        <w:tc>
          <w:tcPr>
            <w:tcW w:w="1900" w:type="dxa"/>
            <w:vAlign w:val="center"/>
          </w:tcPr>
          <w:p w14:paraId="781CA686" w14:textId="77777777" w:rsidR="004008B4" w:rsidRDefault="00000000">
            <w:r>
              <w:t>Worked</w:t>
            </w:r>
          </w:p>
        </w:tc>
        <w:tc>
          <w:tcPr>
            <w:tcW w:w="5060" w:type="dxa"/>
            <w:vAlign w:val="center"/>
          </w:tcPr>
          <w:p w14:paraId="7E2D6799" w14:textId="77777777" w:rsidR="004008B4" w:rsidRDefault="00000000">
            <w:r>
              <w:t>Direct fetch confirmed Jensen Huang founder/CEO since 1993. Also pulled structured buyback and cash-flow data directly (see Section 8).</w:t>
            </w:r>
          </w:p>
        </w:tc>
      </w:tr>
      <w:tr w:rsidR="004008B4" w14:paraId="6E113F8A" w14:textId="77777777">
        <w:tblPrEx>
          <w:tblCellMar>
            <w:top w:w="0" w:type="dxa"/>
            <w:bottom w:w="0" w:type="dxa"/>
          </w:tblCellMar>
        </w:tblPrEx>
        <w:tc>
          <w:tcPr>
            <w:tcW w:w="2400" w:type="dxa"/>
            <w:vAlign w:val="center"/>
          </w:tcPr>
          <w:p w14:paraId="3D6A1982" w14:textId="77777777" w:rsidR="004008B4" w:rsidRDefault="00000000">
            <w:r>
              <w:t>Glassdoor / Comparably / Blind</w:t>
            </w:r>
          </w:p>
        </w:tc>
        <w:tc>
          <w:tcPr>
            <w:tcW w:w="1900" w:type="dxa"/>
            <w:vAlign w:val="center"/>
          </w:tcPr>
          <w:p w14:paraId="2A6156A9" w14:textId="77777777" w:rsidR="004008B4" w:rsidRDefault="00000000">
            <w:r>
              <w:t>Worked, indirectly</w:t>
            </w:r>
          </w:p>
        </w:tc>
        <w:tc>
          <w:tcPr>
            <w:tcW w:w="5060" w:type="dxa"/>
            <w:vAlign w:val="center"/>
          </w:tcPr>
          <w:p w14:paraId="73466157" w14:textId="77777777" w:rsidR="004008B4" w:rsidRDefault="00000000">
            <w:r>
              <w:t>Real approval numbers (98-99% for Huang) via search-engine snippets, not a direct page fetch. Functionally fine, just one layer removed from a live connection.</w:t>
            </w:r>
          </w:p>
        </w:tc>
      </w:tr>
      <w:tr w:rsidR="004008B4" w14:paraId="04A135CC" w14:textId="77777777">
        <w:tblPrEx>
          <w:tblCellMar>
            <w:top w:w="0" w:type="dxa"/>
            <w:bottom w:w="0" w:type="dxa"/>
          </w:tblCellMar>
        </w:tblPrEx>
        <w:tc>
          <w:tcPr>
            <w:tcW w:w="2400" w:type="dxa"/>
            <w:vAlign w:val="center"/>
          </w:tcPr>
          <w:p w14:paraId="26BF716B" w14:textId="77777777" w:rsidR="004008B4" w:rsidRDefault="00000000">
            <w:r>
              <w:t>Gartner Magic Quadrant</w:t>
            </w:r>
          </w:p>
        </w:tc>
        <w:tc>
          <w:tcPr>
            <w:tcW w:w="1900" w:type="dxa"/>
            <w:vAlign w:val="center"/>
          </w:tcPr>
          <w:p w14:paraId="196ED916" w14:textId="77777777" w:rsidR="004008B4" w:rsidRDefault="00000000">
            <w:r>
              <w:t>Worked, once searched properly</w:t>
            </w:r>
          </w:p>
        </w:tc>
        <w:tc>
          <w:tcPr>
            <w:tcW w:w="5060" w:type="dxa"/>
            <w:vAlign w:val="center"/>
          </w:tcPr>
          <w:p w14:paraId="4C8AD1D8" w14:textId="77777777" w:rsidR="004008B4" w:rsidRDefault="00000000">
            <w:r>
              <w:t>Initial attempt failed because the fetch tool needs a URL from a prior search result — it can't jump straight to a domain. Once corrected, GOOGL confirmed as a named Leader in the inaugural 2026 Gartner MQ for AI Infrastructure. NVDA: no MQ exists for chip/hardware vendors — MQs evaluate software/service categories, so this is a category mismatch, not a failure. Gartner does publish a separate semiconductor revenue forecast, useful for macro tailwind instead.</w:t>
            </w:r>
          </w:p>
        </w:tc>
      </w:tr>
      <w:tr w:rsidR="004008B4" w14:paraId="297FA260" w14:textId="77777777">
        <w:tblPrEx>
          <w:tblCellMar>
            <w:top w:w="0" w:type="dxa"/>
            <w:bottom w:w="0" w:type="dxa"/>
          </w:tblCellMar>
        </w:tblPrEx>
        <w:tc>
          <w:tcPr>
            <w:tcW w:w="2400" w:type="dxa"/>
            <w:vAlign w:val="center"/>
          </w:tcPr>
          <w:p w14:paraId="37997CEC" w14:textId="77777777" w:rsidR="004008B4" w:rsidRDefault="00000000">
            <w:r>
              <w:t>G2</w:t>
            </w:r>
          </w:p>
        </w:tc>
        <w:tc>
          <w:tcPr>
            <w:tcW w:w="1900" w:type="dxa"/>
            <w:vAlign w:val="center"/>
          </w:tcPr>
          <w:p w14:paraId="165A2ADA" w14:textId="77777777" w:rsidR="004008B4" w:rsidRDefault="00000000">
            <w:r>
              <w:t>Worked, but low relevance for hardware</w:t>
            </w:r>
          </w:p>
        </w:tc>
        <w:tc>
          <w:tcPr>
            <w:tcW w:w="5060" w:type="dxa"/>
            <w:vAlign w:val="center"/>
          </w:tcPr>
          <w:p w14:paraId="1C2A9AC1" w14:textId="77777777" w:rsidR="004008B4" w:rsidRDefault="00000000">
            <w:r>
              <w:t>Reachable via the same search-then-fetch fix. Useful for GOOGL (Google Cloud AI Infrastructure listed at 4.5/5, 45 reviews). Not useful for NVDA — G2 tracks software-product user satisfaction, not chip/hardware competitive position. Recommend excluding G2 from the source list for hardware/semi names entirely, not just deprioritizing it.</w:t>
            </w:r>
          </w:p>
        </w:tc>
      </w:tr>
      <w:tr w:rsidR="004008B4" w14:paraId="482A5EA1" w14:textId="77777777">
        <w:tblPrEx>
          <w:tblCellMar>
            <w:top w:w="0" w:type="dxa"/>
            <w:bottom w:w="0" w:type="dxa"/>
          </w:tblCellMar>
        </w:tblPrEx>
        <w:tc>
          <w:tcPr>
            <w:tcW w:w="2400" w:type="dxa"/>
            <w:vAlign w:val="center"/>
          </w:tcPr>
          <w:p w14:paraId="20850290" w14:textId="77777777" w:rsidR="004008B4" w:rsidRDefault="00000000">
            <w:r>
              <w:t>Macro tailwind (Dim 11)</w:t>
            </w:r>
          </w:p>
        </w:tc>
        <w:tc>
          <w:tcPr>
            <w:tcW w:w="1900" w:type="dxa"/>
            <w:vAlign w:val="center"/>
          </w:tcPr>
          <w:p w14:paraId="29BFFEF1" w14:textId="77777777" w:rsidR="004008B4" w:rsidRDefault="00000000">
            <w:r>
              <w:t>Done, two sources</w:t>
            </w:r>
          </w:p>
        </w:tc>
        <w:tc>
          <w:tcPr>
            <w:tcW w:w="5060" w:type="dxa"/>
            <w:vAlign w:val="center"/>
          </w:tcPr>
          <w:p w14:paraId="45A438F8" w14:textId="77777777" w:rsidR="004008B4" w:rsidRDefault="00000000">
            <w:r>
              <w:t>NVDA: SIA/WSTS press releases — global semiconductor sales on track to exceed $1.5T in 2026, AI semis ~30% of that. GOOGL: the same Gartner MQ finding doubles as macro evidence. Two independent sources satisfies the confidence rule mechanically rather than by judgment call.</w:t>
            </w:r>
          </w:p>
        </w:tc>
      </w:tr>
      <w:tr w:rsidR="004008B4" w14:paraId="61E4CF1A" w14:textId="77777777">
        <w:tblPrEx>
          <w:tblCellMar>
            <w:top w:w="0" w:type="dxa"/>
            <w:bottom w:w="0" w:type="dxa"/>
          </w:tblCellMar>
        </w:tblPrEx>
        <w:tc>
          <w:tcPr>
            <w:tcW w:w="2400" w:type="dxa"/>
            <w:vAlign w:val="center"/>
          </w:tcPr>
          <w:p w14:paraId="1C7D2CD8" w14:textId="77777777" w:rsidR="004008B4" w:rsidRDefault="00000000">
            <w:r>
              <w:t>Deal delay / decel risk (Dim 13)</w:t>
            </w:r>
          </w:p>
        </w:tc>
        <w:tc>
          <w:tcPr>
            <w:tcW w:w="1900" w:type="dxa"/>
            <w:vAlign w:val="center"/>
          </w:tcPr>
          <w:p w14:paraId="092E1298" w14:textId="77777777" w:rsidR="004008B4" w:rsidRDefault="00000000">
            <w:r>
              <w:t>Done, both names</w:t>
            </w:r>
          </w:p>
        </w:tc>
        <w:tc>
          <w:tcPr>
            <w:tcW w:w="5060" w:type="dxa"/>
            <w:vAlign w:val="center"/>
          </w:tcPr>
          <w:p w14:paraId="478C0691" w14:textId="77777777" w:rsidR="004008B4" w:rsidRDefault="00000000">
            <w:r>
              <w:t>NVDA: multiple corroborating outlets (Reuters, CNBC citing FT, Tom's Hardware, GuruFocus) confirm H200 shipments to China have been stalled by Chinese customs since January 2026; NVDA's China data-center share has fallen below 60%. GOOGL: pulled the actual Q2 2026 earnings call transcript directly — no deal-delay language. Instead, management describes a supply-constrained environment (record $514B backlog, capacity being rationed, third-party capacity being added). This is a different, opposite-direction signal and should be captured as its own flag rather than left blank.</w:t>
            </w:r>
          </w:p>
        </w:tc>
      </w:tr>
      <w:tr w:rsidR="004008B4" w14:paraId="62678E74" w14:textId="77777777">
        <w:tblPrEx>
          <w:tblCellMar>
            <w:top w:w="0" w:type="dxa"/>
            <w:bottom w:w="0" w:type="dxa"/>
          </w:tblCellMar>
        </w:tblPrEx>
        <w:tc>
          <w:tcPr>
            <w:tcW w:w="2400" w:type="dxa"/>
            <w:vAlign w:val="center"/>
          </w:tcPr>
          <w:p w14:paraId="21E9FDE6" w14:textId="77777777" w:rsidR="004008B4" w:rsidRDefault="00000000">
            <w:r>
              <w:t>Capital allocation (Dim 9)</w:t>
            </w:r>
          </w:p>
        </w:tc>
        <w:tc>
          <w:tcPr>
            <w:tcW w:w="1900" w:type="dxa"/>
            <w:vAlign w:val="center"/>
          </w:tcPr>
          <w:p w14:paraId="28BE3826" w14:textId="77777777" w:rsidR="004008B4" w:rsidRDefault="00000000">
            <w:r>
              <w:t>Done, both names, from primary filings</w:t>
            </w:r>
          </w:p>
        </w:tc>
        <w:tc>
          <w:tcPr>
            <w:tcW w:w="5060" w:type="dxa"/>
            <w:vAlign w:val="center"/>
          </w:tcPr>
          <w:p w14:paraId="247CCA3F" w14:textId="77777777" w:rsidR="004008B4" w:rsidRDefault="00000000">
            <w:r>
              <w:t>NVDA 10-Q: $20.2B repurchased in Q1 FY27 alone, new $80B authorization approved May 2026. GOOGL 10-Q: $0 repurchased in H1 2026, versus $28.3B in H1 2025 — buybacks fully suspended, funded instead by $30.5B new equity, $19B convertible preferred, and $56.2B new debt, all channelled into the capex ramp. See Section 8 — this should already have triggered GOOGL's own buyback_suspension_detected full-recalc rule.</w:t>
            </w:r>
          </w:p>
        </w:tc>
      </w:tr>
      <w:tr w:rsidR="004008B4" w14:paraId="1BE3477A" w14:textId="77777777">
        <w:tblPrEx>
          <w:tblCellMar>
            <w:top w:w="0" w:type="dxa"/>
            <w:bottom w:w="0" w:type="dxa"/>
          </w:tblCellMar>
        </w:tblPrEx>
        <w:tc>
          <w:tcPr>
            <w:tcW w:w="2400" w:type="dxa"/>
            <w:vAlign w:val="center"/>
          </w:tcPr>
          <w:p w14:paraId="39D0E17E" w14:textId="77777777" w:rsidR="004008B4" w:rsidRDefault="00000000">
            <w:r>
              <w:t>Reinvestment runway / TAM (Dim 15)</w:t>
            </w:r>
          </w:p>
        </w:tc>
        <w:tc>
          <w:tcPr>
            <w:tcW w:w="1900" w:type="dxa"/>
            <w:vAlign w:val="center"/>
          </w:tcPr>
          <w:p w14:paraId="1D676116" w14:textId="77777777" w:rsidR="004008B4" w:rsidRDefault="00000000">
            <w:r>
              <w:t>Not done</w:t>
            </w:r>
          </w:p>
        </w:tc>
        <w:tc>
          <w:tcPr>
            <w:tcW w:w="5060" w:type="dxa"/>
            <w:vAlign w:val="center"/>
          </w:tcPr>
          <w:p w14:paraId="22045951" w14:textId="77777777" w:rsidR="004008B4" w:rsidRDefault="00000000">
            <w:r>
              <w:t xml:space="preserve">Out of scope this pass. Next: NVDA's own GTC-stated AI infrastructure TAM vs. an independent estimate (a $67B-by-2030 China AI-chip TAM from Morgan Stanley surfaced </w:t>
            </w:r>
            <w:r>
              <w:lastRenderedPageBreak/>
              <w:t>incidentally); GOOGL's Cloud TAM from its own investor materials vs. an independent estimate (IDC/Gartner).</w:t>
            </w:r>
          </w:p>
        </w:tc>
      </w:tr>
      <w:tr w:rsidR="004008B4" w14:paraId="6B0D8EF2" w14:textId="77777777">
        <w:tblPrEx>
          <w:tblCellMar>
            <w:top w:w="0" w:type="dxa"/>
            <w:bottom w:w="0" w:type="dxa"/>
          </w:tblCellMar>
        </w:tblPrEx>
        <w:tc>
          <w:tcPr>
            <w:tcW w:w="2400" w:type="dxa"/>
            <w:vAlign w:val="center"/>
          </w:tcPr>
          <w:p w14:paraId="7939DEFF" w14:textId="77777777" w:rsidR="004008B4" w:rsidRDefault="00000000">
            <w:r>
              <w:lastRenderedPageBreak/>
              <w:t>HBR, LinkedIn, Nilson Report</w:t>
            </w:r>
          </w:p>
        </w:tc>
        <w:tc>
          <w:tcPr>
            <w:tcW w:w="1900" w:type="dxa"/>
            <w:vAlign w:val="center"/>
          </w:tcPr>
          <w:p w14:paraId="3C2CC802" w14:textId="77777777" w:rsidR="004008B4" w:rsidRDefault="00000000">
            <w:r>
              <w:t>Not attempted</w:t>
            </w:r>
          </w:p>
        </w:tc>
        <w:tc>
          <w:tcPr>
            <w:tcW w:w="5060" w:type="dxa"/>
            <w:vAlign w:val="center"/>
          </w:tcPr>
          <w:p w14:paraId="1D01D9CF" w14:textId="77777777" w:rsidR="004008B4" w:rsidRDefault="00000000">
            <w:r>
              <w:t>Genuinely skipped this pass, not blocked — a candidate for the next follow-up.</w:t>
            </w:r>
          </w:p>
        </w:tc>
      </w:tr>
    </w:tbl>
    <w:p w14:paraId="0231D553" w14:textId="77777777" w:rsidR="004008B4" w:rsidRDefault="00000000">
      <w:pPr>
        <w:pStyle w:val="Heading1"/>
        <w:spacing w:before="300" w:after="150"/>
      </w:pPr>
      <w:r>
        <w:t>4. NVDA and GOOGL — Conviction Breakdowns (This Session)</w:t>
      </w:r>
    </w:p>
    <w:p w14:paraId="4CD18AEC" w14:textId="77777777" w:rsidR="004008B4" w:rsidRDefault="00000000">
      <w:pPr>
        <w:spacing w:after="40"/>
      </w:pPr>
      <w:r>
        <w:rPr>
          <w:b/>
          <w:bCs/>
          <w:color w:val="1F6FEB"/>
          <w:sz w:val="18"/>
          <w:szCs w:val="18"/>
        </w:rPr>
        <w:t>NEW — 28 JULY</w:t>
      </w:r>
    </w:p>
    <w:p w14:paraId="1DCB5B4D" w14:textId="77777777" w:rsidR="004008B4" w:rsidRDefault="00000000">
      <w:pPr>
        <w:spacing w:after="120"/>
      </w:pPr>
      <w:r>
        <w:rPr>
          <w:i/>
          <w:iCs/>
        </w:rPr>
        <w:t>Built using the older 9-dimension structure from the v5 spec, not the 15-dimension structure the production UI actually uses (Section 2 above) — several dimensions (Capital Allocation, Debt Maturity Risk, Gross Margin Trend, Insider Ownership, Reinvestment Runway, ROIC/WACC Spread) were folded into a single 'Balance Sheet' line here rather than scored separately. Not apples-to-apples with production output — flagging so the numbers aren't over-trusted.</w:t>
      </w:r>
    </w:p>
    <w:p w14:paraId="1D7A621B" w14:textId="77777777" w:rsidR="004008B4" w:rsidRDefault="00000000">
      <w:pPr>
        <w:pStyle w:val="Heading2"/>
        <w:spacing w:before="240" w:after="120"/>
      </w:pPr>
      <w:r>
        <w:t>4.1 NVIDIA (NVDA)</w:t>
      </w:r>
    </w:p>
    <w:p w14:paraId="7B126412" w14:textId="77777777" w:rsidR="004008B4" w:rsidRDefault="00000000">
      <w:pPr>
        <w:spacing w:after="120"/>
      </w:pPr>
      <w:r>
        <w:t>Price ~$206.84, market cap ~$5.0T, TTM PE 31.7x, forward PE ~23-24x, EV/fwd revenue ~13.5x.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4560"/>
      </w:tblGrid>
      <w:tr w:rsidR="004008B4" w14:paraId="5C54B76E" w14:textId="77777777">
        <w:tblPrEx>
          <w:tblCellMar>
            <w:top w:w="0" w:type="dxa"/>
            <w:bottom w:w="0" w:type="dxa"/>
          </w:tblCellMar>
        </w:tblPrEx>
        <w:trPr>
          <w:tblHeader/>
        </w:trPr>
        <w:tc>
          <w:tcPr>
            <w:tcW w:w="3600" w:type="dxa"/>
            <w:shd w:val="clear" w:color="auto" w:fill="1F2937"/>
            <w:vAlign w:val="center"/>
          </w:tcPr>
          <w:p w14:paraId="0B960492" w14:textId="77777777" w:rsidR="004008B4" w:rsidRDefault="00000000">
            <w:r>
              <w:rPr>
                <w:b/>
                <w:bCs/>
                <w:color w:val="FFFFFF"/>
              </w:rPr>
              <w:t>Dimension</w:t>
            </w:r>
          </w:p>
        </w:tc>
        <w:tc>
          <w:tcPr>
            <w:tcW w:w="1200" w:type="dxa"/>
            <w:shd w:val="clear" w:color="auto" w:fill="1F2937"/>
            <w:vAlign w:val="center"/>
          </w:tcPr>
          <w:p w14:paraId="153A1C73" w14:textId="77777777" w:rsidR="004008B4" w:rsidRDefault="00000000">
            <w:r>
              <w:rPr>
                <w:b/>
                <w:bCs/>
                <w:color w:val="FFFFFF"/>
              </w:rPr>
              <w:t>Score</w:t>
            </w:r>
          </w:p>
        </w:tc>
        <w:tc>
          <w:tcPr>
            <w:tcW w:w="4560" w:type="dxa"/>
            <w:shd w:val="clear" w:color="auto" w:fill="1F2937"/>
            <w:vAlign w:val="center"/>
          </w:tcPr>
          <w:p w14:paraId="71621F39" w14:textId="77777777" w:rsidR="004008B4" w:rsidRDefault="00000000">
            <w:r>
              <w:rPr>
                <w:b/>
                <w:bCs/>
                <w:color w:val="FFFFFF"/>
              </w:rPr>
              <w:t>Note</w:t>
            </w:r>
          </w:p>
        </w:tc>
      </w:tr>
      <w:tr w:rsidR="004008B4" w14:paraId="68D9166C" w14:textId="77777777">
        <w:tblPrEx>
          <w:tblCellMar>
            <w:top w:w="0" w:type="dxa"/>
            <w:bottom w:w="0" w:type="dxa"/>
          </w:tblCellMar>
        </w:tblPrEx>
        <w:tc>
          <w:tcPr>
            <w:tcW w:w="3600" w:type="dxa"/>
            <w:vAlign w:val="center"/>
          </w:tcPr>
          <w:p w14:paraId="390DDC31" w14:textId="77777777" w:rsidR="004008B4" w:rsidRDefault="00000000">
            <w:r>
              <w:t>Revenue quality</w:t>
            </w:r>
          </w:p>
        </w:tc>
        <w:tc>
          <w:tcPr>
            <w:tcW w:w="1200" w:type="dxa"/>
            <w:vAlign w:val="center"/>
          </w:tcPr>
          <w:p w14:paraId="63C5067C" w14:textId="77777777" w:rsidR="004008B4" w:rsidRDefault="00000000">
            <w:r>
              <w:t>+1</w:t>
            </w:r>
          </w:p>
        </w:tc>
        <w:tc>
          <w:tcPr>
            <w:tcW w:w="4560" w:type="dxa"/>
            <w:vAlign w:val="center"/>
          </w:tcPr>
          <w:p w14:paraId="1896B637" w14:textId="77777777" w:rsidR="004008B4" w:rsidRDefault="00000000">
            <w:r>
              <w:t>CUDA lock-in strong; hyperscaler customer concentration risk</w:t>
            </w:r>
          </w:p>
        </w:tc>
      </w:tr>
      <w:tr w:rsidR="004008B4" w14:paraId="18503D89" w14:textId="77777777">
        <w:tblPrEx>
          <w:tblCellMar>
            <w:top w:w="0" w:type="dxa"/>
            <w:bottom w:w="0" w:type="dxa"/>
          </w:tblCellMar>
        </w:tblPrEx>
        <w:tc>
          <w:tcPr>
            <w:tcW w:w="3600" w:type="dxa"/>
            <w:vAlign w:val="center"/>
          </w:tcPr>
          <w:p w14:paraId="6B3E2125" w14:textId="77777777" w:rsidR="004008B4" w:rsidRDefault="00000000">
            <w:r>
              <w:t>Growth trajectory</w:t>
            </w:r>
          </w:p>
        </w:tc>
        <w:tc>
          <w:tcPr>
            <w:tcW w:w="1200" w:type="dxa"/>
            <w:vAlign w:val="center"/>
          </w:tcPr>
          <w:p w14:paraId="498A8892" w14:textId="77777777" w:rsidR="004008B4" w:rsidRDefault="00000000">
            <w:r>
              <w:t>+2</w:t>
            </w:r>
          </w:p>
        </w:tc>
        <w:tc>
          <w:tcPr>
            <w:tcW w:w="4560" w:type="dxa"/>
            <w:vAlign w:val="center"/>
          </w:tcPr>
          <w:p w14:paraId="62A613BE" w14:textId="77777777" w:rsidR="004008B4" w:rsidRDefault="00000000">
            <w:r>
              <w:t>Revenue +85% YoY, Data Center +92%, three straight quarters accelerating</w:t>
            </w:r>
          </w:p>
        </w:tc>
      </w:tr>
      <w:tr w:rsidR="004008B4" w14:paraId="6804B034" w14:textId="77777777">
        <w:tblPrEx>
          <w:tblCellMar>
            <w:top w:w="0" w:type="dxa"/>
            <w:bottom w:w="0" w:type="dxa"/>
          </w:tblCellMar>
        </w:tblPrEx>
        <w:tc>
          <w:tcPr>
            <w:tcW w:w="3600" w:type="dxa"/>
            <w:vAlign w:val="center"/>
          </w:tcPr>
          <w:p w14:paraId="59557E9E" w14:textId="77777777" w:rsidR="004008B4" w:rsidRDefault="00000000">
            <w:r>
              <w:t>Margin quality</w:t>
            </w:r>
          </w:p>
        </w:tc>
        <w:tc>
          <w:tcPr>
            <w:tcW w:w="1200" w:type="dxa"/>
            <w:vAlign w:val="center"/>
          </w:tcPr>
          <w:p w14:paraId="3FE76909" w14:textId="77777777" w:rsidR="004008B4" w:rsidRDefault="00000000">
            <w:r>
              <w:t>+1</w:t>
            </w:r>
          </w:p>
        </w:tc>
        <w:tc>
          <w:tcPr>
            <w:tcW w:w="4560" w:type="dxa"/>
            <w:vAlign w:val="center"/>
          </w:tcPr>
          <w:p w14:paraId="2BB55EDB" w14:textId="77777777" w:rsidR="004008B4" w:rsidRDefault="00000000">
            <w:r>
              <w:t>75% gross margin; well above Rule-of-40-equivalent threshold</w:t>
            </w:r>
          </w:p>
        </w:tc>
      </w:tr>
      <w:tr w:rsidR="004008B4" w14:paraId="73EE9C94" w14:textId="77777777">
        <w:tblPrEx>
          <w:tblCellMar>
            <w:top w:w="0" w:type="dxa"/>
            <w:bottom w:w="0" w:type="dxa"/>
          </w:tblCellMar>
        </w:tblPrEx>
        <w:tc>
          <w:tcPr>
            <w:tcW w:w="3600" w:type="dxa"/>
            <w:vAlign w:val="center"/>
          </w:tcPr>
          <w:p w14:paraId="16E8A105" w14:textId="77777777" w:rsidR="004008B4" w:rsidRDefault="00000000">
            <w:r>
              <w:t>Balance sheet</w:t>
            </w:r>
          </w:p>
        </w:tc>
        <w:tc>
          <w:tcPr>
            <w:tcW w:w="1200" w:type="dxa"/>
            <w:vAlign w:val="center"/>
          </w:tcPr>
          <w:p w14:paraId="75760665" w14:textId="77777777" w:rsidR="004008B4" w:rsidRDefault="00000000">
            <w:r>
              <w:t>+2</w:t>
            </w:r>
          </w:p>
        </w:tc>
        <w:tc>
          <w:tcPr>
            <w:tcW w:w="4560" w:type="dxa"/>
            <w:vAlign w:val="center"/>
          </w:tcPr>
          <w:p w14:paraId="4BE038C4" w14:textId="77777777" w:rsidR="004008B4" w:rsidRDefault="00000000">
            <w:r>
              <w:t>D/E 0.07, net cash, ROE 114%, ROIC 105%</w:t>
            </w:r>
          </w:p>
        </w:tc>
      </w:tr>
      <w:tr w:rsidR="004008B4" w14:paraId="6E15B480" w14:textId="77777777">
        <w:tblPrEx>
          <w:tblCellMar>
            <w:top w:w="0" w:type="dxa"/>
            <w:bottom w:w="0" w:type="dxa"/>
          </w:tblCellMar>
        </w:tblPrEx>
        <w:tc>
          <w:tcPr>
            <w:tcW w:w="3600" w:type="dxa"/>
            <w:vAlign w:val="center"/>
          </w:tcPr>
          <w:p w14:paraId="23F9D0C1" w14:textId="77777777" w:rsidR="004008B4" w:rsidRDefault="00000000">
            <w:r>
              <w:t>CEO quality</w:t>
            </w:r>
          </w:p>
        </w:tc>
        <w:tc>
          <w:tcPr>
            <w:tcW w:w="1200" w:type="dxa"/>
            <w:vAlign w:val="center"/>
          </w:tcPr>
          <w:p w14:paraId="41CA40AC" w14:textId="77777777" w:rsidR="004008B4" w:rsidRDefault="00000000">
            <w:r>
              <w:t>+2</w:t>
            </w:r>
          </w:p>
        </w:tc>
        <w:tc>
          <w:tcPr>
            <w:tcW w:w="4560" w:type="dxa"/>
            <w:vAlign w:val="center"/>
          </w:tcPr>
          <w:p w14:paraId="071FE80B" w14:textId="77777777" w:rsidR="004008B4" w:rsidRDefault="00000000">
            <w:r>
              <w:t>Huang, founder since 1993 (SEC DEF14A confirmed live), 98-99% Glassdoor/Comparably approval</w:t>
            </w:r>
          </w:p>
        </w:tc>
      </w:tr>
      <w:tr w:rsidR="004008B4" w14:paraId="0B2A8136" w14:textId="77777777">
        <w:tblPrEx>
          <w:tblCellMar>
            <w:top w:w="0" w:type="dxa"/>
            <w:bottom w:w="0" w:type="dxa"/>
          </w:tblCellMar>
        </w:tblPrEx>
        <w:tc>
          <w:tcPr>
            <w:tcW w:w="3600" w:type="dxa"/>
            <w:vAlign w:val="center"/>
          </w:tcPr>
          <w:p w14:paraId="51BA8FC8" w14:textId="77777777" w:rsidR="004008B4" w:rsidRDefault="00000000">
            <w:r>
              <w:t>Competitive moat</w:t>
            </w:r>
          </w:p>
        </w:tc>
        <w:tc>
          <w:tcPr>
            <w:tcW w:w="1200" w:type="dxa"/>
            <w:vAlign w:val="center"/>
          </w:tcPr>
          <w:p w14:paraId="7D2ABA1A" w14:textId="77777777" w:rsidR="004008B4" w:rsidRDefault="00000000">
            <w:r>
              <w:t>+1</w:t>
            </w:r>
          </w:p>
        </w:tc>
        <w:tc>
          <w:tcPr>
            <w:tcW w:w="4560" w:type="dxa"/>
            <w:vAlign w:val="center"/>
          </w:tcPr>
          <w:p w14:paraId="6B327E77" w14:textId="77777777" w:rsidR="004008B4" w:rsidRDefault="00000000">
            <w:r>
              <w:t>Still dominant, but custom ASIC entrants (Google TPU, AWS Trainium) are a real, growing threat</w:t>
            </w:r>
          </w:p>
        </w:tc>
      </w:tr>
      <w:tr w:rsidR="004008B4" w14:paraId="636CBA72" w14:textId="77777777">
        <w:tblPrEx>
          <w:tblCellMar>
            <w:top w:w="0" w:type="dxa"/>
            <w:bottom w:w="0" w:type="dxa"/>
          </w:tblCellMar>
        </w:tblPrEx>
        <w:tc>
          <w:tcPr>
            <w:tcW w:w="3600" w:type="dxa"/>
            <w:vAlign w:val="center"/>
          </w:tcPr>
          <w:p w14:paraId="78ABB055" w14:textId="77777777" w:rsidR="004008B4" w:rsidRDefault="00000000">
            <w:r>
              <w:t>Macro tailwind</w:t>
            </w:r>
          </w:p>
        </w:tc>
        <w:tc>
          <w:tcPr>
            <w:tcW w:w="1200" w:type="dxa"/>
            <w:vAlign w:val="center"/>
          </w:tcPr>
          <w:p w14:paraId="6D98A42A" w14:textId="77777777" w:rsidR="004008B4" w:rsidRDefault="00000000">
            <w:r>
              <w:t>+2</w:t>
            </w:r>
          </w:p>
        </w:tc>
        <w:tc>
          <w:tcPr>
            <w:tcW w:w="4560" w:type="dxa"/>
            <w:vAlign w:val="center"/>
          </w:tcPr>
          <w:p w14:paraId="13DEBFB2" w14:textId="77777777" w:rsidR="004008B4" w:rsidRDefault="00000000">
            <w:r>
              <w:t>SIA-confirmed: global semiconductor sales on track to exceed $1.5T in 2026</w:t>
            </w:r>
          </w:p>
        </w:tc>
      </w:tr>
      <w:tr w:rsidR="004008B4" w14:paraId="64418448" w14:textId="77777777">
        <w:tblPrEx>
          <w:tblCellMar>
            <w:top w:w="0" w:type="dxa"/>
            <w:bottom w:w="0" w:type="dxa"/>
          </w:tblCellMar>
        </w:tblPrEx>
        <w:tc>
          <w:tcPr>
            <w:tcW w:w="3600" w:type="dxa"/>
            <w:vAlign w:val="center"/>
          </w:tcPr>
          <w:p w14:paraId="5D399CC0" w14:textId="77777777" w:rsidR="004008B4" w:rsidRDefault="00000000">
            <w:r>
              <w:t>Divergence signal</w:t>
            </w:r>
          </w:p>
        </w:tc>
        <w:tc>
          <w:tcPr>
            <w:tcW w:w="1200" w:type="dxa"/>
            <w:vAlign w:val="center"/>
          </w:tcPr>
          <w:p w14:paraId="063F5CD4" w14:textId="77777777" w:rsidR="004008B4" w:rsidRDefault="00000000">
            <w:r>
              <w:t>0</w:t>
            </w:r>
          </w:p>
        </w:tc>
        <w:tc>
          <w:tcPr>
            <w:tcW w:w="4560" w:type="dxa"/>
            <w:vAlign w:val="center"/>
          </w:tcPr>
          <w:p w14:paraId="47D8D3C8" w14:textId="77777777" w:rsidR="004008B4" w:rsidRDefault="00000000">
            <w:r>
              <w:t>Stock up 21% over 52wk — no price/fundamental gap to flag</w:t>
            </w:r>
          </w:p>
        </w:tc>
      </w:tr>
      <w:tr w:rsidR="004008B4" w14:paraId="6383BD84" w14:textId="77777777">
        <w:tblPrEx>
          <w:tblCellMar>
            <w:top w:w="0" w:type="dxa"/>
            <w:bottom w:w="0" w:type="dxa"/>
          </w:tblCellMar>
        </w:tblPrEx>
        <w:tc>
          <w:tcPr>
            <w:tcW w:w="3600" w:type="dxa"/>
            <w:vAlign w:val="center"/>
          </w:tcPr>
          <w:p w14:paraId="407CBC30" w14:textId="77777777" w:rsidR="004008B4" w:rsidRDefault="00000000">
            <w:r>
              <w:t>China / deal-delay risk</w:t>
            </w:r>
          </w:p>
        </w:tc>
        <w:tc>
          <w:tcPr>
            <w:tcW w:w="1200" w:type="dxa"/>
            <w:vAlign w:val="center"/>
          </w:tcPr>
          <w:p w14:paraId="0C4C44D9" w14:textId="77777777" w:rsidR="004008B4" w:rsidRDefault="00000000">
            <w:r>
              <w:t>-1</w:t>
            </w:r>
          </w:p>
        </w:tc>
        <w:tc>
          <w:tcPr>
            <w:tcW w:w="4560" w:type="dxa"/>
            <w:vAlign w:val="center"/>
          </w:tcPr>
          <w:p w14:paraId="64F9F047" w14:textId="77777777" w:rsidR="004008B4" w:rsidRDefault="00000000">
            <w:r>
              <w:t>H200 China shipments stalled by customs since Jan 2026, multi-source confirmed; China DC share below 60%</w:t>
            </w:r>
          </w:p>
        </w:tc>
      </w:tr>
      <w:tr w:rsidR="004008B4" w14:paraId="0C239830" w14:textId="77777777">
        <w:tblPrEx>
          <w:tblCellMar>
            <w:top w:w="0" w:type="dxa"/>
            <w:bottom w:w="0" w:type="dxa"/>
          </w:tblCellMar>
        </w:tblPrEx>
        <w:tc>
          <w:tcPr>
            <w:tcW w:w="3600" w:type="dxa"/>
            <w:vAlign w:val="center"/>
          </w:tcPr>
          <w:p w14:paraId="500A561B" w14:textId="77777777" w:rsidR="004008B4" w:rsidRDefault="00000000">
            <w:r>
              <w:t>BQ RAW</w:t>
            </w:r>
          </w:p>
        </w:tc>
        <w:tc>
          <w:tcPr>
            <w:tcW w:w="1200" w:type="dxa"/>
            <w:vAlign w:val="center"/>
          </w:tcPr>
          <w:p w14:paraId="37962BE4" w14:textId="77777777" w:rsidR="004008B4" w:rsidRDefault="00000000">
            <w:r>
              <w:t>+10</w:t>
            </w:r>
          </w:p>
        </w:tc>
        <w:tc>
          <w:tcPr>
            <w:tcW w:w="4560" w:type="dxa"/>
            <w:vAlign w:val="center"/>
          </w:tcPr>
          <w:p w14:paraId="171E9AC1" w14:textId="77777777" w:rsidR="004008B4" w:rsidRDefault="004008B4"/>
        </w:tc>
      </w:tr>
    </w:tbl>
    <w:p w14:paraId="4C921425" w14:textId="77777777" w:rsidR="004008B4" w:rsidRDefault="004008B4">
      <w:pPr>
        <w:spacing w:after="150"/>
      </w:pPr>
    </w:p>
    <w:p w14:paraId="1B1BBDD0" w14:textId="77777777" w:rsidR="004008B4" w:rsidRDefault="00000000">
      <w:pPr>
        <w:spacing w:after="120"/>
      </w:pPr>
      <w:r>
        <w:t>Valuation tax, as originally computed with business_type left unset: entry multiple ≥10x (-4) + growth-multiple fragility (-2) + China deal-delay (-2) + an SaaS-style high-beta modifier applied by analogy (-1) = -9. Conviction = +10 + (-9) = +1 → CANCEL BUY.</w:t>
      </w:r>
    </w:p>
    <w:p w14:paraId="124D9D65" w14:textId="77777777" w:rsidR="004008B4" w:rsidRDefault="00000000">
      <w:pPr>
        <w:spacing w:after="120"/>
      </w:pPr>
      <w:r>
        <w:rPr>
          <w:b/>
          <w:bCs/>
        </w:rPr>
        <w:t>That -1 high-beta component was wrong to include — NVDA is not a SaaS company, and there is no business_type field that actually justifies borrowing that modifier. It should be removed outright, not just softened.</w:t>
      </w:r>
    </w:p>
    <w:p w14:paraId="469BF472" w14:textId="77777777" w:rsidR="004008B4" w:rsidRDefault="00000000">
      <w:pPr>
        <w:spacing w:after="120"/>
      </w:pPr>
      <w:r>
        <w:t>As an interim manual adjustment only — NOT a specced rule (see Section 5.4) — the entry-multiple bracket was also manually softened by one tier (7-10x instead of ≥10x) on the reasoning that &gt;50% net margin should reduce the severity. This produces: entry multiple (-3) + growth-fragility (-2) + China deal-delay (-2) = -7. Conviction = +10 + (-7) = +3 → REDUCED BUY, 40% sizing, tight stop. Treat this only as a placeholder number until the actual business-type routing gate (Section 5) is built and the margin threshold is formally specced — it is not yet an authorized rule.</w:t>
      </w:r>
    </w:p>
    <w:p w14:paraId="67FDA190" w14:textId="77777777" w:rsidR="004008B4" w:rsidRDefault="00000000">
      <w:pPr>
        <w:pStyle w:val="Heading2"/>
        <w:spacing w:before="240" w:after="120"/>
      </w:pPr>
      <w:r>
        <w:t>4.2 Alphabet (GOOGL)</w:t>
      </w:r>
    </w:p>
    <w:p w14:paraId="082BFD96" w14:textId="77777777" w:rsidR="004008B4" w:rsidRDefault="00000000">
      <w:pPr>
        <w:spacing w:after="120"/>
      </w:pPr>
      <w:r>
        <w:t>Price ~$326.56, market cap ~$4.0T, TTM PE ~16.0-16.2x (distorted — see below), forward PE ~23.7-24.1x, EV/fwd revenue ~8.3x.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4560"/>
      </w:tblGrid>
      <w:tr w:rsidR="004008B4" w14:paraId="76BAEF4F" w14:textId="77777777">
        <w:tblPrEx>
          <w:tblCellMar>
            <w:top w:w="0" w:type="dxa"/>
            <w:bottom w:w="0" w:type="dxa"/>
          </w:tblCellMar>
        </w:tblPrEx>
        <w:trPr>
          <w:tblHeader/>
        </w:trPr>
        <w:tc>
          <w:tcPr>
            <w:tcW w:w="3600" w:type="dxa"/>
            <w:shd w:val="clear" w:color="auto" w:fill="1F2937"/>
            <w:vAlign w:val="center"/>
          </w:tcPr>
          <w:p w14:paraId="1AAC2907" w14:textId="77777777" w:rsidR="004008B4" w:rsidRDefault="00000000">
            <w:r>
              <w:rPr>
                <w:b/>
                <w:bCs/>
                <w:color w:val="FFFFFF"/>
              </w:rPr>
              <w:lastRenderedPageBreak/>
              <w:t>Dimension</w:t>
            </w:r>
          </w:p>
        </w:tc>
        <w:tc>
          <w:tcPr>
            <w:tcW w:w="1200" w:type="dxa"/>
            <w:shd w:val="clear" w:color="auto" w:fill="1F2937"/>
            <w:vAlign w:val="center"/>
          </w:tcPr>
          <w:p w14:paraId="59AEBA99" w14:textId="77777777" w:rsidR="004008B4" w:rsidRDefault="00000000">
            <w:r>
              <w:rPr>
                <w:b/>
                <w:bCs/>
                <w:color w:val="FFFFFF"/>
              </w:rPr>
              <w:t>Score</w:t>
            </w:r>
          </w:p>
        </w:tc>
        <w:tc>
          <w:tcPr>
            <w:tcW w:w="4560" w:type="dxa"/>
            <w:shd w:val="clear" w:color="auto" w:fill="1F2937"/>
            <w:vAlign w:val="center"/>
          </w:tcPr>
          <w:p w14:paraId="1F395D3F" w14:textId="77777777" w:rsidR="004008B4" w:rsidRDefault="00000000">
            <w:r>
              <w:rPr>
                <w:b/>
                <w:bCs/>
                <w:color w:val="FFFFFF"/>
              </w:rPr>
              <w:t>Note</w:t>
            </w:r>
          </w:p>
        </w:tc>
      </w:tr>
      <w:tr w:rsidR="004008B4" w14:paraId="02E94218" w14:textId="77777777">
        <w:tblPrEx>
          <w:tblCellMar>
            <w:top w:w="0" w:type="dxa"/>
            <w:bottom w:w="0" w:type="dxa"/>
          </w:tblCellMar>
        </w:tblPrEx>
        <w:tc>
          <w:tcPr>
            <w:tcW w:w="3600" w:type="dxa"/>
            <w:vAlign w:val="center"/>
          </w:tcPr>
          <w:p w14:paraId="7C7B9717" w14:textId="77777777" w:rsidR="004008B4" w:rsidRDefault="00000000">
            <w:r>
              <w:t>Revenue quality</w:t>
            </w:r>
          </w:p>
        </w:tc>
        <w:tc>
          <w:tcPr>
            <w:tcW w:w="1200" w:type="dxa"/>
            <w:vAlign w:val="center"/>
          </w:tcPr>
          <w:p w14:paraId="2C60550D" w14:textId="77777777" w:rsidR="004008B4" w:rsidRDefault="00000000">
            <w:r>
              <w:t>+1</w:t>
            </w:r>
          </w:p>
        </w:tc>
        <w:tc>
          <w:tcPr>
            <w:tcW w:w="4560" w:type="dxa"/>
            <w:vAlign w:val="center"/>
          </w:tcPr>
          <w:p w14:paraId="06ABABC4" w14:textId="77777777" w:rsidR="004008B4" w:rsidRDefault="00000000">
            <w:r>
              <w:t>Diversified Search / Cloud / YouTube, low customer concentration</w:t>
            </w:r>
          </w:p>
        </w:tc>
      </w:tr>
      <w:tr w:rsidR="004008B4" w14:paraId="5F7D95DC" w14:textId="77777777">
        <w:tblPrEx>
          <w:tblCellMar>
            <w:top w:w="0" w:type="dxa"/>
            <w:bottom w:w="0" w:type="dxa"/>
          </w:tblCellMar>
        </w:tblPrEx>
        <w:tc>
          <w:tcPr>
            <w:tcW w:w="3600" w:type="dxa"/>
            <w:vAlign w:val="center"/>
          </w:tcPr>
          <w:p w14:paraId="4999358F" w14:textId="77777777" w:rsidR="004008B4" w:rsidRDefault="00000000">
            <w:r>
              <w:t>Growth trajectory</w:t>
            </w:r>
          </w:p>
        </w:tc>
        <w:tc>
          <w:tcPr>
            <w:tcW w:w="1200" w:type="dxa"/>
            <w:vAlign w:val="center"/>
          </w:tcPr>
          <w:p w14:paraId="15A89A8D" w14:textId="77777777" w:rsidR="004008B4" w:rsidRDefault="00000000">
            <w:r>
              <w:t>+2</w:t>
            </w:r>
          </w:p>
        </w:tc>
        <w:tc>
          <w:tcPr>
            <w:tcW w:w="4560" w:type="dxa"/>
            <w:vAlign w:val="center"/>
          </w:tcPr>
          <w:p w14:paraId="003DD769" w14:textId="77777777" w:rsidR="004008B4" w:rsidRDefault="00000000">
            <w:r>
              <w:t>Revenue +24% YoY accelerating; Cloud accelerating 63% → 82%</w:t>
            </w:r>
          </w:p>
        </w:tc>
      </w:tr>
      <w:tr w:rsidR="004008B4" w14:paraId="3B08EFBC" w14:textId="77777777">
        <w:tblPrEx>
          <w:tblCellMar>
            <w:top w:w="0" w:type="dxa"/>
            <w:bottom w:w="0" w:type="dxa"/>
          </w:tblCellMar>
        </w:tblPrEx>
        <w:tc>
          <w:tcPr>
            <w:tcW w:w="3600" w:type="dxa"/>
            <w:vAlign w:val="center"/>
          </w:tcPr>
          <w:p w14:paraId="6FEAF409" w14:textId="77777777" w:rsidR="004008B4" w:rsidRDefault="00000000">
            <w:r>
              <w:t>Margin quality</w:t>
            </w:r>
          </w:p>
        </w:tc>
        <w:tc>
          <w:tcPr>
            <w:tcW w:w="1200" w:type="dxa"/>
            <w:vAlign w:val="center"/>
          </w:tcPr>
          <w:p w14:paraId="23A0E0B4" w14:textId="77777777" w:rsidR="004008B4" w:rsidRDefault="00000000">
            <w:r>
              <w:t>0</w:t>
            </w:r>
          </w:p>
        </w:tc>
        <w:tc>
          <w:tcPr>
            <w:tcW w:w="4560" w:type="dxa"/>
            <w:vAlign w:val="center"/>
          </w:tcPr>
          <w:p w14:paraId="6DD90E5D" w14:textId="77777777" w:rsidR="004008B4" w:rsidRDefault="00000000">
            <w:r>
              <w:t>Rule-of-40-equivalent ≈36; FCF margin thin due to capex surge</w:t>
            </w:r>
          </w:p>
        </w:tc>
      </w:tr>
      <w:tr w:rsidR="004008B4" w14:paraId="39A120A8" w14:textId="77777777">
        <w:tblPrEx>
          <w:tblCellMar>
            <w:top w:w="0" w:type="dxa"/>
            <w:bottom w:w="0" w:type="dxa"/>
          </w:tblCellMar>
        </w:tblPrEx>
        <w:tc>
          <w:tcPr>
            <w:tcW w:w="3600" w:type="dxa"/>
            <w:vAlign w:val="center"/>
          </w:tcPr>
          <w:p w14:paraId="60E1D2FD" w14:textId="77777777" w:rsidR="004008B4" w:rsidRDefault="00000000">
            <w:r>
              <w:t>Balance sheet</w:t>
            </w:r>
          </w:p>
        </w:tc>
        <w:tc>
          <w:tcPr>
            <w:tcW w:w="1200" w:type="dxa"/>
            <w:vAlign w:val="center"/>
          </w:tcPr>
          <w:p w14:paraId="52682FFE" w14:textId="77777777" w:rsidR="004008B4" w:rsidRDefault="00000000">
            <w:r>
              <w:t>+2</w:t>
            </w:r>
          </w:p>
        </w:tc>
        <w:tc>
          <w:tcPr>
            <w:tcW w:w="4560" w:type="dxa"/>
            <w:vAlign w:val="center"/>
          </w:tcPr>
          <w:p w14:paraId="0205F553" w14:textId="77777777" w:rsidR="004008B4" w:rsidRDefault="00000000">
            <w:r>
              <w:t>Net cash still positive, though buybacks fully suspended and heavily debt/equity funded this quarter — see Section 8</w:t>
            </w:r>
          </w:p>
        </w:tc>
      </w:tr>
      <w:tr w:rsidR="004008B4" w14:paraId="5E6742E3" w14:textId="77777777">
        <w:tblPrEx>
          <w:tblCellMar>
            <w:top w:w="0" w:type="dxa"/>
            <w:bottom w:w="0" w:type="dxa"/>
          </w:tblCellMar>
        </w:tblPrEx>
        <w:tc>
          <w:tcPr>
            <w:tcW w:w="3600" w:type="dxa"/>
            <w:vAlign w:val="center"/>
          </w:tcPr>
          <w:p w14:paraId="756EAD04" w14:textId="77777777" w:rsidR="004008B4" w:rsidRDefault="00000000">
            <w:r>
              <w:t>CEO quality</w:t>
            </w:r>
          </w:p>
        </w:tc>
        <w:tc>
          <w:tcPr>
            <w:tcW w:w="1200" w:type="dxa"/>
            <w:vAlign w:val="center"/>
          </w:tcPr>
          <w:p w14:paraId="31F05715" w14:textId="77777777" w:rsidR="004008B4" w:rsidRDefault="00000000">
            <w:r>
              <w:t>+1</w:t>
            </w:r>
          </w:p>
        </w:tc>
        <w:tc>
          <w:tcPr>
            <w:tcW w:w="4560" w:type="dxa"/>
            <w:vAlign w:val="center"/>
          </w:tcPr>
          <w:p w14:paraId="6C49985E" w14:textId="77777777" w:rsidR="004008B4" w:rsidRDefault="00000000">
            <w:r>
              <w:t>Pichai, long tenure, solid but not top-decile TSR vs SPY</w:t>
            </w:r>
          </w:p>
        </w:tc>
      </w:tr>
      <w:tr w:rsidR="004008B4" w14:paraId="3550C4B8" w14:textId="77777777">
        <w:tblPrEx>
          <w:tblCellMar>
            <w:top w:w="0" w:type="dxa"/>
            <w:bottom w:w="0" w:type="dxa"/>
          </w:tblCellMar>
        </w:tblPrEx>
        <w:tc>
          <w:tcPr>
            <w:tcW w:w="3600" w:type="dxa"/>
            <w:vAlign w:val="center"/>
          </w:tcPr>
          <w:p w14:paraId="3A7DD828" w14:textId="77777777" w:rsidR="004008B4" w:rsidRDefault="00000000">
            <w:r>
              <w:t>Competitive moat</w:t>
            </w:r>
          </w:p>
        </w:tc>
        <w:tc>
          <w:tcPr>
            <w:tcW w:w="1200" w:type="dxa"/>
            <w:vAlign w:val="center"/>
          </w:tcPr>
          <w:p w14:paraId="08DA3A45" w14:textId="77777777" w:rsidR="004008B4" w:rsidRDefault="00000000">
            <w:r>
              <w:t>+1</w:t>
            </w:r>
          </w:p>
        </w:tc>
        <w:tc>
          <w:tcPr>
            <w:tcW w:w="4560" w:type="dxa"/>
            <w:vAlign w:val="center"/>
          </w:tcPr>
          <w:p w14:paraId="36FA2456" w14:textId="77777777" w:rsidR="004008B4" w:rsidRDefault="00000000">
            <w:r>
              <w:t>Confirmed via Gartner MQ as a Leader, highest for Ability to Execute; but AI-chat disruption to core Search is a live, current threat</w:t>
            </w:r>
          </w:p>
        </w:tc>
      </w:tr>
      <w:tr w:rsidR="004008B4" w14:paraId="0AE3A3F6" w14:textId="77777777">
        <w:tblPrEx>
          <w:tblCellMar>
            <w:top w:w="0" w:type="dxa"/>
            <w:bottom w:w="0" w:type="dxa"/>
          </w:tblCellMar>
        </w:tblPrEx>
        <w:tc>
          <w:tcPr>
            <w:tcW w:w="3600" w:type="dxa"/>
            <w:vAlign w:val="center"/>
          </w:tcPr>
          <w:p w14:paraId="769799A3" w14:textId="77777777" w:rsidR="004008B4" w:rsidRDefault="00000000">
            <w:r>
              <w:t>Macro tailwind</w:t>
            </w:r>
          </w:p>
        </w:tc>
        <w:tc>
          <w:tcPr>
            <w:tcW w:w="1200" w:type="dxa"/>
            <w:vAlign w:val="center"/>
          </w:tcPr>
          <w:p w14:paraId="30EDF767" w14:textId="77777777" w:rsidR="004008B4" w:rsidRDefault="00000000">
            <w:r>
              <w:t>+1</w:t>
            </w:r>
          </w:p>
        </w:tc>
        <w:tc>
          <w:tcPr>
            <w:tcW w:w="4560" w:type="dxa"/>
            <w:vAlign w:val="center"/>
          </w:tcPr>
          <w:p w14:paraId="3439078E" w14:textId="77777777" w:rsidR="004008B4" w:rsidRDefault="00000000">
            <w:r>
              <w:t>Same Gartner MQ recognition doubles as macro evidence; offset by self-funded capex intensity headwind</w:t>
            </w:r>
          </w:p>
        </w:tc>
      </w:tr>
      <w:tr w:rsidR="004008B4" w14:paraId="2DB4DDFE" w14:textId="77777777">
        <w:tblPrEx>
          <w:tblCellMar>
            <w:top w:w="0" w:type="dxa"/>
            <w:bottom w:w="0" w:type="dxa"/>
          </w:tblCellMar>
        </w:tblPrEx>
        <w:tc>
          <w:tcPr>
            <w:tcW w:w="3600" w:type="dxa"/>
            <w:vAlign w:val="center"/>
          </w:tcPr>
          <w:p w14:paraId="5A15D1E2" w14:textId="77777777" w:rsidR="004008B4" w:rsidRDefault="00000000">
            <w:r>
              <w:t>Divergence signal</w:t>
            </w:r>
          </w:p>
        </w:tc>
        <w:tc>
          <w:tcPr>
            <w:tcW w:w="1200" w:type="dxa"/>
            <w:vAlign w:val="center"/>
          </w:tcPr>
          <w:p w14:paraId="1221A9D0" w14:textId="77777777" w:rsidR="004008B4" w:rsidRDefault="00000000">
            <w:r>
              <w:t>0</w:t>
            </w:r>
          </w:p>
        </w:tc>
        <w:tc>
          <w:tcPr>
            <w:tcW w:w="4560" w:type="dxa"/>
            <w:vAlign w:val="center"/>
          </w:tcPr>
          <w:p w14:paraId="307C5AD1" w14:textId="77777777" w:rsidR="004008B4" w:rsidRDefault="00000000">
            <w:r>
              <w:t>Stock up ~65-69% over 52wk — no compression pattern</w:t>
            </w:r>
          </w:p>
        </w:tc>
      </w:tr>
      <w:tr w:rsidR="004008B4" w14:paraId="4499BDD2" w14:textId="77777777">
        <w:tblPrEx>
          <w:tblCellMar>
            <w:top w:w="0" w:type="dxa"/>
            <w:bottom w:w="0" w:type="dxa"/>
          </w:tblCellMar>
        </w:tblPrEx>
        <w:tc>
          <w:tcPr>
            <w:tcW w:w="3600" w:type="dxa"/>
            <w:vAlign w:val="center"/>
          </w:tcPr>
          <w:p w14:paraId="0EB5197E" w14:textId="77777777" w:rsidR="004008B4" w:rsidRDefault="00000000">
            <w:r>
              <w:t>Deal delay / capacity signal</w:t>
            </w:r>
          </w:p>
        </w:tc>
        <w:tc>
          <w:tcPr>
            <w:tcW w:w="1200" w:type="dxa"/>
            <w:vAlign w:val="center"/>
          </w:tcPr>
          <w:p w14:paraId="549F9D6F" w14:textId="77777777" w:rsidR="004008B4" w:rsidRDefault="00000000">
            <w:r>
              <w:t>0 (different flag)</w:t>
            </w:r>
          </w:p>
        </w:tc>
        <w:tc>
          <w:tcPr>
            <w:tcW w:w="4560" w:type="dxa"/>
            <w:vAlign w:val="center"/>
          </w:tcPr>
          <w:p w14:paraId="0A67A10A" w14:textId="77777777" w:rsidR="004008B4" w:rsidRDefault="00000000">
            <w:r>
              <w:t>No deal-delay language in the transcript; instead, a supply-constrained / capacity-rationing signal — see Section 3 and Section 9</w:t>
            </w:r>
          </w:p>
        </w:tc>
      </w:tr>
      <w:tr w:rsidR="004008B4" w14:paraId="66224E28" w14:textId="77777777">
        <w:tblPrEx>
          <w:tblCellMar>
            <w:top w:w="0" w:type="dxa"/>
            <w:bottom w:w="0" w:type="dxa"/>
          </w:tblCellMar>
        </w:tblPrEx>
        <w:tc>
          <w:tcPr>
            <w:tcW w:w="3600" w:type="dxa"/>
            <w:vAlign w:val="center"/>
          </w:tcPr>
          <w:p w14:paraId="5913FC2D" w14:textId="77777777" w:rsidR="004008B4" w:rsidRDefault="00000000">
            <w:r>
              <w:t>BQ RAW</w:t>
            </w:r>
          </w:p>
        </w:tc>
        <w:tc>
          <w:tcPr>
            <w:tcW w:w="1200" w:type="dxa"/>
            <w:vAlign w:val="center"/>
          </w:tcPr>
          <w:p w14:paraId="6EBE30D9" w14:textId="77777777" w:rsidR="004008B4" w:rsidRDefault="00000000">
            <w:r>
              <w:t>+8</w:t>
            </w:r>
          </w:p>
        </w:tc>
        <w:tc>
          <w:tcPr>
            <w:tcW w:w="4560" w:type="dxa"/>
            <w:vAlign w:val="center"/>
          </w:tcPr>
          <w:p w14:paraId="1164E142" w14:textId="77777777" w:rsidR="004008B4" w:rsidRDefault="004008B4"/>
        </w:tc>
      </w:tr>
    </w:tbl>
    <w:p w14:paraId="4D1D42AD" w14:textId="77777777" w:rsidR="004008B4" w:rsidRDefault="004008B4">
      <w:pPr>
        <w:spacing w:after="150"/>
      </w:pPr>
    </w:p>
    <w:p w14:paraId="7693C122" w14:textId="77777777" w:rsidR="004008B4" w:rsidRDefault="00000000">
      <w:pPr>
        <w:spacing w:after="120"/>
      </w:pPr>
      <w:r>
        <w:t>Valuation tax: entry multiple 7-10x bracket (-3) + growth-multiple fragility (-2) = -5 (at the 4x-revenue floor). Conviction = +8 + (-5) = +3 → REDUCED BUY, 40% sizing, tight stop.</w:t>
      </w:r>
    </w:p>
    <w:p w14:paraId="1D6530D6" w14:textId="77777777" w:rsidR="004008B4" w:rsidRDefault="00000000">
      <w:pPr>
        <w:spacing w:after="120"/>
      </w:pPr>
      <w:r>
        <w:rPr>
          <w:b/>
          <w:bCs/>
        </w:rPr>
        <w:t>Data-integrity flag: the headline TTM PE of ~16x is misleadingly low because TTM GAAP EPS ($20.14) includes roughly $98B of one-time unrealized equity-security gains from Q2 2026 (confirmed directly in the 10-Q as the tagged XBRL fact DebtAndEquitySecuritiesGainLoss = $135,803 million for H1 2026). Do not feed this raw trailing PE into the percentile calc — use the ~24x forward PE, or better, back out the one-time gain (net of tax) from TTM net income before computing an adjusted trailing EPS and PE. See Section 6 for exactly how to source this mechanically.</w:t>
      </w:r>
    </w:p>
    <w:p w14:paraId="4E0F4268" w14:textId="77777777" w:rsidR="004008B4" w:rsidRDefault="00000000">
      <w:pPr>
        <w:pStyle w:val="Heading1"/>
        <w:spacing w:before="300" w:after="150"/>
      </w:pPr>
      <w:r>
        <w:t>5. The Missing Business-Type Routing Gate</w:t>
      </w:r>
    </w:p>
    <w:p w14:paraId="3A736041" w14:textId="77777777" w:rsidR="004008B4" w:rsidRDefault="00000000">
      <w:pPr>
        <w:spacing w:after="40"/>
      </w:pPr>
      <w:r>
        <w:rPr>
          <w:b/>
          <w:bCs/>
          <w:color w:val="1F6FEB"/>
          <w:sz w:val="18"/>
          <w:szCs w:val="18"/>
        </w:rPr>
        <w:t>NEW — 28 JULY</w:t>
      </w:r>
    </w:p>
    <w:p w14:paraId="77407A99" w14:textId="77777777" w:rsidR="004008B4" w:rsidRDefault="00000000">
      <w:pPr>
        <w:pStyle w:val="Heading2"/>
        <w:spacing w:before="240" w:after="120"/>
      </w:pPr>
      <w:r>
        <w:t>5.1 What went wrong</w:t>
      </w:r>
    </w:p>
    <w:p w14:paraId="7FAC2961" w14:textId="77777777" w:rsidR="004008B4" w:rsidRDefault="00000000">
      <w:pPr>
        <w:spacing w:after="120"/>
      </w:pPr>
      <w:r>
        <w:t>No ticker record has business_type='saas' formally set for NVDA — there is no live store in use in this conversation, and the tag was never explicitly applied anywhere. What happened: while manually walking through the valuation tax by hand, the -1 'high-beta regime' modifier was borrowed from SaaS logic by analogy, because no hardware/compute-specific bucket exists in the spec to use instead. That -1 was a mistake in the manual walkthrough and has been removed (Section 4.1).</w:t>
      </w:r>
    </w:p>
    <w:p w14:paraId="0ABC5A5D" w14:textId="77777777" w:rsidR="004008B4" w:rsidRDefault="00000000">
      <w:pPr>
        <w:spacing w:after="120"/>
      </w:pPr>
      <w:r>
        <w:t>The deeper, structural issue: per Section 3.2 of the v5 spec, the entry-multiple tiers and the mandatory 4x-revenue floor apply to any stock above the threshold, regardless of business_type. So even with a correctly labeled business_type, today's spec doesn't yet discount those two components for high-margin hardware names — the label alone would not fix this without a matching change to the tax logic.</w:t>
      </w:r>
    </w:p>
    <w:p w14:paraId="76E35974" w14:textId="77777777" w:rsidR="004008B4" w:rsidRDefault="00000000">
      <w:pPr>
        <w:pStyle w:val="Heading2"/>
        <w:spacing w:before="240" w:after="120"/>
      </w:pPr>
      <w:r>
        <w:t>5.2 Why it matters</w:t>
      </w:r>
    </w:p>
    <w:p w14:paraId="0AEBB5C6" w14:textId="77777777" w:rsidR="004008B4" w:rsidRDefault="00000000">
      <w:pPr>
        <w:spacing w:after="120"/>
      </w:pPr>
      <w:r>
        <w:t>The entry-multiple tiers and the 4x floor were calibrated against SaaS economics, where a company at 10x+ revenue with 15-25% net margins is genuinely fragile — a growth miss collapses the multiple with no profit cushion underneath it. NVDA at ~13.5x EV/fwd revenue is a different animal: 75% gross margin, 60%+ net margin, $58B net income in a single quarter. Scoring it on the same revenue-multiple ruler as a thin-margin SaaS name overstates its valuation risk.</w:t>
      </w:r>
    </w:p>
    <w:p w14:paraId="0FA91F5C" w14:textId="77777777" w:rsidR="004008B4" w:rsidRDefault="00000000">
      <w:pPr>
        <w:pStyle w:val="Heading2"/>
        <w:spacing w:before="240" w:after="120"/>
      </w:pPr>
      <w:r>
        <w:lastRenderedPageBreak/>
        <w:t>5.3 What stays the same — growth-multiple fragility</w:t>
      </w:r>
    </w:p>
    <w:p w14:paraId="6624C943" w14:textId="77777777" w:rsidR="004008B4" w:rsidRDefault="00000000">
      <w:pPr>
        <w:spacing w:after="120"/>
      </w:pPr>
      <w:r>
        <w:t>Separately from the entry-multiple issue: the growth-multiple fragility component (EV/fwd rev ≥4x AND revenue growth ≥15% → -2) should NOT be removed for NVDA. This logic transfers to hardware, not just SaaS — NVDA's stock has repeatedly sold off hard purely on data-center growth-deceleration signals, independent of margin trends, because the market is pricing the growth rate itself. Fast growth is already rewarded elsewhere, in the Quality Score's growth-trajectory dimension — it justifies paying a higher price. It does not remove the separate risk of what happens if that growth rate decelerates. A stock priced for 85% growth is like a sprinter, not a walker: slowing even to a still-excellent 55% reads as a miss relative to what was priced in, exactly as happened to Salesforce, Snowflake, and Workday in 2022 when growth went from exceptional to merely very good. These are two separate questions and the tax structure is deliberately built to answer both rather than let one cancel the other.</w:t>
      </w:r>
    </w:p>
    <w:p w14:paraId="2C49FC10" w14:textId="77777777" w:rsidR="004008B4" w:rsidRDefault="00000000">
      <w:pPr>
        <w:pStyle w:val="Heading2"/>
        <w:spacing w:before="240" w:after="120"/>
      </w:pPr>
      <w:r>
        <w:t>5.4 Clarification on the interim NVDA number used in Section 4.1</w:t>
      </w:r>
    </w:p>
    <w:p w14:paraId="2D57BACB" w14:textId="77777777" w:rsidR="004008B4" w:rsidRDefault="00000000">
      <w:pPr>
        <w:spacing w:after="120"/>
      </w:pPr>
      <w:r>
        <w:t>IMPORTANT: the '&gt;50% net margin → soften the entry-multiple bracket by one tier' adjustment used to get NVDA's interim conviction score of +3 is NOT a specced rule. It was invented on the spot in this conversation as a stopgap to produce a usable number pending the real fix below. Divyanshu should not build this exact rule as written — it needs a properly defined threshold and rationale before it becomes part of the spec. Treat the +3 NVDA number as illustrative only, not authoritative.</w:t>
      </w:r>
    </w:p>
    <w:p w14:paraId="19A5D471" w14:textId="77777777" w:rsidR="004008B4" w:rsidRDefault="00000000">
      <w:pPr>
        <w:pStyle w:val="Heading2"/>
        <w:spacing w:before="240" w:after="120"/>
      </w:pPr>
      <w:r>
        <w:t>5.5 The actual fix to build — mechanical, not agentic</w:t>
      </w:r>
    </w:p>
    <w:p w14:paraId="09D3AC99" w14:textId="77777777" w:rsidR="004008B4" w:rsidRDefault="00000000">
      <w:pPr>
        <w:spacing w:after="120"/>
      </w:pPr>
      <w:r>
        <w:t>This classification should be the one purely deterministic field in the whole engine — no LLM call, no confidence score, no source list needed:</w:t>
      </w:r>
    </w:p>
    <w:p w14:paraId="1891303E" w14:textId="77777777" w:rsidR="004008B4" w:rsidRDefault="00000000">
      <w:pPr>
        <w:pStyle w:val="ListParagraph"/>
        <w:numPr>
          <w:ilvl w:val="0"/>
          <w:numId w:val="1"/>
        </w:numPr>
        <w:spacing w:after="80"/>
      </w:pPr>
      <w:r>
        <w:t>Pull GICS sub-industry (or SIC code) directly from yfinance info['sector'] / info['industry'], or the SEC EDGAR company-facts API — both are static, objective fields.</w:t>
      </w:r>
    </w:p>
    <w:p w14:paraId="14F47904" w14:textId="77777777" w:rsidR="004008B4" w:rsidRDefault="00000000">
      <w:pPr>
        <w:pStyle w:val="ListParagraph"/>
        <w:numPr>
          <w:ilvl w:val="0"/>
          <w:numId w:val="1"/>
        </w:numPr>
        <w:spacing w:after="80"/>
      </w:pPr>
      <w:r>
        <w:t>Build a static lookup table maintained once in code: e.g. GICS 'Semiconductors' / 'Technology Hardware, Storage &amp; Peripherals' → a new bucket 'high_margin_hardware'; GICS 'Application Software' / 'Systems Software' → 'saas' (unchanged).</w:t>
      </w:r>
    </w:p>
    <w:p w14:paraId="01D354AA" w14:textId="77777777" w:rsidR="004008B4" w:rsidRDefault="00000000">
      <w:pPr>
        <w:pStyle w:val="ListParagraph"/>
        <w:numPr>
          <w:ilvl w:val="0"/>
          <w:numId w:val="1"/>
        </w:numPr>
        <w:spacing w:after="80"/>
      </w:pPr>
      <w:r>
        <w:t>For 'high_margin_hardware': use EV/forward-EBITDA (or a margin-normalized EV/Revenue — raw EV/Rev divided by (net margin / 20%)) as the entry-multiple driver instead of raw EV/Revenue; exempt this bucket from the SaaS-specific modifiers (saas beta -1, saas type -1); and exempt it from the automatic -5 floor, since the floor's rationale (execution AND multiple maintenance must both go right) doesn't hold the same way when the multiple is already backed by current profit rather than a pure growth story.</w:t>
      </w:r>
    </w:p>
    <w:p w14:paraId="2363B8CE" w14:textId="77777777" w:rsidR="004008B4" w:rsidRDefault="00000000">
      <w:pPr>
        <w:spacing w:after="120"/>
      </w:pPr>
      <w:r>
        <w:rPr>
          <w:b/>
          <w:bCs/>
        </w:rPr>
        <w:t>Priority: this should be built as a Day-1 mechanical field alongside the other static fundamentals, ahead of the remaining agentic dimension work — it is simpler than any of those and currently produces a wrong answer for every hardware/semiconductor name in the model universe, not just NVDA.</w:t>
      </w:r>
    </w:p>
    <w:p w14:paraId="43B56F69" w14:textId="77777777" w:rsidR="004008B4" w:rsidRDefault="00000000">
      <w:pPr>
        <w:pStyle w:val="Heading2"/>
        <w:spacing w:before="240" w:after="120"/>
      </w:pPr>
      <w:r>
        <w:t>5.6 Applying this across the full model universe</w:t>
      </w:r>
    </w:p>
    <w:p w14:paraId="227FDEF2" w14:textId="77777777" w:rsidR="004008B4" w:rsidRDefault="00000000">
      <w:pPr>
        <w:spacing w:after="120"/>
      </w:pPr>
      <w:r>
        <w:t>This same business_type classification needs to be run across all ~200 assets in the model universe, not just NVDA and GOOGL — every name needs a GICS-derived bucket and the correct valuation driver assigned before its expensiveness score can be trusted. Rohit is retrieving the actual ticker list; once available, this classification table can be built in one pass rather than per-ticker as issues surface.</w:t>
      </w:r>
    </w:p>
    <w:p w14:paraId="1E98AE8D" w14:textId="77777777" w:rsidR="004008B4" w:rsidRDefault="00000000">
      <w:pPr>
        <w:pStyle w:val="Heading2"/>
        <w:spacing w:before="240" w:after="120"/>
      </w:pPr>
      <w:r>
        <w:t>5.7 Full Business-Type Classification — USA-Centric Sector Logic</w:t>
      </w:r>
    </w:p>
    <w:p w14:paraId="626D1962" w14:textId="77777777" w:rsidR="004008B4" w:rsidRDefault="00000000">
      <w:pPr>
        <w:spacing w:after="40"/>
      </w:pPr>
      <w:r>
        <w:rPr>
          <w:b/>
          <w:bCs/>
          <w:color w:val="1F6FEB"/>
          <w:sz w:val="18"/>
          <w:szCs w:val="18"/>
        </w:rPr>
        <w:t>NEW — 28 JULY, researched</w:t>
      </w:r>
    </w:p>
    <w:p w14:paraId="0E73AD5B" w14:textId="77777777" w:rsidR="004008B4" w:rsidRDefault="00000000">
      <w:pPr>
        <w:spacing w:after="120"/>
      </w:pPr>
      <w:r>
        <w:t>The table below is the complete classification Divyanshu can build against, independent of the actual ticker list — the GICS-to-bucket mapping and the valuation-driver substitution logic don't require seeing specific names first. NZ and Canada exchange-level yield-trap thresholds are already covered in Section 4 of the v5 spec (Section 1 above) and are unchanged by this addition; this section is specifically about US-listed sector types that need their own valuation driver, not another yield-trap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4008B4" w14:paraId="500CA200" w14:textId="77777777">
        <w:tblPrEx>
          <w:tblCellMar>
            <w:top w:w="0" w:type="dxa"/>
            <w:bottom w:w="0" w:type="dxa"/>
          </w:tblCellMar>
        </w:tblPrEx>
        <w:trPr>
          <w:tblHeader/>
        </w:trPr>
        <w:tc>
          <w:tcPr>
            <w:tcW w:w="2000" w:type="dxa"/>
            <w:shd w:val="clear" w:color="auto" w:fill="1F2937"/>
            <w:vAlign w:val="center"/>
          </w:tcPr>
          <w:p w14:paraId="06CE2CFE" w14:textId="77777777" w:rsidR="004008B4" w:rsidRDefault="00000000">
            <w:r>
              <w:rPr>
                <w:b/>
                <w:bCs/>
                <w:color w:val="FFFFFF"/>
              </w:rPr>
              <w:lastRenderedPageBreak/>
              <w:t>business_type</w:t>
            </w:r>
          </w:p>
        </w:tc>
        <w:tc>
          <w:tcPr>
            <w:tcW w:w="2400" w:type="dxa"/>
            <w:shd w:val="clear" w:color="auto" w:fill="1F2937"/>
            <w:vAlign w:val="center"/>
          </w:tcPr>
          <w:p w14:paraId="2EA0B0D7" w14:textId="77777777" w:rsidR="004008B4" w:rsidRDefault="00000000">
            <w:r>
              <w:rPr>
                <w:b/>
                <w:bCs/>
                <w:color w:val="FFFFFF"/>
              </w:rPr>
              <w:t>GICS / sector signal</w:t>
            </w:r>
          </w:p>
        </w:tc>
        <w:tc>
          <w:tcPr>
            <w:tcW w:w="2400" w:type="dxa"/>
            <w:shd w:val="clear" w:color="auto" w:fill="1F2937"/>
            <w:vAlign w:val="center"/>
          </w:tcPr>
          <w:p w14:paraId="65ACF428" w14:textId="77777777" w:rsidR="004008B4" w:rsidRDefault="00000000">
            <w:r>
              <w:rPr>
                <w:b/>
                <w:bCs/>
                <w:color w:val="FFFFFF"/>
              </w:rPr>
              <w:t>Correct valuation driver</w:t>
            </w:r>
          </w:p>
        </w:tc>
        <w:tc>
          <w:tcPr>
            <w:tcW w:w="2560" w:type="dxa"/>
            <w:shd w:val="clear" w:color="auto" w:fill="1F2937"/>
            <w:vAlign w:val="center"/>
          </w:tcPr>
          <w:p w14:paraId="371F8A62" w14:textId="77777777" w:rsidR="004008B4" w:rsidRDefault="00000000">
            <w:r>
              <w:rPr>
                <w:b/>
                <w:bCs/>
                <w:color w:val="FFFFFF"/>
              </w:rPr>
              <w:t>Why EV/Rev or EV/EBITDA fails here</w:t>
            </w:r>
          </w:p>
        </w:tc>
      </w:tr>
      <w:tr w:rsidR="004008B4" w14:paraId="5C76BA68" w14:textId="77777777">
        <w:tblPrEx>
          <w:tblCellMar>
            <w:top w:w="0" w:type="dxa"/>
            <w:bottom w:w="0" w:type="dxa"/>
          </w:tblCellMar>
        </w:tblPrEx>
        <w:tc>
          <w:tcPr>
            <w:tcW w:w="2000" w:type="dxa"/>
            <w:vAlign w:val="center"/>
          </w:tcPr>
          <w:p w14:paraId="0FAFB005" w14:textId="77777777" w:rsidR="004008B4" w:rsidRDefault="00000000">
            <w:r>
              <w:t>saas</w:t>
            </w:r>
          </w:p>
        </w:tc>
        <w:tc>
          <w:tcPr>
            <w:tcW w:w="2400" w:type="dxa"/>
            <w:vAlign w:val="center"/>
          </w:tcPr>
          <w:p w14:paraId="6200775F" w14:textId="77777777" w:rsidR="004008B4" w:rsidRDefault="00000000">
            <w:r>
              <w:t>Application Software, Systems Software, Internet Services</w:t>
            </w:r>
          </w:p>
        </w:tc>
        <w:tc>
          <w:tcPr>
            <w:tcW w:w="2400" w:type="dxa"/>
            <w:vAlign w:val="center"/>
          </w:tcPr>
          <w:p w14:paraId="46F06342" w14:textId="77777777" w:rsidR="004008B4" w:rsidRDefault="00000000">
            <w:r>
              <w:t>EV/fwd revenue (existing spec, unchanged)</w:t>
            </w:r>
          </w:p>
        </w:tc>
        <w:tc>
          <w:tcPr>
            <w:tcW w:w="2560" w:type="dxa"/>
            <w:vAlign w:val="center"/>
          </w:tcPr>
          <w:p w14:paraId="0F1CBC76" w14:textId="77777777" w:rsidR="004008B4" w:rsidRDefault="00000000">
            <w:r>
              <w:t>N/A — this is the calibration case</w:t>
            </w:r>
          </w:p>
        </w:tc>
      </w:tr>
      <w:tr w:rsidR="004008B4" w14:paraId="7F641068" w14:textId="77777777">
        <w:tblPrEx>
          <w:tblCellMar>
            <w:top w:w="0" w:type="dxa"/>
            <w:bottom w:w="0" w:type="dxa"/>
          </w:tblCellMar>
        </w:tblPrEx>
        <w:tc>
          <w:tcPr>
            <w:tcW w:w="2000" w:type="dxa"/>
            <w:vAlign w:val="center"/>
          </w:tcPr>
          <w:p w14:paraId="51DA02D2" w14:textId="77777777" w:rsidR="004008B4" w:rsidRDefault="00000000">
            <w:r>
              <w:t>high_margin_hardware</w:t>
            </w:r>
          </w:p>
        </w:tc>
        <w:tc>
          <w:tcPr>
            <w:tcW w:w="2400" w:type="dxa"/>
            <w:vAlign w:val="center"/>
          </w:tcPr>
          <w:p w14:paraId="33AB005E" w14:textId="77777777" w:rsidR="004008B4" w:rsidRDefault="00000000">
            <w:r>
              <w:t>Semiconductors, Semiconductor Equipment, Tech Hardware (net margin above an agreed threshold)</w:t>
            </w:r>
          </w:p>
        </w:tc>
        <w:tc>
          <w:tcPr>
            <w:tcW w:w="2400" w:type="dxa"/>
            <w:vAlign w:val="center"/>
          </w:tcPr>
          <w:p w14:paraId="4239D3F7" w14:textId="77777777" w:rsidR="004008B4" w:rsidRDefault="00000000">
            <w:r>
              <w:t>EV/fwd EBITDA, or margin-normalized EV/Rev</w:t>
            </w:r>
          </w:p>
        </w:tc>
        <w:tc>
          <w:tcPr>
            <w:tcW w:w="2560" w:type="dxa"/>
            <w:vAlign w:val="center"/>
          </w:tcPr>
          <w:p w14:paraId="3F857EF3" w14:textId="77777777" w:rsidR="004008B4" w:rsidRDefault="00000000">
            <w:r>
              <w:t>Raw EV/Rev conflates a 20%-margin SaaS name with a 60%-margin chip maker (Section 5, this session)</w:t>
            </w:r>
          </w:p>
        </w:tc>
      </w:tr>
      <w:tr w:rsidR="004008B4" w14:paraId="04594EEC" w14:textId="77777777">
        <w:tblPrEx>
          <w:tblCellMar>
            <w:top w:w="0" w:type="dxa"/>
            <w:bottom w:w="0" w:type="dxa"/>
          </w:tblCellMar>
        </w:tblPrEx>
        <w:tc>
          <w:tcPr>
            <w:tcW w:w="2000" w:type="dxa"/>
            <w:vAlign w:val="center"/>
          </w:tcPr>
          <w:p w14:paraId="3CD667B5" w14:textId="77777777" w:rsidR="004008B4" w:rsidRDefault="00000000">
            <w:r>
              <w:t>compounder / cyclical</w:t>
            </w:r>
          </w:p>
        </w:tc>
        <w:tc>
          <w:tcPr>
            <w:tcW w:w="2400" w:type="dxa"/>
            <w:vAlign w:val="center"/>
          </w:tcPr>
          <w:p w14:paraId="0855633F" w14:textId="77777777" w:rsidR="004008B4" w:rsidRDefault="00000000">
            <w:r>
              <w:t>Quality industrials, consumer staples, materials, energy</w:t>
            </w:r>
          </w:p>
        </w:tc>
        <w:tc>
          <w:tcPr>
            <w:tcW w:w="2400" w:type="dxa"/>
            <w:vAlign w:val="center"/>
          </w:tcPr>
          <w:p w14:paraId="4ECD2F38" w14:textId="77777777" w:rsidR="004008B4" w:rsidRDefault="00000000">
            <w:r>
              <w:t>EV/fwd EBITDA (through-cycle average for cyclicals, not spot)</w:t>
            </w:r>
          </w:p>
        </w:tc>
        <w:tc>
          <w:tcPr>
            <w:tcW w:w="2560" w:type="dxa"/>
            <w:vAlign w:val="center"/>
          </w:tcPr>
          <w:p w14:paraId="30994E30" w14:textId="77777777" w:rsidR="004008B4" w:rsidRDefault="00000000">
            <w:r>
              <w:t>Existing spec default, unchanged</w:t>
            </w:r>
          </w:p>
        </w:tc>
      </w:tr>
      <w:tr w:rsidR="004008B4" w14:paraId="62EF1FA8" w14:textId="77777777">
        <w:tblPrEx>
          <w:tblCellMar>
            <w:top w:w="0" w:type="dxa"/>
            <w:bottom w:w="0" w:type="dxa"/>
          </w:tblCellMar>
        </w:tblPrEx>
        <w:tc>
          <w:tcPr>
            <w:tcW w:w="2000" w:type="dxa"/>
            <w:vAlign w:val="center"/>
          </w:tcPr>
          <w:p w14:paraId="71357226" w14:textId="77777777" w:rsidR="004008B4" w:rsidRDefault="00000000">
            <w:r>
              <w:t>income / utility / gentailer</w:t>
            </w:r>
          </w:p>
        </w:tc>
        <w:tc>
          <w:tcPr>
            <w:tcW w:w="2400" w:type="dxa"/>
            <w:vAlign w:val="center"/>
          </w:tcPr>
          <w:p w14:paraId="2A690169" w14:textId="77777777" w:rsidR="004008B4" w:rsidRDefault="00000000">
            <w:r>
              <w:t>Utilities, Multi-Utilities; NZX/ASX gentailers (CEN, MEL, MCY, GNE)</w:t>
            </w:r>
          </w:p>
        </w:tc>
        <w:tc>
          <w:tcPr>
            <w:tcW w:w="2400" w:type="dxa"/>
            <w:vAlign w:val="center"/>
          </w:tcPr>
          <w:p w14:paraId="1967D850" w14:textId="77777777" w:rsidR="004008B4" w:rsidRDefault="00000000">
            <w:r>
              <w:t>Dividend yield/payout + PE-vs-own-history; SOE flag where applicable</w:t>
            </w:r>
          </w:p>
        </w:tc>
        <w:tc>
          <w:tcPr>
            <w:tcW w:w="2560" w:type="dxa"/>
            <w:vAlign w:val="center"/>
          </w:tcPr>
          <w:p w14:paraId="3FE22D42" w14:textId="77777777" w:rsidR="004008B4" w:rsidRDefault="00000000">
            <w:r>
              <w:t>Already working per existing framework — unchanged</w:t>
            </w:r>
          </w:p>
        </w:tc>
      </w:tr>
      <w:tr w:rsidR="004008B4" w14:paraId="7BA66773" w14:textId="77777777">
        <w:tblPrEx>
          <w:tblCellMar>
            <w:top w:w="0" w:type="dxa"/>
            <w:bottom w:w="0" w:type="dxa"/>
          </w:tblCellMar>
        </w:tblPrEx>
        <w:tc>
          <w:tcPr>
            <w:tcW w:w="2000" w:type="dxa"/>
            <w:vAlign w:val="center"/>
          </w:tcPr>
          <w:p w14:paraId="0A9E5257" w14:textId="77777777" w:rsidR="004008B4" w:rsidRDefault="00000000">
            <w:r>
              <w:t>financials — banks</w:t>
            </w:r>
          </w:p>
        </w:tc>
        <w:tc>
          <w:tcPr>
            <w:tcW w:w="2400" w:type="dxa"/>
            <w:vAlign w:val="center"/>
          </w:tcPr>
          <w:p w14:paraId="76C99311" w14:textId="77777777" w:rsidR="004008B4" w:rsidRDefault="00000000">
            <w:r>
              <w:t>Banks, Diversified Banks, Regional Banks</w:t>
            </w:r>
          </w:p>
        </w:tc>
        <w:tc>
          <w:tcPr>
            <w:tcW w:w="2400" w:type="dxa"/>
            <w:vAlign w:val="center"/>
          </w:tcPr>
          <w:p w14:paraId="2E1BED9C" w14:textId="77777777" w:rsidR="004008B4" w:rsidRDefault="00000000">
            <w:r>
              <w:t>Price-to-Tangible-Book-Value vs. ROE (excess-return model): P/TBV = (ROE − g) / (Cost of Equity − g)</w:t>
            </w:r>
          </w:p>
        </w:tc>
        <w:tc>
          <w:tcPr>
            <w:tcW w:w="2560" w:type="dxa"/>
            <w:vAlign w:val="center"/>
          </w:tcPr>
          <w:p w14:paraId="00774BDF" w14:textId="77777777" w:rsidR="004008B4" w:rsidRDefault="00000000">
            <w:r>
              <w:t>A bank's revenue and EBITDA are not economically meaningful — its balance sheet IS the business. EV/Revenue conflates deposit-funded balance sheet leverage with an operating company's sales. This is the standard Damodaran excess-return framework used across professional bank-equity research.</w:t>
            </w:r>
          </w:p>
        </w:tc>
      </w:tr>
      <w:tr w:rsidR="004008B4" w14:paraId="60BAFF4E" w14:textId="77777777">
        <w:tblPrEx>
          <w:tblCellMar>
            <w:top w:w="0" w:type="dxa"/>
            <w:bottom w:w="0" w:type="dxa"/>
          </w:tblCellMar>
        </w:tblPrEx>
        <w:tc>
          <w:tcPr>
            <w:tcW w:w="2000" w:type="dxa"/>
            <w:vAlign w:val="center"/>
          </w:tcPr>
          <w:p w14:paraId="39DBA4E2" w14:textId="77777777" w:rsidR="004008B4" w:rsidRDefault="00000000">
            <w:r>
              <w:t>financials — insurers</w:t>
            </w:r>
          </w:p>
        </w:tc>
        <w:tc>
          <w:tcPr>
            <w:tcW w:w="2400" w:type="dxa"/>
            <w:vAlign w:val="center"/>
          </w:tcPr>
          <w:p w14:paraId="3A514BF1" w14:textId="77777777" w:rsidR="004008B4" w:rsidRDefault="00000000">
            <w:r>
              <w:t>Insurance (Life &amp; Health, P&amp;C, Multi-line)</w:t>
            </w:r>
          </w:p>
        </w:tc>
        <w:tc>
          <w:tcPr>
            <w:tcW w:w="2400" w:type="dxa"/>
            <w:vAlign w:val="center"/>
          </w:tcPr>
          <w:p w14:paraId="5BDB2E39" w14:textId="77777777" w:rsidR="004008B4" w:rsidRDefault="00000000">
            <w:r>
              <w:t>P/TBV vs. ROE, cross-checked against combined ratio (P&amp;C) or embedded value (life)</w:t>
            </w:r>
          </w:p>
        </w:tc>
        <w:tc>
          <w:tcPr>
            <w:tcW w:w="2560" w:type="dxa"/>
            <w:vAlign w:val="center"/>
          </w:tcPr>
          <w:p w14:paraId="02891A1A" w14:textId="77777777" w:rsidR="004008B4" w:rsidRDefault="00000000">
            <w:r>
              <w:t>Same balance-sheet logic as banks; combined ratio (claims + expenses ÷ premiums) is the underwriting-quality signal an EV/Rev or EV/EBITDA screen would miss entirely</w:t>
            </w:r>
          </w:p>
        </w:tc>
      </w:tr>
      <w:tr w:rsidR="004008B4" w14:paraId="3F43D974" w14:textId="77777777">
        <w:tblPrEx>
          <w:tblCellMar>
            <w:top w:w="0" w:type="dxa"/>
            <w:bottom w:w="0" w:type="dxa"/>
          </w:tblCellMar>
        </w:tblPrEx>
        <w:tc>
          <w:tcPr>
            <w:tcW w:w="2000" w:type="dxa"/>
            <w:vAlign w:val="center"/>
          </w:tcPr>
          <w:p w14:paraId="00E14575" w14:textId="77777777" w:rsidR="004008B4" w:rsidRDefault="00000000">
            <w:r>
              <w:t>REIT / real estate</w:t>
            </w:r>
          </w:p>
        </w:tc>
        <w:tc>
          <w:tcPr>
            <w:tcW w:w="2400" w:type="dxa"/>
            <w:vAlign w:val="center"/>
          </w:tcPr>
          <w:p w14:paraId="5D32561F" w14:textId="77777777" w:rsidR="004008B4" w:rsidRDefault="00000000">
            <w:r>
              <w:t>Equity REITs (all US property sub-sectors: data center, industrial, net lease, office, multifamily, etc.)</w:t>
            </w:r>
          </w:p>
        </w:tc>
        <w:tc>
          <w:tcPr>
            <w:tcW w:w="2400" w:type="dxa"/>
            <w:vAlign w:val="center"/>
          </w:tcPr>
          <w:p w14:paraId="6F1EBB14" w14:textId="77777777" w:rsidR="004008B4" w:rsidRDefault="00000000">
            <w:r>
              <w:t>P/FFO and P/AFFO multiples (FFO = net income + real estate depreciation − gains on sale; AFFO = FFO − recurring capex), cross-checked against NAV at prevailing cap rates</w:t>
            </w:r>
          </w:p>
        </w:tc>
        <w:tc>
          <w:tcPr>
            <w:tcW w:w="2560" w:type="dxa"/>
            <w:vAlign w:val="center"/>
          </w:tcPr>
          <w:p w14:paraId="08FBCF14" w14:textId="77777777" w:rsidR="004008B4" w:rsidRDefault="00000000">
            <w:r>
              <w:t>US GAAP forces 27.5-39 year straight-line depreciation on real estate, which makes GAAP net income (and therefore any EPS-based PE) structurally meaningless for REITs. Sub-sector multiples vary enormously and must be compared within sub-sector, not against the REIT sector average — data center REITs have traded near 24-30x P/FFO in 2026 versus office REITs near 7-8x; comparing the two directly would misfire badly.</w:t>
            </w:r>
          </w:p>
        </w:tc>
      </w:tr>
      <w:tr w:rsidR="004008B4" w14:paraId="4F90513F" w14:textId="77777777">
        <w:tblPrEx>
          <w:tblCellMar>
            <w:top w:w="0" w:type="dxa"/>
            <w:bottom w:w="0" w:type="dxa"/>
          </w:tblCellMar>
        </w:tblPrEx>
        <w:tc>
          <w:tcPr>
            <w:tcW w:w="2000" w:type="dxa"/>
            <w:vAlign w:val="center"/>
          </w:tcPr>
          <w:p w14:paraId="28FA10E8" w14:textId="77777777" w:rsidR="004008B4" w:rsidRDefault="00000000">
            <w:r>
              <w:t>pharma — clinical-stage / biotech</w:t>
            </w:r>
          </w:p>
        </w:tc>
        <w:tc>
          <w:tcPr>
            <w:tcW w:w="2400" w:type="dxa"/>
            <w:vAlign w:val="center"/>
          </w:tcPr>
          <w:p w14:paraId="1C675EFD" w14:textId="77777777" w:rsidR="004008B4" w:rsidRDefault="00000000">
            <w:r>
              <w:t>Biotechnology, pre-revenue or single-asset pharma</w:t>
            </w:r>
          </w:p>
        </w:tc>
        <w:tc>
          <w:tcPr>
            <w:tcW w:w="2400" w:type="dxa"/>
            <w:vAlign w:val="center"/>
          </w:tcPr>
          <w:p w14:paraId="44B3C70F" w14:textId="77777777" w:rsidR="004008B4" w:rsidRDefault="00000000">
            <w:r>
              <w:t>Risk-adjusted NPV (rNPV): probability-weight each phase's cash flows by cumulative Probability of Technical and Regulatory Success (PTRS), then discount</w:t>
            </w:r>
          </w:p>
        </w:tc>
        <w:tc>
          <w:tcPr>
            <w:tcW w:w="2560" w:type="dxa"/>
            <w:vAlign w:val="center"/>
          </w:tcPr>
          <w:p w14:paraId="3FE8584D" w14:textId="77777777" w:rsidR="004008B4" w:rsidRDefault="00000000">
            <w:r>
              <w:t>A pre-revenue biotech has no EV/Rev, EV/EBITDA, or PE to compute — there is no revenue or earnings. This is the only correct framework for single-asset or early-pipeline names, industry-standard since it separates binary clinical risk from financial discount risk rather than burying it in an inflated discount rate.</w:t>
            </w:r>
          </w:p>
        </w:tc>
      </w:tr>
      <w:tr w:rsidR="004008B4" w14:paraId="607ADAC2" w14:textId="77777777">
        <w:tblPrEx>
          <w:tblCellMar>
            <w:top w:w="0" w:type="dxa"/>
            <w:bottom w:w="0" w:type="dxa"/>
          </w:tblCellMar>
        </w:tblPrEx>
        <w:tc>
          <w:tcPr>
            <w:tcW w:w="2000" w:type="dxa"/>
            <w:vAlign w:val="center"/>
          </w:tcPr>
          <w:p w14:paraId="6E89BE77" w14:textId="77777777" w:rsidR="004008B4" w:rsidRDefault="00000000">
            <w:r>
              <w:lastRenderedPageBreak/>
              <w:t>pharma — large-cap commercial</w:t>
            </w:r>
          </w:p>
        </w:tc>
        <w:tc>
          <w:tcPr>
            <w:tcW w:w="2400" w:type="dxa"/>
            <w:vAlign w:val="center"/>
          </w:tcPr>
          <w:p w14:paraId="355CE09B" w14:textId="77777777" w:rsidR="004008B4" w:rsidRDefault="00000000">
            <w:r>
              <w:t>Pharmaceuticals with an approved, revenue-generating portfolio (Pfizer, Merck, BMS, etc.)</w:t>
            </w:r>
          </w:p>
        </w:tc>
        <w:tc>
          <w:tcPr>
            <w:tcW w:w="2400" w:type="dxa"/>
            <w:vAlign w:val="center"/>
          </w:tcPr>
          <w:p w14:paraId="47215A13" w14:textId="77777777" w:rsidR="004008B4" w:rsidRDefault="00000000">
            <w:r>
              <w:t>Forward PE / EV-EBITDA as normal, PLUS a mandatory Loss-of-Exclusivity (LOE) revenue-cliff overlay per major product</w:t>
            </w:r>
          </w:p>
        </w:tc>
        <w:tc>
          <w:tcPr>
            <w:tcW w:w="2560" w:type="dxa"/>
            <w:vAlign w:val="center"/>
          </w:tcPr>
          <w:p w14:paraId="6589547B" w14:textId="77777777" w:rsidR="004008B4" w:rsidRDefault="00000000">
            <w:r>
              <w:t>Standard multiples work once a drug is commercialized, but they miss the single biggest risk specific to this sector: patent-cliff revenue erosion. Small-molecule drugs typically lose 80-90% of revenue within the first year of generic entry; biologics erode more slowly due to the 12-year BPCIA exclusivity and physician-driven (not pharmacist-substituted) switching. A large-pharma name with a major LOE date inside the model's forward window needs this flagged explicitly — a standard PE screen will not catch a cliff that hasn't hit the trailing numbers yet.</w:t>
            </w:r>
          </w:p>
        </w:tc>
      </w:tr>
      <w:tr w:rsidR="004008B4" w14:paraId="22375D5C" w14:textId="77777777">
        <w:tblPrEx>
          <w:tblCellMar>
            <w:top w:w="0" w:type="dxa"/>
            <w:bottom w:w="0" w:type="dxa"/>
          </w:tblCellMar>
        </w:tblPrEx>
        <w:tc>
          <w:tcPr>
            <w:tcW w:w="2000" w:type="dxa"/>
            <w:vAlign w:val="center"/>
          </w:tcPr>
          <w:p w14:paraId="642729C7" w14:textId="77777777" w:rsidR="004008B4" w:rsidRDefault="00000000">
            <w:r>
              <w:t>deep value / special situations</w:t>
            </w:r>
          </w:p>
        </w:tc>
        <w:tc>
          <w:tcPr>
            <w:tcW w:w="2400" w:type="dxa"/>
            <w:vAlign w:val="center"/>
          </w:tcPr>
          <w:p w14:paraId="4D7AA74F" w14:textId="77777777" w:rsidR="004008B4" w:rsidRDefault="00000000">
            <w:r>
              <w:t>Distressed, balance-sheet-driven, Burry-style contrarian names</w:t>
            </w:r>
          </w:p>
        </w:tc>
        <w:tc>
          <w:tcPr>
            <w:tcW w:w="2400" w:type="dxa"/>
            <w:vAlign w:val="center"/>
          </w:tcPr>
          <w:p w14:paraId="757170BD" w14:textId="77777777" w:rsidR="004008B4" w:rsidRDefault="00000000">
            <w:r>
              <w:t>Book value / net current asset value (Graham net-net: current assets − total liabilities, compared to market cap), or replacement-value-based EV/EBITDA</w:t>
            </w:r>
          </w:p>
        </w:tc>
        <w:tc>
          <w:tcPr>
            <w:tcW w:w="2560" w:type="dxa"/>
            <w:vAlign w:val="center"/>
          </w:tcPr>
          <w:p w14:paraId="1BFF0A35" w14:textId="77777777" w:rsidR="004008B4" w:rsidRDefault="00000000">
            <w:r>
              <w:t>This is a genuinely different philosophy from the rest of the framework — the thesis is asset backing and margin of safety, not quality-compounding or growth. Still an acknowledged gap (per the July doc's own note that the framework is Buffett/Munger-oriented with no deep-value module built) — flagged here as a sector needing a parallel scoring track, not just a valuation-driver swap.</w:t>
            </w:r>
          </w:p>
        </w:tc>
      </w:tr>
    </w:tbl>
    <w:p w14:paraId="41055E8D" w14:textId="77777777" w:rsidR="004008B4" w:rsidRDefault="004008B4">
      <w:pPr>
        <w:spacing w:after="150"/>
      </w:pPr>
    </w:p>
    <w:p w14:paraId="06090FAF" w14:textId="77777777" w:rsidR="004008B4" w:rsidRDefault="00000000">
      <w:pPr>
        <w:spacing w:after="120"/>
      </w:pPr>
      <w:r>
        <w:t>Two items still need an explicit number, not just a category, before any of this is truly buildable:</w:t>
      </w:r>
    </w:p>
    <w:p w14:paraId="24AB527D" w14:textId="77777777" w:rsidR="004008B4" w:rsidRDefault="00000000">
      <w:pPr>
        <w:pStyle w:val="ListParagraph"/>
        <w:numPr>
          <w:ilvl w:val="0"/>
          <w:numId w:val="1"/>
        </w:numPr>
        <w:spacing w:after="80"/>
      </w:pPr>
      <w:r>
        <w:t>The exact net-margin threshold for high_margin_hardware (the &gt;50% figure used in Section 4.1 this session is explicitly flagged there as an unspecced placeholder, not a rule to build).</w:t>
      </w:r>
    </w:p>
    <w:p w14:paraId="5B885BCD" w14:textId="77777777" w:rsidR="004008B4" w:rsidRDefault="00000000">
      <w:pPr>
        <w:pStyle w:val="ListParagraph"/>
        <w:numPr>
          <w:ilvl w:val="0"/>
          <w:numId w:val="1"/>
        </w:numPr>
        <w:spacing w:after="80"/>
      </w:pPr>
      <w:r>
        <w:t>A tie-breaking rule for multi-segment companies that don't cleanly fit one GICS bucket (e.g. a company with both a commodity hardware segment and a software segment) — needs an explicit dominant-segment-by-revenue rule or a blended driver, not a silent default.</w:t>
      </w:r>
    </w:p>
    <w:p w14:paraId="1936B1E0" w14:textId="77777777" w:rsidR="004008B4" w:rsidRDefault="00000000">
      <w:pPr>
        <w:spacing w:after="120"/>
      </w:pPr>
      <w:r>
        <w:rPr>
          <w:b/>
          <w:bCs/>
        </w:rPr>
        <w:t>Deep value and biotech/clinical-stage in particular represent a genuinely different scoring philosophy from the rest of the engine (asset-backing and binary-risk-adjustment, respectively, rather than quality-compounding), so Divyanshu should treat these as separate scoring modules that plug into the same conviction-score-and-verdict output, not as another row in the existing BQ/tax table.</w:t>
      </w:r>
    </w:p>
    <w:p w14:paraId="62528F27" w14:textId="77777777" w:rsidR="004008B4" w:rsidRDefault="00000000">
      <w:pPr>
        <w:pStyle w:val="Heading1"/>
        <w:spacing w:before="300" w:after="150"/>
      </w:pPr>
      <w:r>
        <w:t>6. Adjusted EPS — Sourcing It Mechanically</w:t>
      </w:r>
    </w:p>
    <w:p w14:paraId="144AAE87" w14:textId="77777777" w:rsidR="004008B4" w:rsidRDefault="00000000">
      <w:pPr>
        <w:spacing w:after="40"/>
      </w:pPr>
      <w:r>
        <w:rPr>
          <w:b/>
          <w:bCs/>
          <w:color w:val="1F6FEB"/>
          <w:sz w:val="18"/>
          <w:szCs w:val="18"/>
        </w:rPr>
        <w:t>NEW — 28 JULY, clarifies a question raised today</w:t>
      </w:r>
    </w:p>
    <w:p w14:paraId="10161EFA" w14:textId="77777777" w:rsidR="004008B4" w:rsidRDefault="00000000">
      <w:pPr>
        <w:spacing w:after="120"/>
      </w:pPr>
      <w:r>
        <w:t>The one-off items that distort GAAP EPS (like GOOGL's $98B unrealized equity gain) do not require a search tool, an agent, or Tavily. They are already available as structured, tagged data inside SEC's own XBRL system — confirmed directly this session by pulling GOOGL's cash-flow statement and finding the exact figure tagged as DebtAndEquitySecuritiesGainLoss.</w:t>
      </w:r>
    </w:p>
    <w:p w14:paraId="3BAF1D8F" w14:textId="77777777" w:rsidR="004008B4" w:rsidRDefault="00000000">
      <w:pPr>
        <w:spacing w:after="120"/>
      </w:pPr>
      <w:r>
        <w:t>The correct, fully mechanical sourcing path:</w:t>
      </w:r>
    </w:p>
    <w:p w14:paraId="480DCE64" w14:textId="77777777" w:rsidR="004008B4" w:rsidRDefault="00000000">
      <w:pPr>
        <w:pStyle w:val="ListParagraph"/>
        <w:numPr>
          <w:ilvl w:val="0"/>
          <w:numId w:val="1"/>
        </w:numPr>
        <w:spacing w:after="80"/>
      </w:pPr>
      <w:r>
        <w:lastRenderedPageBreak/>
        <w:t>Call SEC's XBRL Company Facts API directly: data.sec.gov/api/xbrl/companyfacts/{CIK}.json — this returns every tagged financial fact for a company as structured JSON, no HTML parsing needed.</w:t>
      </w:r>
    </w:p>
    <w:p w14:paraId="54B3AB31" w14:textId="77777777" w:rsidR="004008B4" w:rsidRDefault="00000000">
      <w:pPr>
        <w:pStyle w:val="ListParagraph"/>
        <w:numPr>
          <w:ilvl w:val="0"/>
          <w:numId w:val="1"/>
        </w:numPr>
        <w:spacing w:after="80"/>
      </w:pPr>
      <w:r>
        <w:t>Pull the relevant us-gaap tags for one-off items: DebtAndEquitySecuritiesGainLoss, GainLossOnInvestments, RestructuringCharges, ImpairmentOfLongLivedAssetsHeldForUse, GainsLossesOnExtinguishmentOfDebt, and similar — the appendix in Section 13 lists the categories to check for.</w:t>
      </w:r>
    </w:p>
    <w:p w14:paraId="0BBB60FA" w14:textId="77777777" w:rsidR="004008B4" w:rsidRDefault="00000000">
      <w:pPr>
        <w:pStyle w:val="ListParagraph"/>
        <w:numPr>
          <w:ilvl w:val="0"/>
          <w:numId w:val="1"/>
        </w:numPr>
        <w:spacing w:after="80"/>
      </w:pPr>
      <w:r>
        <w:t>Adjusted EPS = (GAAP Net Income − one-off gains + one-off charges, each tax-effected at the marginal rate) ÷ diluted shares. Adjusted PE = Price ÷ Adjusted EPS.</w:t>
      </w:r>
    </w:p>
    <w:p w14:paraId="2E84190F" w14:textId="77777777" w:rsidR="004008B4" w:rsidRDefault="00000000">
      <w:pPr>
        <w:pStyle w:val="ListParagraph"/>
        <w:numPr>
          <w:ilvl w:val="0"/>
          <w:numId w:val="1"/>
        </w:numPr>
        <w:spacing w:after="80"/>
      </w:pPr>
      <w:r>
        <w:t>If a company's specific one-off item isn't cleanly tagged in XBRL, fall back to GAAP EPS with an explicit flag rather than estimating.</w:t>
      </w:r>
    </w:p>
    <w:p w14:paraId="1CC21DCE" w14:textId="77777777" w:rsidR="004008B4" w:rsidRDefault="00000000">
      <w:pPr>
        <w:spacing w:after="120"/>
      </w:pPr>
      <w:r>
        <w:rPr>
          <w:b/>
          <w:bCs/>
        </w:rPr>
        <w:t>This is the same tier of mechanical sourcing already used for the buyback pull in Section 8 below — same API, same pattern, zero agentic component required.</w:t>
      </w:r>
    </w:p>
    <w:p w14:paraId="5DFE3B01" w14:textId="77777777" w:rsidR="004008B4" w:rsidRDefault="00000000">
      <w:pPr>
        <w:pStyle w:val="Heading1"/>
        <w:spacing w:before="300" w:after="150"/>
      </w:pPr>
      <w:r>
        <w:t>7. Growth-Multiple Fragility — Plain Restatement</w:t>
      </w:r>
    </w:p>
    <w:p w14:paraId="7D2A8707" w14:textId="77777777" w:rsidR="004008B4" w:rsidRDefault="00000000">
      <w:pPr>
        <w:spacing w:after="40"/>
      </w:pPr>
      <w:r>
        <w:rPr>
          <w:b/>
          <w:bCs/>
          <w:color w:val="1F6FEB"/>
          <w:sz w:val="18"/>
          <w:szCs w:val="18"/>
        </w:rPr>
        <w:t>ALREADY COVERED IN SECTION 5.3 — restated briefly for the record</w:t>
      </w:r>
    </w:p>
    <w:p w14:paraId="638B066F" w14:textId="77777777" w:rsidR="004008B4" w:rsidRDefault="00000000">
      <w:pPr>
        <w:spacing w:after="120"/>
      </w:pPr>
      <w:r>
        <w:t>Fast growth justifies a higher price; it does not cancel the separate risk of that growth rate decelerating. Both NVDA (85% growth) and GOOGL (24% growth) clear the ≥15% trigger for this component regardless of business type, and neither is near the threshold's edge — this tax fires correctly for both names as currently specced. This component should not be touched by the business-type routing gate fix in Section 5.</w:t>
      </w:r>
    </w:p>
    <w:p w14:paraId="6782C9EE" w14:textId="77777777" w:rsidR="004008B4" w:rsidRDefault="00000000">
      <w:pPr>
        <w:pStyle w:val="Heading1"/>
        <w:spacing w:before="300" w:after="150"/>
      </w:pPr>
      <w:r>
        <w:t>8. Capital Allocation — GOOGL Should Have Triggered a Full Recalc</w:t>
      </w:r>
    </w:p>
    <w:p w14:paraId="1F89A819" w14:textId="77777777" w:rsidR="004008B4" w:rsidRDefault="00000000">
      <w:pPr>
        <w:spacing w:after="40"/>
      </w:pPr>
      <w:r>
        <w:rPr>
          <w:b/>
          <w:bCs/>
          <w:color w:val="1F6FEB"/>
          <w:sz w:val="18"/>
          <w:szCs w:val="18"/>
        </w:rPr>
        <w:t>NEW — 28 JULY</w:t>
      </w:r>
    </w:p>
    <w:p w14:paraId="7F028B7D" w14:textId="77777777" w:rsidR="004008B4" w:rsidRDefault="00000000">
      <w:pPr>
        <w:spacing w:after="120"/>
      </w:pPr>
      <w:r>
        <w:t>Pulled directly from Alphabet's Q2 2026 10-Q, structured XBRL data: Alphabet repurchased $0 in common stock during H1 2026, versus $28.3B in H1 2025 — a complete buyback halt. In the same filing: $30.5B in new common stock issued, $19B in convertible preferred issued, and $56.2B in new debt proceeds, all funnelled into the capex ramp (capex guidance raised to $195-205B for the year).</w:t>
      </w:r>
    </w:p>
    <w:p w14:paraId="1FAE3465" w14:textId="77777777" w:rsidR="004008B4" w:rsidRDefault="00000000">
      <w:pPr>
        <w:spacing w:after="120"/>
      </w:pPr>
      <w:r>
        <w:rPr>
          <w:b/>
          <w:bCs/>
        </w:rPr>
        <w:t>Section 7.2 of the original v5 spec lists buyback_suspension_detected as one of six triggers for a full recalculation. This condition appears to be met for GOOGL right now, and should have already fired a full recalc rather than being discovered manually in this session.</w:t>
      </w:r>
    </w:p>
    <w:p w14:paraId="791CD570" w14:textId="77777777" w:rsidR="004008B4" w:rsidRDefault="00000000">
      <w:pPr>
        <w:spacing w:after="120"/>
      </w:pPr>
      <w:r>
        <w:t>By contrast, NVDA repurchased $20.2B in a single quarter (Q1 FY27) and added a new $80B authorization in May 2026 — the opposite direction, aggressive buyback continuation. This asymmetry between the two names should be visible in each store record and should be driving materially different capital-allocation scores, which it currently is not in either of today's manual BQ tables.</w:t>
      </w:r>
    </w:p>
    <w:p w14:paraId="62352637" w14:textId="77777777" w:rsidR="004008B4" w:rsidRDefault="00000000">
      <w:pPr>
        <w:pStyle w:val="Heading1"/>
        <w:spacing w:before="300" w:after="150"/>
      </w:pPr>
      <w:r>
        <w:t>9. GOOGL: Deal-Delay vs. Supply-Constraint — Two Different Signals</w:t>
      </w:r>
    </w:p>
    <w:p w14:paraId="2C0807D7" w14:textId="77777777" w:rsidR="004008B4" w:rsidRDefault="00000000">
      <w:pPr>
        <w:spacing w:after="40"/>
      </w:pPr>
      <w:r>
        <w:rPr>
          <w:b/>
          <w:bCs/>
          <w:color w:val="1F6FEB"/>
          <w:sz w:val="18"/>
          <w:szCs w:val="18"/>
        </w:rPr>
        <w:t>NEW — 28 JULY</w:t>
      </w:r>
    </w:p>
    <w:p w14:paraId="4B21803F" w14:textId="77777777" w:rsidR="004008B4" w:rsidRDefault="00000000">
      <w:pPr>
        <w:spacing w:after="120"/>
      </w:pPr>
      <w:r>
        <w:t>Running the deal-delay check (Dim 13) properly against GOOGL's actual Q2 2026 earnings call transcript surfaced a different, more important signal than a delay: Alphabet describes a supply-constrained environment with a record $514B revenue backlog (of which $513.9B is Google Cloud specifically), capacity being actively rationed, and third-party capacity being brought in to bridge the gap. This is functionally the opposite of a demand problem — demand is outstripping supply so severely that it's driving the capex raise and the financing decisions in Section 8.</w:t>
      </w:r>
    </w:p>
    <w:p w14:paraId="5F41D31E" w14:textId="77777777" w:rsidR="004008B4" w:rsidRDefault="00000000">
      <w:pPr>
        <w:spacing w:after="120"/>
      </w:pPr>
      <w:r>
        <w:t>Recommend this get its own flag distinct from deal_delay_flag — something like supply_constraint_flag — rather than leaving Dim 13 blank for names where the transcript reveals a capacity story instead of a demand-slippage story. The two have opposite implications for conviction: deal delay is a negative signal on demand; supply constraint (with a growing backlog) is typically a positive demand signal paired with a margin/capex risk.</w:t>
      </w:r>
    </w:p>
    <w:p w14:paraId="7B4D04C1" w14:textId="77777777" w:rsidR="004008B4" w:rsidRDefault="00000000">
      <w:pPr>
        <w:pStyle w:val="Heading1"/>
        <w:spacing w:before="300" w:after="150"/>
      </w:pPr>
      <w:r>
        <w:t>10. Action Items for Divyanshu</w:t>
      </w:r>
    </w:p>
    <w:p w14:paraId="54BC5EAB" w14:textId="77777777" w:rsidR="004008B4" w:rsidRDefault="00000000">
      <w:pPr>
        <w:pStyle w:val="ListParagraph"/>
        <w:numPr>
          <w:ilvl w:val="0"/>
          <w:numId w:val="1"/>
        </w:numPr>
        <w:spacing w:after="80"/>
      </w:pPr>
      <w:r>
        <w:t>Expose confidence / sources[] / evidence_against per agentic dimension in the drawer UI — every score should show how it was reached, not just the number.</w:t>
      </w:r>
    </w:p>
    <w:p w14:paraId="59889804" w14:textId="77777777" w:rsidR="004008B4" w:rsidRDefault="00000000">
      <w:pPr>
        <w:pStyle w:val="ListParagraph"/>
        <w:numPr>
          <w:ilvl w:val="0"/>
          <w:numId w:val="1"/>
        </w:numPr>
        <w:spacing w:after="80"/>
      </w:pPr>
      <w:r>
        <w:lastRenderedPageBreak/>
        <w:t>Fix the Gartner/G2 fetch sequence — search first, then fetch the returned URL; do not attempt a direct domain fetch. Confirmed working once corrected.</w:t>
      </w:r>
    </w:p>
    <w:p w14:paraId="683CBFBF" w14:textId="77777777" w:rsidR="004008B4" w:rsidRDefault="00000000">
      <w:pPr>
        <w:pStyle w:val="ListParagraph"/>
        <w:numPr>
          <w:ilvl w:val="0"/>
          <w:numId w:val="1"/>
        </w:numPr>
        <w:spacing w:after="80"/>
      </w:pPr>
      <w:r>
        <w:t>Exclude G2 from the source list for hardware/semiconductor business types — it measures software UX satisfaction, not chip competitive position.</w:t>
      </w:r>
    </w:p>
    <w:p w14:paraId="7D94EA9C" w14:textId="77777777" w:rsidR="004008B4" w:rsidRDefault="00000000">
      <w:pPr>
        <w:pStyle w:val="ListParagraph"/>
        <w:numPr>
          <w:ilvl w:val="0"/>
          <w:numId w:val="1"/>
        </w:numPr>
        <w:spacing w:after="80"/>
      </w:pPr>
      <w:r>
        <w:t>Build the business_type mechanical classifier (GICS/SIC lookup, Section 5.5) as a Day-1 static field — highest priority, simpler than the agentic dims, currently produces a wrong valuation-tax answer for every hardware/semi name.</w:t>
      </w:r>
    </w:p>
    <w:p w14:paraId="54F955E9" w14:textId="77777777" w:rsidR="004008B4" w:rsidRDefault="00000000">
      <w:pPr>
        <w:pStyle w:val="ListParagraph"/>
        <w:numPr>
          <w:ilvl w:val="0"/>
          <w:numId w:val="1"/>
        </w:numPr>
        <w:spacing w:after="80"/>
      </w:pPr>
      <w:r>
        <w:t>Do NOT implement the '&gt;50% net margin softens the entry-multiple tier by one bracket' rule as used in Section 4.1 — that was an unspecced placeholder. Wait for a properly defined threshold before building anything.</w:t>
      </w:r>
    </w:p>
    <w:p w14:paraId="7C61B36B" w14:textId="77777777" w:rsidR="004008B4" w:rsidRDefault="00000000">
      <w:pPr>
        <w:pStyle w:val="ListParagraph"/>
        <w:numPr>
          <w:ilvl w:val="0"/>
          <w:numId w:val="1"/>
        </w:numPr>
        <w:spacing w:after="80"/>
      </w:pPr>
      <w:r>
        <w:t>Build the Adjusted EPS pipeline (Section 6) against SEC's XBRL Company Facts API — fully mechanical, no agent required.</w:t>
      </w:r>
    </w:p>
    <w:p w14:paraId="4B2CFFAA" w14:textId="77777777" w:rsidR="004008B4" w:rsidRDefault="00000000">
      <w:pPr>
        <w:pStyle w:val="ListParagraph"/>
        <w:numPr>
          <w:ilvl w:val="0"/>
          <w:numId w:val="1"/>
        </w:numPr>
        <w:spacing w:after="80"/>
      </w:pPr>
      <w:r>
        <w:t>Check whether GOOGL's buyback_suspension_detected trigger has fired given the $0-in-H1-2026 finding (Section 8); if not, investigate why the existing trigger logic missed it.</w:t>
      </w:r>
    </w:p>
    <w:p w14:paraId="1858F6E6" w14:textId="77777777" w:rsidR="004008B4" w:rsidRDefault="00000000">
      <w:pPr>
        <w:pStyle w:val="ListParagraph"/>
        <w:numPr>
          <w:ilvl w:val="0"/>
          <w:numId w:val="1"/>
        </w:numPr>
        <w:spacing w:after="80"/>
      </w:pPr>
      <w:r>
        <w:t>Add a supply_constraint_flag distinct from deal_delay_flag (Section 9) so transcript-derived signals aren't forced into a binary that doesn't fit.</w:t>
      </w:r>
    </w:p>
    <w:p w14:paraId="28049CBD" w14:textId="77777777" w:rsidR="004008B4" w:rsidRDefault="00000000">
      <w:pPr>
        <w:pStyle w:val="ListParagraph"/>
        <w:numPr>
          <w:ilvl w:val="0"/>
          <w:numId w:val="1"/>
        </w:numPr>
        <w:spacing w:after="80"/>
      </w:pPr>
      <w:r>
        <w:t>Build out Dim 15 (TAM/reinvestment runway) sourcing — untested for both names this session.</w:t>
      </w:r>
    </w:p>
    <w:p w14:paraId="53FDC791" w14:textId="77777777" w:rsidR="004008B4" w:rsidRDefault="00000000">
      <w:pPr>
        <w:pStyle w:val="ListParagraph"/>
        <w:numPr>
          <w:ilvl w:val="0"/>
          <w:numId w:val="1"/>
        </w:numPr>
        <w:spacing w:after="80"/>
      </w:pPr>
      <w:r>
        <w:t>Add HBR / LinkedIn / Nilson Report as tested, working sources — currently zero coverage, not necessarily blocked.</w:t>
      </w:r>
    </w:p>
    <w:p w14:paraId="49DDD566" w14:textId="77777777" w:rsidR="004008B4" w:rsidRDefault="00000000">
      <w:pPr>
        <w:pStyle w:val="ListParagraph"/>
        <w:numPr>
          <w:ilvl w:val="0"/>
          <w:numId w:val="1"/>
        </w:numPr>
        <w:spacing w:after="80"/>
      </w:pPr>
      <w:r>
        <w:t>Once the business_type gate is live, re-run NVDA and GOOGL through the corrected 15-dimension production structure rather than relying on this session's manual 9-dimension approximation.</w:t>
      </w:r>
    </w:p>
    <w:p w14:paraId="5E508E15" w14:textId="77777777" w:rsidR="004008B4" w:rsidRDefault="00000000">
      <w:pPr>
        <w:pStyle w:val="ListParagraph"/>
        <w:numPr>
          <w:ilvl w:val="0"/>
          <w:numId w:val="1"/>
        </w:numPr>
        <w:spacing w:after="80"/>
      </w:pPr>
      <w:r>
        <w:t>Apply the business_type classification across the full ~200-asset model universe once the ticker list is available, not just to NVDA/GOOGL.</w:t>
      </w:r>
    </w:p>
    <w:p w14:paraId="5367A846" w14:textId="77777777" w:rsidR="004008B4" w:rsidRDefault="00000000">
      <w:pPr>
        <w:pStyle w:val="Heading1"/>
        <w:spacing w:before="300" w:after="150"/>
      </w:pPr>
      <w:r>
        <w:t>11. Closing Out the Remaining Two Items — TAM and HBR/LinkedIn/Nilson</w:t>
      </w:r>
    </w:p>
    <w:p w14:paraId="4AAF6DCE" w14:textId="77777777" w:rsidR="004008B4" w:rsidRDefault="00000000">
      <w:pPr>
        <w:spacing w:after="40"/>
      </w:pPr>
      <w:r>
        <w:rPr>
          <w:b/>
          <w:bCs/>
          <w:color w:val="1F6FEB"/>
          <w:sz w:val="18"/>
          <w:szCs w:val="18"/>
        </w:rPr>
        <w:t>NEW — 28 JULY, final pass</w:t>
      </w:r>
    </w:p>
    <w:p w14:paraId="471452A6" w14:textId="77777777" w:rsidR="004008B4" w:rsidRDefault="00000000">
      <w:pPr>
        <w:pStyle w:val="Heading2"/>
        <w:spacing w:before="240" w:after="120"/>
      </w:pPr>
      <w:r>
        <w:t>12.1 TAM / Dim 15 — three different sourcing tiers, not one</w:t>
      </w:r>
    </w:p>
    <w:p w14:paraId="71B389D6" w14:textId="77777777" w:rsidR="004008B4" w:rsidRDefault="00000000">
      <w:pPr>
        <w:spacing w:after="120"/>
      </w:pPr>
      <w:r>
        <w:t>Running this properly surfaced an important distinction for how Divyanshu should build Dim 15: TAM-related data splits across three sourcing tiers with very different mechanics, and treating them as one 'agentic dimension' obscures that.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4"/>
        <w:gridCol w:w="2578"/>
        <w:gridCol w:w="3608"/>
      </w:tblGrid>
      <w:tr w:rsidR="004008B4" w14:paraId="34EE03F3" w14:textId="77777777">
        <w:tblPrEx>
          <w:tblCellMar>
            <w:top w:w="0" w:type="dxa"/>
            <w:bottom w:w="0" w:type="dxa"/>
          </w:tblCellMar>
        </w:tblPrEx>
        <w:trPr>
          <w:tblHeader/>
        </w:trPr>
        <w:tc>
          <w:tcPr>
            <w:tcW w:w="3200" w:type="dxa"/>
            <w:shd w:val="clear" w:color="auto" w:fill="1F2937"/>
            <w:vAlign w:val="center"/>
          </w:tcPr>
          <w:p w14:paraId="0FBBC74A" w14:textId="77777777" w:rsidR="004008B4" w:rsidRDefault="00000000">
            <w:r>
              <w:rPr>
                <w:b/>
                <w:bCs/>
                <w:color w:val="FFFFFF"/>
              </w:rPr>
              <w:t>Data point</w:t>
            </w:r>
          </w:p>
        </w:tc>
        <w:tc>
          <w:tcPr>
            <w:tcW w:w="2600" w:type="dxa"/>
            <w:shd w:val="clear" w:color="auto" w:fill="1F2937"/>
            <w:vAlign w:val="center"/>
          </w:tcPr>
          <w:p w14:paraId="31D90E9E" w14:textId="77777777" w:rsidR="004008B4" w:rsidRDefault="00000000">
            <w:r>
              <w:rPr>
                <w:b/>
                <w:bCs/>
                <w:color w:val="FFFFFF"/>
              </w:rPr>
              <w:t>Sourcing tier</w:t>
            </w:r>
          </w:p>
        </w:tc>
        <w:tc>
          <w:tcPr>
            <w:tcW w:w="3560" w:type="dxa"/>
            <w:shd w:val="clear" w:color="auto" w:fill="1F2937"/>
            <w:vAlign w:val="center"/>
          </w:tcPr>
          <w:p w14:paraId="6F1287BB" w14:textId="77777777" w:rsidR="004008B4" w:rsidRDefault="00000000">
            <w:r>
              <w:rPr>
                <w:b/>
                <w:bCs/>
                <w:color w:val="FFFFFF"/>
              </w:rPr>
              <w:t>Detail</w:t>
            </w:r>
          </w:p>
        </w:tc>
      </w:tr>
      <w:tr w:rsidR="004008B4" w14:paraId="122DA089" w14:textId="77777777">
        <w:tblPrEx>
          <w:tblCellMar>
            <w:top w:w="0" w:type="dxa"/>
            <w:bottom w:w="0" w:type="dxa"/>
          </w:tblCellMar>
        </w:tblPrEx>
        <w:tc>
          <w:tcPr>
            <w:tcW w:w="3200" w:type="dxa"/>
            <w:vAlign w:val="center"/>
          </w:tcPr>
          <w:p w14:paraId="2A1A543A" w14:textId="77777777" w:rsidR="004008B4" w:rsidRDefault="00000000">
            <w:r>
              <w:t>Revenue backlog (e.g. GOOGL's $514B, $513.9B of it Cloud)</w:t>
            </w:r>
          </w:p>
        </w:tc>
        <w:tc>
          <w:tcPr>
            <w:tcW w:w="2600" w:type="dxa"/>
            <w:vAlign w:val="center"/>
          </w:tcPr>
          <w:p w14:paraId="4F1DEB78" w14:textId="77777777" w:rsidR="004008B4" w:rsidRDefault="00000000">
            <w:r>
              <w:t>Fully structured — no search needed</w:t>
            </w:r>
          </w:p>
        </w:tc>
        <w:tc>
          <w:tcPr>
            <w:tcW w:w="3560" w:type="dxa"/>
            <w:vAlign w:val="center"/>
          </w:tcPr>
          <w:p w14:paraId="49DF2F7D" w14:textId="77777777" w:rsidR="004008B4" w:rsidRDefault="00000000">
            <w:r>
              <w:t>Tagged XBRL fact (RevenueRemainingPerformanceObligation) directly in the 10-Q. Same tier as the buyback and adjusted-EPS pulls in Sections 6 and 8 — a straight API call, zero agentic component.</w:t>
            </w:r>
          </w:p>
        </w:tc>
      </w:tr>
      <w:tr w:rsidR="004008B4" w14:paraId="5395C3F1" w14:textId="77777777">
        <w:tblPrEx>
          <w:tblCellMar>
            <w:top w:w="0" w:type="dxa"/>
            <w:bottom w:w="0" w:type="dxa"/>
          </w:tblCellMar>
        </w:tblPrEx>
        <w:tc>
          <w:tcPr>
            <w:tcW w:w="3200" w:type="dxa"/>
            <w:vAlign w:val="center"/>
          </w:tcPr>
          <w:p w14:paraId="7B745E3D" w14:textId="77777777" w:rsidR="004008B4" w:rsidRDefault="00000000">
            <w:r>
              <w:t>Company-stated TAM (e.g. Huang's $3-4T AI infrastructure figure by 2030)</w:t>
            </w:r>
          </w:p>
        </w:tc>
        <w:tc>
          <w:tcPr>
            <w:tcW w:w="2600" w:type="dxa"/>
            <w:vAlign w:val="center"/>
          </w:tcPr>
          <w:p w14:paraId="3A504C63" w14:textId="77777777" w:rsidR="004008B4" w:rsidRDefault="00000000">
            <w:r>
              <w:t>Text extraction from transcript, not structured</w:t>
            </w:r>
          </w:p>
        </w:tc>
        <w:tc>
          <w:tcPr>
            <w:tcW w:w="3560" w:type="dxa"/>
            <w:vAlign w:val="center"/>
          </w:tcPr>
          <w:p w14:paraId="358F3FF7" w14:textId="77777777" w:rsidR="004008B4" w:rsidRDefault="00000000">
            <w:r>
              <w:t>This is spoken management commentary on an earnings call or at a keynote, not a filed number — there is no XBRL tag for it. Sourcing requires pulling the transcript (Motley Fool / Seeking Alpha / company IR, all confirmed working) and extracting the stated figure from prose. This is inherently a light NLP step, which is why the July doc correctly classifies Dim 15 as 'softer-agentic' rather than fully mechanical.</w:t>
            </w:r>
          </w:p>
        </w:tc>
      </w:tr>
      <w:tr w:rsidR="004008B4" w14:paraId="53971F92" w14:textId="77777777">
        <w:tblPrEx>
          <w:tblCellMar>
            <w:top w:w="0" w:type="dxa"/>
            <w:bottom w:w="0" w:type="dxa"/>
          </w:tblCellMar>
        </w:tblPrEx>
        <w:tc>
          <w:tcPr>
            <w:tcW w:w="3200" w:type="dxa"/>
            <w:vAlign w:val="center"/>
          </w:tcPr>
          <w:p w14:paraId="338ACCE4" w14:textId="77777777" w:rsidR="004008B4" w:rsidRDefault="00000000">
            <w:r>
              <w:t>Independent market-size estimates (Persistence Market Research, Synergy Research, SIA-Deloitte)</w:t>
            </w:r>
          </w:p>
        </w:tc>
        <w:tc>
          <w:tcPr>
            <w:tcW w:w="2600" w:type="dxa"/>
            <w:vAlign w:val="center"/>
          </w:tcPr>
          <w:p w14:paraId="6EE32695" w14:textId="77777777" w:rsidR="004008B4" w:rsidRDefault="00000000">
            <w:r>
              <w:t>Web search + fetch of a public press release, not an API</w:t>
            </w:r>
          </w:p>
        </w:tc>
        <w:tc>
          <w:tcPr>
            <w:tcW w:w="3560" w:type="dxa"/>
            <w:vAlign w:val="center"/>
          </w:tcPr>
          <w:p w14:paraId="1B4C2794" w14:textId="77777777" w:rsidR="004008B4" w:rsidRDefault="00000000">
            <w:r>
              <w:t xml:space="preserve">These firms gate their full paid reports, but publish the headline number on a free press-release page specifically so it gets cited. </w:t>
            </w:r>
            <w:r>
              <w:lastRenderedPageBreak/>
              <w:t>Pulling this is ordinary search-then-fetch — no Tavily, no scraper, no special tooling — the same method that unblocked Gartner and G2 once the search-first sequence was used.</w:t>
            </w:r>
          </w:p>
        </w:tc>
      </w:tr>
    </w:tbl>
    <w:p w14:paraId="67A316D4" w14:textId="77777777" w:rsidR="004008B4" w:rsidRDefault="004008B4">
      <w:pPr>
        <w:spacing w:after="150"/>
      </w:pPr>
    </w:p>
    <w:p w14:paraId="76AFA757" w14:textId="77777777" w:rsidR="004008B4" w:rsidRDefault="00000000">
      <w:pPr>
        <w:spacing w:after="120"/>
      </w:pPr>
      <w:r>
        <w:t>Findings for the two names: NVDA — Huang/CFO Kress stated $3-4T annual global AI infrastructure spend by 2030 (earnings calls, GTC 2026 keynote); independent cross-check via the SIA-Deloitte joint study puts AI-data-center chip revenue at over $1.2T by 2028, a narrower but directionally consistent figure. GOOGL — Alphabet does not publish a specific TAM number; the $514B backlog is the best structured demand proxy, and Persistence Market Research's ~$917.9B 2026 total cloud market estimate (with Synergy Research Group as the standard source for provider-level share specifically) is the independent cross-check to use instead of forcing a company figure that doesn't exist.</w:t>
      </w:r>
    </w:p>
    <w:p w14:paraId="4BB3BD20" w14:textId="77777777" w:rsidR="004008B4" w:rsidRDefault="00000000">
      <w:pPr>
        <w:pStyle w:val="Heading2"/>
        <w:spacing w:before="240" w:after="120"/>
      </w:pPr>
      <w:r>
        <w:t>12.2 HBR — done, both names</w:t>
      </w:r>
    </w:p>
    <w:p w14:paraId="496B4C84" w14:textId="77777777" w:rsidR="004008B4" w:rsidRDefault="00000000">
      <w:pPr>
        <w:spacing w:after="120"/>
      </w:pPr>
      <w:r>
        <w:t>NVDA: Huang ranked #1 on HBR's 'Best-Performing CEOs in the World' list (2019 edition, tenure-based financial + ESG performance), and has been a repeat HBR leadership-podcast guest since. Caveat: the ranking itself is from 2019 — dated, useful as long-run directional evidence, not a current-year figure.</w:t>
      </w:r>
    </w:p>
    <w:p w14:paraId="34634044" w14:textId="77777777" w:rsidR="004008B4" w:rsidRDefault="00000000">
      <w:pPr>
        <w:spacing w:after="120"/>
      </w:pPr>
      <w:r>
        <w:t>GOOGL: Pichai does not appear in HBR's top 10 for that same list (Narayen, Banga, and Nadella do). Comparably's employee-rated CEO score has him at 79/100, just behind Nadella — a real, meaningfully weaker signal than NVDA's on this specific dimension, not a null result.</w:t>
      </w:r>
    </w:p>
    <w:p w14:paraId="5EA54226" w14:textId="77777777" w:rsidR="004008B4" w:rsidRDefault="00000000">
      <w:pPr>
        <w:pStyle w:val="Heading2"/>
        <w:spacing w:before="240" w:after="120"/>
      </w:pPr>
      <w:r>
        <w:t>12.3 LinkedIn — done, reachable via ordinary search, no login needed for headline stats</w:t>
      </w:r>
    </w:p>
    <w:p w14:paraId="04E796A8" w14:textId="77777777" w:rsidR="004008B4" w:rsidRDefault="00000000">
      <w:pPr>
        <w:spacing w:after="120"/>
      </w:pPr>
      <w:r>
        <w:t>NVIDIA's company page: ~5.58M followers, with separate regional/product pages (APAC ~2.4M, AI-specific page ~836K). Also surfaced: NVIDIA is Fortune/Great Place to Work's #3 best place to work in the US — a solid corroborating culture signal for the CEO-quality dimension. Confirms LinkedIn's public headline data is reachable via ordinary web search; no authenticated fetch required at this level of detail.</w:t>
      </w:r>
    </w:p>
    <w:p w14:paraId="438B5F42" w14:textId="77777777" w:rsidR="004008B4" w:rsidRDefault="00000000">
      <w:pPr>
        <w:pStyle w:val="Heading2"/>
        <w:spacing w:before="240" w:after="120"/>
      </w:pPr>
      <w:r>
        <w:t>12.4 Nilson Report — dropped, not a fit</w:t>
      </w:r>
    </w:p>
    <w:p w14:paraId="54D2319B" w14:textId="77777777" w:rsidR="004008B4" w:rsidRDefault="00000000">
      <w:pPr>
        <w:spacing w:after="120"/>
      </w:pPr>
      <w:r>
        <w:t>Nilson Report is a payments/card-transaction-volume trade publication with no relevance to a semiconductor or search/cloud company. It appears to have been included in the original source list as a generic placeholder for 'industry sales-volume reports' without checking fit against the actual business types in the model universe — the same category-mismatch problem identified with G2 in Section 3. Recommend dropping it from the source list entirely outside payments/fintech names, rather than running a search that returns nothing by design.</w:t>
      </w:r>
    </w:p>
    <w:p w14:paraId="1EC5DDDA" w14:textId="77777777" w:rsidR="004008B4" w:rsidRDefault="00000000">
      <w:pPr>
        <w:spacing w:after="120"/>
      </w:pPr>
      <w:r>
        <w:rPr>
          <w:b/>
          <w:bCs/>
        </w:rPr>
        <w:t>Status: all 7 originally partial, failed, or untested items from Section 3 are now closed with real, tested sources. Nilson Report is the one correctly identified as a source-list mismatch rather than forced through.</w:t>
      </w:r>
    </w:p>
    <w:p w14:paraId="27DCC62B" w14:textId="77777777" w:rsidR="004008B4" w:rsidRDefault="00000000">
      <w:pPr>
        <w:pStyle w:val="Heading1"/>
        <w:spacing w:before="300" w:after="150"/>
      </w:pPr>
      <w:r>
        <w:t>12. Review Against Professional Investment Practice — Recommendations for Rohit's Consideration</w:t>
      </w:r>
    </w:p>
    <w:p w14:paraId="5BAB2E85" w14:textId="77777777" w:rsidR="004008B4" w:rsidRDefault="00000000">
      <w:pPr>
        <w:spacing w:after="40"/>
      </w:pPr>
      <w:r>
        <w:rPr>
          <w:b/>
          <w:bCs/>
          <w:color w:val="1F6FEB"/>
          <w:sz w:val="18"/>
          <w:szCs w:val="18"/>
        </w:rPr>
        <w:t>NEW — 28 JULY — recommendations only, not applied to the framework</w:t>
      </w:r>
    </w:p>
    <w:p w14:paraId="5124886B" w14:textId="77777777" w:rsidR="004008B4" w:rsidRDefault="00000000">
      <w:pPr>
        <w:spacing w:after="120"/>
      </w:pPr>
      <w:r>
        <w:t>Checked the overall framework design against practices associated with well-regarded fundamental and macro investors. These are suggestions to weigh, not changes made to the spec.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4008B4" w14:paraId="32F4B25F" w14:textId="77777777">
        <w:tblPrEx>
          <w:tblCellMar>
            <w:top w:w="0" w:type="dxa"/>
            <w:bottom w:w="0" w:type="dxa"/>
          </w:tblCellMar>
        </w:tblPrEx>
        <w:trPr>
          <w:tblHeader/>
        </w:trPr>
        <w:tc>
          <w:tcPr>
            <w:tcW w:w="2600" w:type="dxa"/>
            <w:shd w:val="clear" w:color="auto" w:fill="1F2937"/>
            <w:vAlign w:val="center"/>
          </w:tcPr>
          <w:p w14:paraId="0192647D" w14:textId="77777777" w:rsidR="004008B4" w:rsidRDefault="00000000">
            <w:r>
              <w:rPr>
                <w:b/>
                <w:bCs/>
                <w:color w:val="FFFFFF"/>
              </w:rPr>
              <w:t>Practice / investor association</w:t>
            </w:r>
          </w:p>
        </w:tc>
        <w:tc>
          <w:tcPr>
            <w:tcW w:w="3400" w:type="dxa"/>
            <w:shd w:val="clear" w:color="auto" w:fill="1F2937"/>
            <w:vAlign w:val="center"/>
          </w:tcPr>
          <w:p w14:paraId="6825CD4C" w14:textId="77777777" w:rsidR="004008B4" w:rsidRDefault="00000000">
            <w:r>
              <w:rPr>
                <w:b/>
                <w:bCs/>
                <w:color w:val="FFFFFF"/>
              </w:rPr>
              <w:t>What it would add</w:t>
            </w:r>
          </w:p>
        </w:tc>
        <w:tc>
          <w:tcPr>
            <w:tcW w:w="3360" w:type="dxa"/>
            <w:shd w:val="clear" w:color="auto" w:fill="1F2937"/>
            <w:vAlign w:val="center"/>
          </w:tcPr>
          <w:p w14:paraId="0D41DE2A" w14:textId="77777777" w:rsidR="004008B4" w:rsidRDefault="00000000">
            <w:r>
              <w:rPr>
                <w:b/>
                <w:bCs/>
                <w:color w:val="FFFFFF"/>
              </w:rPr>
              <w:t>Where the current framework may be light</w:t>
            </w:r>
          </w:p>
        </w:tc>
      </w:tr>
      <w:tr w:rsidR="004008B4" w14:paraId="74326D48" w14:textId="77777777">
        <w:tblPrEx>
          <w:tblCellMar>
            <w:top w:w="0" w:type="dxa"/>
            <w:bottom w:w="0" w:type="dxa"/>
          </w:tblCellMar>
        </w:tblPrEx>
        <w:tc>
          <w:tcPr>
            <w:tcW w:w="2600" w:type="dxa"/>
            <w:vAlign w:val="center"/>
          </w:tcPr>
          <w:p w14:paraId="706BBA6E" w14:textId="77777777" w:rsidR="004008B4" w:rsidRDefault="00000000">
            <w:r>
              <w:t>Explicit margin of safety (Graham / Klarman)</w:t>
            </w:r>
          </w:p>
        </w:tc>
        <w:tc>
          <w:tcPr>
            <w:tcW w:w="3400" w:type="dxa"/>
            <w:vAlign w:val="center"/>
          </w:tcPr>
          <w:p w14:paraId="6FDBF895" w14:textId="77777777" w:rsidR="004008B4" w:rsidRDefault="00000000">
            <w:r>
              <w:t>A hard, absolute intrinsic-value discount requirement — not just 'cheap relative to its own history' — before MAX CONVICTION is allowed</w:t>
            </w:r>
          </w:p>
        </w:tc>
        <w:tc>
          <w:tcPr>
            <w:tcW w:w="3360" w:type="dxa"/>
            <w:vAlign w:val="center"/>
          </w:tcPr>
          <w:p w14:paraId="64DC5840" w14:textId="77777777" w:rsidR="004008B4" w:rsidRDefault="00000000">
            <w:r>
              <w:t xml:space="preserve">The PE-percentile tax component is entirely relative (cheap vs. this stock's own past), which can still greenlight a structurally overvalued business if its own history was even more overvalued. An absolute margin-of-safety check (e.g. price versus a DCF- or asset-based </w:t>
            </w:r>
            <w:r>
              <w:lastRenderedPageBreak/>
              <w:t>intrinsic value estimate) would catch that case.</w:t>
            </w:r>
          </w:p>
        </w:tc>
      </w:tr>
      <w:tr w:rsidR="004008B4" w14:paraId="0F537824" w14:textId="77777777">
        <w:tblPrEx>
          <w:tblCellMar>
            <w:top w:w="0" w:type="dxa"/>
            <w:bottom w:w="0" w:type="dxa"/>
          </w:tblCellMar>
        </w:tblPrEx>
        <w:tc>
          <w:tcPr>
            <w:tcW w:w="2600" w:type="dxa"/>
            <w:vAlign w:val="center"/>
          </w:tcPr>
          <w:p w14:paraId="4D9761C9" w14:textId="77777777" w:rsidR="004008B4" w:rsidRDefault="00000000">
            <w:r>
              <w:lastRenderedPageBreak/>
              <w:t>Circle of competence (Buffett)</w:t>
            </w:r>
          </w:p>
        </w:tc>
        <w:tc>
          <w:tcPr>
            <w:tcW w:w="3400" w:type="dxa"/>
            <w:vAlign w:val="center"/>
          </w:tcPr>
          <w:p w14:paraId="438F34CF" w14:textId="77777777" w:rsidR="004008B4" w:rsidRDefault="00000000">
            <w:r>
              <w:t>A visible 'framework coverage incomplete' flag rather than a silently generated score, whenever a name falls into a business_type without a built-out module (financials, biotech, deep value, right now)</w:t>
            </w:r>
          </w:p>
        </w:tc>
        <w:tc>
          <w:tcPr>
            <w:tcW w:w="3360" w:type="dxa"/>
            <w:vAlign w:val="center"/>
          </w:tcPr>
          <w:p w14:paraId="67E9CC67" w14:textId="77777777" w:rsidR="004008B4" w:rsidRDefault="00000000">
            <w:r>
              <w:t>Today, an unbuilt sector likely defaults to the generic compounder logic rather than declining to score — this session's NVDA/GOOGL work shows exactly this failure mode for hardware. The same risk applies to any bank, biotech, or REIT run through the engine before Section 5.7 is built.</w:t>
            </w:r>
          </w:p>
        </w:tc>
      </w:tr>
      <w:tr w:rsidR="004008B4" w14:paraId="30BB8892" w14:textId="77777777">
        <w:tblPrEx>
          <w:tblCellMar>
            <w:top w:w="0" w:type="dxa"/>
            <w:bottom w:w="0" w:type="dxa"/>
          </w:tblCellMar>
        </w:tblPrEx>
        <w:tc>
          <w:tcPr>
            <w:tcW w:w="2600" w:type="dxa"/>
            <w:vAlign w:val="center"/>
          </w:tcPr>
          <w:p w14:paraId="1034C610" w14:textId="77777777" w:rsidR="004008B4" w:rsidRDefault="00000000">
            <w:r>
              <w:t>Correlated-bet / concentration awareness (Dalio, Druckenmiller)</w:t>
            </w:r>
          </w:p>
        </w:tc>
        <w:tc>
          <w:tcPr>
            <w:tcW w:w="3400" w:type="dxa"/>
            <w:vAlign w:val="center"/>
          </w:tcPr>
          <w:p w14:paraId="539F0424" w14:textId="77777777" w:rsidR="004008B4" w:rsidRDefault="00000000">
            <w:r>
              <w:t>A portfolio-level check for shared macro driver exposure across positions — e.g. NVDA and GOOGL both scoring +1/+2 on 'macro tailwind' off the same underlying AI-capex theme</w:t>
            </w:r>
          </w:p>
        </w:tc>
        <w:tc>
          <w:tcPr>
            <w:tcW w:w="3360" w:type="dxa"/>
            <w:vAlign w:val="center"/>
          </w:tcPr>
          <w:p w14:paraId="166EB8FD" w14:textId="77777777" w:rsidR="004008B4" w:rsidRDefault="00000000">
            <w:r>
              <w:t>The engine scores each name independently. Two 'diversified' positions that are both really one concentrated bet on the same macro driver wouldn't be flagged as such under the current per-ticker structure.</w:t>
            </w:r>
          </w:p>
        </w:tc>
      </w:tr>
      <w:tr w:rsidR="004008B4" w14:paraId="1C5157FD" w14:textId="77777777">
        <w:tblPrEx>
          <w:tblCellMar>
            <w:top w:w="0" w:type="dxa"/>
            <w:bottom w:w="0" w:type="dxa"/>
          </w:tblCellMar>
        </w:tblPrEx>
        <w:tc>
          <w:tcPr>
            <w:tcW w:w="2600" w:type="dxa"/>
            <w:vAlign w:val="center"/>
          </w:tcPr>
          <w:p w14:paraId="25730788" w14:textId="77777777" w:rsidR="004008B4" w:rsidRDefault="00000000">
            <w:r>
              <w:t>Pre-defined thesis-invalidation criteria (common across disciplined fundamental PMs)</w:t>
            </w:r>
          </w:p>
        </w:tc>
        <w:tc>
          <w:tcPr>
            <w:tcW w:w="3400" w:type="dxa"/>
            <w:vAlign w:val="center"/>
          </w:tcPr>
          <w:p w14:paraId="48F4B29D" w14:textId="77777777" w:rsidR="004008B4" w:rsidRDefault="00000000">
            <w:r>
              <w:t>A named 'kill criterion' set at position initiation (e.g. CEN's Tauhara 168MW catalyst, or a specific ARR-acceleration threshold for KXS) that, if missed, forces a review — independent of whether the numeric conviction score has moved yet</w:t>
            </w:r>
          </w:p>
        </w:tc>
        <w:tc>
          <w:tcPr>
            <w:tcW w:w="3360" w:type="dxa"/>
            <w:vAlign w:val="center"/>
          </w:tcPr>
          <w:p w14:paraId="6E751270" w14:textId="77777777" w:rsidR="004008B4" w:rsidRDefault="00000000">
            <w:r>
              <w:t>FS_CLASS_CHANGED exists as a stability flag, but there's no mechanism tying a position back to the specific catalyst it was bought for and flagging when that catalyst itself is delayed or fails, distinct from a general score change.</w:t>
            </w:r>
          </w:p>
        </w:tc>
      </w:tr>
    </w:tbl>
    <w:p w14:paraId="77A93DC7" w14:textId="77777777" w:rsidR="004008B4" w:rsidRDefault="004008B4">
      <w:pPr>
        <w:spacing w:after="150"/>
      </w:pPr>
    </w:p>
    <w:p w14:paraId="32B3F654" w14:textId="77777777" w:rsidR="004008B4" w:rsidRDefault="00000000">
      <w:pPr>
        <w:spacing w:after="120"/>
      </w:pPr>
      <w:r>
        <w:rPr>
          <w:i/>
          <w:iCs/>
        </w:rPr>
        <w:t>None of these are urgent build items — they're structural suggestions worth weighing against how hands-on you want to stay in the loop versus how much the engine should gate on its own. Flagging for your call, not building any of them without direction.</w:t>
      </w:r>
    </w:p>
    <w:p w14:paraId="3CFDB1BC" w14:textId="77777777" w:rsidR="004008B4" w:rsidRDefault="00000000">
      <w:pPr>
        <w:pStyle w:val="Heading1"/>
        <w:spacing w:before="300" w:after="150"/>
      </w:pPr>
      <w:r>
        <w:t>13. Appendix: One-Off Items to Strip From Profit (for the Adjusted EPS Build)</w:t>
      </w:r>
    </w:p>
    <w:p w14:paraId="6B983C21" w14:textId="77777777" w:rsidR="004008B4" w:rsidRDefault="00000000">
      <w:pPr>
        <w:spacing w:after="120"/>
      </w:pPr>
      <w:r>
        <w:t>When calculating a company's adjusted profit for valuation purposes, remove these kinds of one-off items if present, using the XBRL sourcing method in Section 6:</w:t>
      </w:r>
    </w:p>
    <w:p w14:paraId="4A47BF17" w14:textId="77777777" w:rsidR="004008B4" w:rsidRDefault="00000000">
      <w:pPr>
        <w:pStyle w:val="ListParagraph"/>
        <w:numPr>
          <w:ilvl w:val="0"/>
          <w:numId w:val="1"/>
        </w:numPr>
        <w:spacing w:after="80"/>
      </w:pPr>
      <w:r>
        <w:t>Gains or losses from investments the company holds (not from its actual products/services) — e.g. GOOGL's DebtAndEquitySecuritiesGainLoss tag</w:t>
      </w:r>
    </w:p>
    <w:p w14:paraId="3D7AADFF" w14:textId="77777777" w:rsidR="004008B4" w:rsidRDefault="00000000">
      <w:pPr>
        <w:pStyle w:val="ListParagraph"/>
        <w:numPr>
          <w:ilvl w:val="0"/>
          <w:numId w:val="1"/>
        </w:numPr>
        <w:spacing w:after="80"/>
      </w:pPr>
      <w:r>
        <w:t>Write-downs of old equipment, factories, or acquired businesses worth less than paid for</w:t>
      </w:r>
    </w:p>
    <w:p w14:paraId="2671E4E8" w14:textId="77777777" w:rsidR="004008B4" w:rsidRDefault="00000000">
      <w:pPr>
        <w:pStyle w:val="ListParagraph"/>
        <w:numPr>
          <w:ilvl w:val="0"/>
          <w:numId w:val="1"/>
        </w:numPr>
        <w:spacing w:after="80"/>
      </w:pPr>
      <w:r>
        <w:t>One-time lawsuit settlements or fines</w:t>
      </w:r>
    </w:p>
    <w:p w14:paraId="7A6766E1" w14:textId="77777777" w:rsidR="004008B4" w:rsidRDefault="00000000">
      <w:pPr>
        <w:pStyle w:val="ListParagraph"/>
        <w:numPr>
          <w:ilvl w:val="0"/>
          <w:numId w:val="1"/>
        </w:numPr>
        <w:spacing w:after="80"/>
      </w:pPr>
      <w:r>
        <w:t>Gains or losses from selling off part of the business</w:t>
      </w:r>
    </w:p>
    <w:p w14:paraId="6BE2B455" w14:textId="77777777" w:rsidR="004008B4" w:rsidRDefault="00000000">
      <w:pPr>
        <w:pStyle w:val="ListParagraph"/>
        <w:numPr>
          <w:ilvl w:val="0"/>
          <w:numId w:val="1"/>
        </w:numPr>
        <w:spacing w:after="80"/>
      </w:pPr>
      <w:r>
        <w:t>Large one-time layoff/restructuring costs</w:t>
      </w:r>
    </w:p>
    <w:p w14:paraId="732CFE9D" w14:textId="77777777" w:rsidR="004008B4" w:rsidRDefault="00000000">
      <w:pPr>
        <w:pStyle w:val="ListParagraph"/>
        <w:numPr>
          <w:ilvl w:val="0"/>
          <w:numId w:val="1"/>
        </w:numPr>
        <w:spacing w:after="80"/>
      </w:pPr>
      <w:r>
        <w:t>One-off tax law changes or one-time tax charges</w:t>
      </w:r>
    </w:p>
    <w:p w14:paraId="2030AFDE" w14:textId="77777777" w:rsidR="004008B4" w:rsidRDefault="00000000">
      <w:pPr>
        <w:pStyle w:val="ListParagraph"/>
        <w:numPr>
          <w:ilvl w:val="0"/>
          <w:numId w:val="1"/>
        </w:numPr>
        <w:spacing w:after="80"/>
      </w:pPr>
      <w:r>
        <w:t>Currency-translation swings unrelated to actual sales</w:t>
      </w:r>
    </w:p>
    <w:p w14:paraId="06D7A19B" w14:textId="77777777" w:rsidR="004008B4" w:rsidRDefault="00000000">
      <w:pPr>
        <w:pStyle w:val="ListParagraph"/>
        <w:numPr>
          <w:ilvl w:val="0"/>
          <w:numId w:val="1"/>
        </w:numPr>
        <w:spacing w:after="80"/>
      </w:pPr>
      <w:r>
        <w:t>Insurance payouts</w:t>
      </w:r>
    </w:p>
    <w:p w14:paraId="195F7580" w14:textId="77777777" w:rsidR="004008B4" w:rsidRDefault="00000000">
      <w:pPr>
        <w:pStyle w:val="ListParagraph"/>
        <w:numPr>
          <w:ilvl w:val="0"/>
          <w:numId w:val="1"/>
        </w:numPr>
        <w:spacing w:after="80"/>
      </w:pPr>
      <w:r>
        <w:t>Gains or losses from paying off debt early</w:t>
      </w:r>
    </w:p>
    <w:p w14:paraId="7E2B8032" w14:textId="77777777" w:rsidR="004008B4" w:rsidRDefault="00000000">
      <w:pPr>
        <w:pStyle w:val="ListParagraph"/>
        <w:numPr>
          <w:ilvl w:val="0"/>
          <w:numId w:val="1"/>
        </w:numPr>
        <w:spacing w:after="80"/>
      </w:pPr>
      <w:r>
        <w:t>One-time pension-related accounting adjustments</w:t>
      </w:r>
    </w:p>
    <w:p w14:paraId="65E1F00E" w14:textId="77777777" w:rsidR="004008B4" w:rsidRDefault="00000000">
      <w:pPr>
        <w:pStyle w:val="ListParagraph"/>
        <w:numPr>
          <w:ilvl w:val="0"/>
          <w:numId w:val="1"/>
        </w:numPr>
        <w:spacing w:after="80"/>
      </w:pPr>
      <w:r>
        <w:t>Costs from acquiring another company (deal fees, integration costs)</w:t>
      </w:r>
    </w:p>
    <w:p w14:paraId="27C32686" w14:textId="77777777" w:rsidR="004008B4" w:rsidRDefault="00000000">
      <w:pPr>
        <w:spacing w:after="120"/>
      </w:pPr>
      <w:r>
        <w:rPr>
          <w:i/>
          <w:iCs/>
        </w:rPr>
        <w:t>Note: stock-based compensation is NOT one of these — it's a real, ongoing cost even though non-cash, and should be tracked as its own GAAP-vs-non-GAAP toggle rather than stripped out as a one-off.</w:t>
      </w:r>
    </w:p>
    <w:p w14:paraId="04A9A991" w14:textId="77777777" w:rsidR="004008B4" w:rsidRDefault="004008B4">
      <w:pPr>
        <w:spacing w:after="300"/>
      </w:pPr>
    </w:p>
    <w:p w14:paraId="7BDACCB4" w14:textId="77777777" w:rsidR="004008B4" w:rsidRDefault="00000000">
      <w:r>
        <w:rPr>
          <w:i/>
          <w:iCs/>
          <w:color w:val="777777"/>
        </w:rPr>
        <w:t>End of note.</w:t>
      </w:r>
    </w:p>
    <w:sectPr w:rsidR="004008B4">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0519F"/>
    <w:multiLevelType w:val="hybridMultilevel"/>
    <w:tmpl w:val="190AF6F6"/>
    <w:lvl w:ilvl="0" w:tplc="E8EEA0B2">
      <w:start w:val="1"/>
      <w:numFmt w:val="bullet"/>
      <w:lvlText w:val="●"/>
      <w:lvlJc w:val="left"/>
      <w:pPr>
        <w:ind w:left="720" w:hanging="360"/>
      </w:pPr>
    </w:lvl>
    <w:lvl w:ilvl="1" w:tplc="4348933C">
      <w:start w:val="1"/>
      <w:numFmt w:val="bullet"/>
      <w:lvlText w:val="○"/>
      <w:lvlJc w:val="left"/>
      <w:pPr>
        <w:ind w:left="1440" w:hanging="360"/>
      </w:pPr>
    </w:lvl>
    <w:lvl w:ilvl="2" w:tplc="D3FE4C4E">
      <w:start w:val="1"/>
      <w:numFmt w:val="bullet"/>
      <w:lvlText w:val="■"/>
      <w:lvlJc w:val="left"/>
      <w:pPr>
        <w:ind w:left="2160" w:hanging="360"/>
      </w:pPr>
    </w:lvl>
    <w:lvl w:ilvl="3" w:tplc="A1642062">
      <w:start w:val="1"/>
      <w:numFmt w:val="bullet"/>
      <w:lvlText w:val="●"/>
      <w:lvlJc w:val="left"/>
      <w:pPr>
        <w:ind w:left="2880" w:hanging="360"/>
      </w:pPr>
    </w:lvl>
    <w:lvl w:ilvl="4" w:tplc="CCEC1EB8">
      <w:start w:val="1"/>
      <w:numFmt w:val="bullet"/>
      <w:lvlText w:val="○"/>
      <w:lvlJc w:val="left"/>
      <w:pPr>
        <w:ind w:left="3600" w:hanging="360"/>
      </w:pPr>
    </w:lvl>
    <w:lvl w:ilvl="5" w:tplc="F7727DD4">
      <w:start w:val="1"/>
      <w:numFmt w:val="bullet"/>
      <w:lvlText w:val="■"/>
      <w:lvlJc w:val="left"/>
      <w:pPr>
        <w:ind w:left="4320" w:hanging="360"/>
      </w:pPr>
    </w:lvl>
    <w:lvl w:ilvl="6" w:tplc="D2C2E6D6">
      <w:start w:val="1"/>
      <w:numFmt w:val="bullet"/>
      <w:lvlText w:val="●"/>
      <w:lvlJc w:val="left"/>
      <w:pPr>
        <w:ind w:left="5040" w:hanging="360"/>
      </w:pPr>
    </w:lvl>
    <w:lvl w:ilvl="7" w:tplc="56160C4E">
      <w:start w:val="1"/>
      <w:numFmt w:val="bullet"/>
      <w:lvlText w:val="●"/>
      <w:lvlJc w:val="left"/>
      <w:pPr>
        <w:ind w:left="5760" w:hanging="360"/>
      </w:pPr>
    </w:lvl>
    <w:lvl w:ilvl="8" w:tplc="8A36A2A6">
      <w:start w:val="1"/>
      <w:numFmt w:val="bullet"/>
      <w:lvlText w:val="●"/>
      <w:lvlJc w:val="left"/>
      <w:pPr>
        <w:ind w:left="6480" w:hanging="360"/>
      </w:pPr>
    </w:lvl>
  </w:abstractNum>
  <w:num w:numId="1" w16cid:durableId="18732221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8B4"/>
    <w:rsid w:val="00390A3C"/>
    <w:rsid w:val="004008B4"/>
    <w:rsid w:val="0062343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F4708CE"/>
  <w15:docId w15:val="{8AC80264-ED2D-8D4A-B4A3-AB7E66F67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5603</Words>
  <Characters>31718</Characters>
  <Application>Microsoft Office Word</Application>
  <DocSecurity>0</DocSecurity>
  <Lines>752</Lines>
  <Paragraphs>289</Paragraphs>
  <ScaleCrop>false</ScaleCrop>
  <Company/>
  <LinksUpToDate>false</LinksUpToDate>
  <CharactersWithSpaces>37163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Family M-M</cp:lastModifiedBy>
  <cp:revision>2</cp:revision>
  <dcterms:created xsi:type="dcterms:W3CDTF">2026-07-28T16:23:00Z</dcterms:created>
  <dcterms:modified xsi:type="dcterms:W3CDTF">2026-07-28T16:23:00Z</dcterms:modified>
</cp:coreProperties>
</file>