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17"/>
        </w:rPr>
        <w:t>ACADEMIC CAPSTONE COLLABORATION DOSSIER | FINAL YEAR PROJECT</w:t>
        <w:br/>
      </w:r>
    </w:p>
    <w:p>
      <w:pPr>
        <w:spacing w:before="120" w:after="40"/>
      </w:pPr>
      <w:r>
        <w:rPr>
          <w:b/>
          <w:color w:val="064E3B"/>
          <w:sz w:val="36"/>
        </w:rPr>
        <w:t>RiskGuard Pro — Project Role Division, Presentation Scripts &amp; Viva Voce Guide</w:t>
      </w:r>
    </w:p>
    <w:p>
      <w:pPr>
        <w:spacing w:after="200"/>
      </w:pPr>
      <w:r>
        <w:rPr>
          <w:i/>
          <w:color w:val="334155"/>
          <w:sz w:val="22"/>
        </w:rPr>
        <w:t>A Complete Interdisciplinary Guide for B.Tech (Computer Science &amp; Engineering) and B.Com (Commerce &amp; Finance) Project Partners</w:t>
      </w:r>
    </w:p>
    <w:tbl>
      <w:tblPr>
        <w:tblW w:type="auto" w:w="0"/>
        <w:jc w:val="center"/>
        <w:tblLook w:firstColumn="1" w:firstRow="1" w:lastColumn="0" w:lastRow="0" w:noHBand="0" w:noVBand="1" w:val="04A0"/>
      </w:tblPr>
      <w:tblGrid>
        <w:gridCol w:w="9936"/>
      </w:tblGrid>
      <w:tr>
        <w:tc>
          <w:tcPr>
            <w:tcW w:type="dxa" w:w="9792"/>
            <w:shd w:fill="F0FDF4"/>
            <w:tcMar>
              <w:top w:w="120" w:type="dxa"/>
              <w:bottom w:w="120" w:type="dxa"/>
              <w:left w:w="180" w:type="dxa"/>
              <w:right w:w="180" w:type="dxa"/>
            </w:tcMar>
            <w:tcBorders>
              <w:left w:val="single" w:sz="24" w:space="0" w:color="065F46"/>
              <w:top w:val="none"/>
              <w:right w:val="none"/>
              <w:bottom w:val="none"/>
            </w:tcBorders>
          </w:tcPr>
          <w:p>
            <w:pPr>
              <w:spacing w:after="40"/>
            </w:pPr>
            <w:r>
              <w:rPr>
                <w:b/>
                <w:color w:val="065F46"/>
                <w:sz w:val="19"/>
              </w:rPr>
              <w:t xml:space="preserve">📌 CRITICAL COLLABORATION NOTE: </w:t>
            </w:r>
            <w:r>
              <w:rPr>
                <w:color w:val="1E293B"/>
                <w:sz w:val="19"/>
              </w:rPr>
              <w:t>This document defines the exact boundaries, individual technical/financial responsibilities, word-for-word presentation speech scripts, and top 20 viva voce questions for the B.Tech and B.Com partners. Reviewing this ensures both candidates score maximum marks without overlapping or stumbling during examiner questioning.</w:t>
            </w:r>
          </w:p>
        </w:tc>
      </w:tr>
    </w:tbl>
    <w:p>
      <w:pPr>
        <w:spacing w:after="40"/>
      </w:pPr>
    </w:p>
    <w:p>
      <w:pPr>
        <w:keepNext/>
        <w:spacing w:before="280" w:after="80"/>
        <w:pBdr>
          <w:bottom w:val="single" w:sz="12" w:space="4" w:color="059669"/>
        </w:pBdr>
      </w:pPr>
      <w:r>
        <w:rPr>
          <w:b/>
          <w:color w:val="064E3B"/>
          <w:sz w:val="30"/>
        </w:rPr>
        <w:t>1. Interdisciplinary Responsibility Matrix (B.Tech vs. B.Com)</w:t>
      </w:r>
    </w:p>
    <w:p>
      <w:r>
        <w:t>RiskGuard Pro is designed as a hybrid interdisciplinary software and commercial intelligence system. The project combines rigorous Computer Science (software engineering, numerical algorithms, cryptographic data structures, and WebGL graphics) with sophisticated Corporate Finance (accounting identities, ratio analytics, Altman Z-score solvency, and ISO 31000 risk governance).</w:t>
      </w:r>
    </w:p>
    <w:tbl>
      <w:tblPr>
        <w:tblW w:type="auto" w:w="0"/>
        <w:jc w:val="center"/>
        <w:tblLook w:firstColumn="1" w:firstRow="1" w:lastColumn="0" w:lastRow="0" w:noHBand="0" w:noVBand="1" w:val="04A0"/>
      </w:tblPr>
      <w:tblGrid>
        <w:gridCol w:w="3312"/>
        <w:gridCol w:w="3312"/>
        <w:gridCol w:w="3312"/>
      </w:tblGrid>
      <w:tr>
        <w:tc>
          <w:tcPr>
            <w:tcW w:type="dxa" w:w="2304"/>
            <w:tcMar>
              <w:top w:w="70" w:type="dxa"/>
              <w:bottom w:w="70" w:type="dxa"/>
              <w:left w:w="90" w:type="dxa"/>
              <w:right w:w="90" w:type="dxa"/>
            </w:tcMar>
            <w:shd w:fill="064E3B"/>
          </w:tcPr>
          <w:p>
            <w:pPr>
              <w:spacing w:line="264" w:lineRule="auto" w:after="40"/>
            </w:pPr>
            <w:r>
              <w:rPr>
                <w:b/>
                <w:color w:val="FFFFFF"/>
                <w:sz w:val="17"/>
              </w:rPr>
              <w:t>Core Capability Area</w:t>
            </w:r>
          </w:p>
        </w:tc>
        <w:tc>
          <w:tcPr>
            <w:tcW w:type="dxa" w:w="3744"/>
            <w:tcMar>
              <w:top w:w="70" w:type="dxa"/>
              <w:bottom w:w="70" w:type="dxa"/>
              <w:left w:w="90" w:type="dxa"/>
              <w:right w:w="90" w:type="dxa"/>
            </w:tcMar>
            <w:shd w:fill="064E3B"/>
          </w:tcPr>
          <w:p>
            <w:pPr>
              <w:spacing w:line="264" w:lineRule="auto" w:after="40"/>
            </w:pPr>
            <w:r>
              <w:rPr>
                <w:b/>
                <w:color w:val="FFFFFF"/>
                <w:sz w:val="17"/>
              </w:rPr>
              <w:t>B.Tech Partner Ownership (Engineering)</w:t>
            </w:r>
          </w:p>
        </w:tc>
        <w:tc>
          <w:tcPr>
            <w:tcW w:type="dxa" w:w="3744"/>
            <w:tcMar>
              <w:top w:w="70" w:type="dxa"/>
              <w:bottom w:w="70" w:type="dxa"/>
              <w:left w:w="90" w:type="dxa"/>
              <w:right w:w="90" w:type="dxa"/>
            </w:tcMar>
            <w:shd w:fill="064E3B"/>
          </w:tcPr>
          <w:p>
            <w:pPr>
              <w:spacing w:line="264" w:lineRule="auto" w:after="40"/>
            </w:pPr>
            <w:r>
              <w:rPr>
                <w:b/>
                <w:color w:val="FFFFFF"/>
                <w:sz w:val="17"/>
              </w:rPr>
              <w:t>B.Com Partner Ownership (Commerce &amp; Finance)</w:t>
            </w:r>
          </w:p>
        </w:tc>
      </w:tr>
      <w:tr>
        <w:tc>
          <w:tcPr>
            <w:tcW w:type="dxa" w:w="2304"/>
            <w:tcMar>
              <w:top w:w="70" w:type="dxa"/>
              <w:bottom w:w="70" w:type="dxa"/>
              <w:left w:w="90" w:type="dxa"/>
              <w:right w:w="90" w:type="dxa"/>
            </w:tcMar>
            <w:shd w:fill="F8FAFC"/>
          </w:tcPr>
          <w:p>
            <w:pPr>
              <w:spacing w:line="264" w:lineRule="auto" w:after="40"/>
            </w:pPr>
            <w:r>
              <w:rPr>
                <w:sz w:val="16"/>
              </w:rPr>
              <w:t>1. Architecture &amp; Core Tech</w:t>
            </w:r>
          </w:p>
        </w:tc>
        <w:tc>
          <w:tcPr>
            <w:tcW w:type="dxa" w:w="3744"/>
            <w:tcMar>
              <w:top w:w="70" w:type="dxa"/>
              <w:bottom w:w="70" w:type="dxa"/>
              <w:left w:w="90" w:type="dxa"/>
              <w:right w:w="90" w:type="dxa"/>
            </w:tcMar>
            <w:shd w:fill="F8FAFC"/>
          </w:tcPr>
          <w:p>
            <w:pPr>
              <w:spacing w:line="264" w:lineRule="auto" w:after="40"/>
            </w:pPr>
            <w:r>
              <w:rPr>
                <w:sz w:val="16"/>
              </w:rPr>
              <w:t>Python Flask REST API, Modular Blueprints, Single-Page Architecture, Three.js 3D WebGL engine, and Git/Render CI/CD deployment.</w:t>
            </w:r>
          </w:p>
        </w:tc>
        <w:tc>
          <w:tcPr>
            <w:tcW w:type="dxa" w:w="3744"/>
            <w:tcMar>
              <w:top w:w="70" w:type="dxa"/>
              <w:bottom w:w="70" w:type="dxa"/>
              <w:left w:w="90" w:type="dxa"/>
              <w:right w:w="90" w:type="dxa"/>
            </w:tcMar>
            <w:shd w:fill="F8FAFC"/>
          </w:tcPr>
          <w:p>
            <w:pPr>
              <w:spacing w:line="264" w:lineRule="auto" w:after="40"/>
            </w:pPr>
            <w:r>
              <w:rPr>
                <w:sz w:val="16"/>
              </w:rPr>
              <w:t>Defines business functional requirements, user story specifications, report export formatting, and executive usability expectations.</w:t>
            </w:r>
          </w:p>
        </w:tc>
      </w:tr>
      <w:tr>
        <w:tc>
          <w:tcPr>
            <w:tcW w:type="dxa" w:w="2304"/>
            <w:tcMar>
              <w:top w:w="70" w:type="dxa"/>
              <w:bottom w:w="70" w:type="dxa"/>
              <w:left w:w="90" w:type="dxa"/>
              <w:right w:w="90" w:type="dxa"/>
            </w:tcMar>
            <w:shd w:fill="FFFFFF"/>
          </w:tcPr>
          <w:p>
            <w:pPr>
              <w:spacing w:line="264" w:lineRule="auto" w:after="40"/>
            </w:pPr>
            <w:r>
              <w:rPr>
                <w:sz w:val="16"/>
              </w:rPr>
              <w:t>2. Data &amp; Cloud Persistence</w:t>
            </w:r>
          </w:p>
        </w:tc>
        <w:tc>
          <w:tcPr>
            <w:tcW w:type="dxa" w:w="3744"/>
            <w:tcMar>
              <w:top w:w="70" w:type="dxa"/>
              <w:bottom w:w="70" w:type="dxa"/>
              <w:left w:w="90" w:type="dxa"/>
              <w:right w:w="90" w:type="dxa"/>
            </w:tcMar>
            <w:shd w:fill="FFFFFF"/>
          </w:tcPr>
          <w:p>
            <w:pPr>
              <w:spacing w:line="264" w:lineRule="auto" w:after="40"/>
            </w:pPr>
            <w:r>
              <w:rPr>
                <w:sz w:val="16"/>
              </w:rPr>
              <w:t>Supabase Cloud (PostgreSQL) configuration, auto-fallback SQLite engine, connection pooling, and schema migration DDL.</w:t>
            </w:r>
          </w:p>
        </w:tc>
        <w:tc>
          <w:tcPr>
            <w:tcW w:type="dxa" w:w="3744"/>
            <w:tcMar>
              <w:top w:w="70" w:type="dxa"/>
              <w:bottom w:w="70" w:type="dxa"/>
              <w:left w:w="90" w:type="dxa"/>
              <w:right w:w="90" w:type="dxa"/>
            </w:tcMar>
            <w:shd w:fill="FFFFFF"/>
          </w:tcPr>
          <w:p>
            <w:pPr>
              <w:spacing w:line="264" w:lineRule="auto" w:after="40"/>
            </w:pPr>
            <w:r>
              <w:rPr>
                <w:sz w:val="16"/>
              </w:rPr>
              <w:t>Data modeling: Entity definitions for risk taxonomy, chart of accounts, P&amp;L parameters, and historical audit requirements.</w:t>
            </w:r>
          </w:p>
        </w:tc>
      </w:tr>
      <w:tr>
        <w:tc>
          <w:tcPr>
            <w:tcW w:type="dxa" w:w="2304"/>
            <w:tcMar>
              <w:top w:w="70" w:type="dxa"/>
              <w:bottom w:w="70" w:type="dxa"/>
              <w:left w:w="90" w:type="dxa"/>
              <w:right w:w="90" w:type="dxa"/>
            </w:tcMar>
            <w:shd w:fill="F8FAFC"/>
          </w:tcPr>
          <w:p>
            <w:pPr>
              <w:spacing w:line="264" w:lineRule="auto" w:after="40"/>
            </w:pPr>
            <w:r>
              <w:rPr>
                <w:sz w:val="16"/>
              </w:rPr>
              <w:t>3. Financial Ratio Engine</w:t>
            </w:r>
          </w:p>
        </w:tc>
        <w:tc>
          <w:tcPr>
            <w:tcW w:type="dxa" w:w="3744"/>
            <w:tcMar>
              <w:top w:w="70" w:type="dxa"/>
              <w:bottom w:w="70" w:type="dxa"/>
              <w:left w:w="90" w:type="dxa"/>
              <w:right w:w="90" w:type="dxa"/>
            </w:tcMar>
            <w:shd w:fill="F8FAFC"/>
          </w:tcPr>
          <w:p>
            <w:pPr>
              <w:spacing w:line="264" w:lineRule="auto" w:after="40"/>
            </w:pPr>
            <w:r>
              <w:rPr>
                <w:sz w:val="16"/>
              </w:rPr>
              <w:t>Backend calculation logic, zero-division error guards, floating-point rounding precision, and benchmark comparison algorithms.</w:t>
            </w:r>
          </w:p>
        </w:tc>
        <w:tc>
          <w:tcPr>
            <w:tcW w:type="dxa" w:w="3744"/>
            <w:tcMar>
              <w:top w:w="70" w:type="dxa"/>
              <w:bottom w:w="70" w:type="dxa"/>
              <w:left w:w="90" w:type="dxa"/>
              <w:right w:w="90" w:type="dxa"/>
            </w:tcMar>
            <w:shd w:fill="F8FAFC"/>
          </w:tcPr>
          <w:p>
            <w:pPr>
              <w:spacing w:line="264" w:lineRule="auto" w:after="40"/>
            </w:pPr>
            <w:r>
              <w:rPr>
                <w:sz w:val="16"/>
              </w:rPr>
              <w:t>Selection of 14 key corporate ratios across 5 pillars, accounting formulation standards, and sector benchmark differential thresholds.</w:t>
            </w:r>
          </w:p>
        </w:tc>
      </w:tr>
      <w:tr>
        <w:tc>
          <w:tcPr>
            <w:tcW w:type="dxa" w:w="2304"/>
            <w:tcMar>
              <w:top w:w="70" w:type="dxa"/>
              <w:bottom w:w="70" w:type="dxa"/>
              <w:left w:w="90" w:type="dxa"/>
              <w:right w:w="90" w:type="dxa"/>
            </w:tcMar>
            <w:shd w:fill="FFFFFF"/>
          </w:tcPr>
          <w:p>
            <w:pPr>
              <w:spacing w:line="264" w:lineRule="auto" w:after="40"/>
            </w:pPr>
            <w:r>
              <w:rPr>
                <w:sz w:val="16"/>
              </w:rPr>
              <w:t>4. 5-Pillar Advisory Framework</w:t>
            </w:r>
          </w:p>
        </w:tc>
        <w:tc>
          <w:tcPr>
            <w:tcW w:type="dxa" w:w="3744"/>
            <w:tcMar>
              <w:top w:w="70" w:type="dxa"/>
              <w:bottom w:w="70" w:type="dxa"/>
              <w:left w:w="90" w:type="dxa"/>
              <w:right w:w="90" w:type="dxa"/>
            </w:tcMar>
            <w:shd w:fill="FFFFFF"/>
          </w:tcPr>
          <w:p>
            <w:pPr>
              <w:spacing w:line="264" w:lineRule="auto" w:after="40"/>
            </w:pPr>
            <w:r>
              <w:rPr>
                <w:sz w:val="16"/>
              </w:rPr>
              <w:t>Dynamic UI card generator, DOM filtering pills, pre-fill modal hooks, and responsive glassmorphism rendering.</w:t>
            </w:r>
          </w:p>
        </w:tc>
        <w:tc>
          <w:tcPr>
            <w:tcW w:type="dxa" w:w="3744"/>
            <w:tcMar>
              <w:top w:w="70" w:type="dxa"/>
              <w:bottom w:w="70" w:type="dxa"/>
              <w:left w:w="90" w:type="dxa"/>
              <w:right w:w="90" w:type="dxa"/>
            </w:tcMar>
            <w:shd w:fill="FFFFFF"/>
          </w:tcPr>
          <w:p>
            <w:pPr>
              <w:spacing w:line="264" w:lineRule="auto" w:after="40"/>
            </w:pPr>
            <w:r>
              <w:rPr>
                <w:sz w:val="16"/>
              </w:rPr>
              <w:t>Authorship of the 4-part diagnosis: Risk Classifications, Plain-English Interpretations, Business Impacts, and Mitigation Actions.</w:t>
            </w:r>
          </w:p>
        </w:tc>
      </w:tr>
      <w:tr>
        <w:tc>
          <w:tcPr>
            <w:tcW w:type="dxa" w:w="2304"/>
            <w:tcMar>
              <w:top w:w="70" w:type="dxa"/>
              <w:bottom w:w="70" w:type="dxa"/>
              <w:left w:w="90" w:type="dxa"/>
              <w:right w:w="90" w:type="dxa"/>
            </w:tcMar>
            <w:shd w:fill="F8FAFC"/>
          </w:tcPr>
          <w:p>
            <w:pPr>
              <w:spacing w:line="264" w:lineRule="auto" w:after="40"/>
            </w:pPr>
            <w:r>
              <w:rPr>
                <w:sz w:val="16"/>
              </w:rPr>
              <w:t>5. Monte Carlo Simulation</w:t>
            </w:r>
          </w:p>
        </w:tc>
        <w:tc>
          <w:tcPr>
            <w:tcW w:type="dxa" w:w="3744"/>
            <w:tcMar>
              <w:top w:w="70" w:type="dxa"/>
              <w:bottom w:w="70" w:type="dxa"/>
              <w:left w:w="90" w:type="dxa"/>
              <w:right w:w="90" w:type="dxa"/>
            </w:tcMar>
            <w:shd w:fill="F8FAFC"/>
          </w:tcPr>
          <w:p>
            <w:pPr>
              <w:spacing w:line="264" w:lineRule="auto" w:after="40"/>
            </w:pPr>
            <w:r>
              <w:rPr>
                <w:sz w:val="16"/>
              </w:rPr>
              <w:t>NumPy vectorization, 1,000–50,000 trial distribution modeling (Box-Muller/Normal), percentile array sorting, and VaR math.</w:t>
            </w:r>
          </w:p>
        </w:tc>
        <w:tc>
          <w:tcPr>
            <w:tcW w:type="dxa" w:w="3744"/>
            <w:tcMar>
              <w:top w:w="70" w:type="dxa"/>
              <w:bottom w:w="70" w:type="dxa"/>
              <w:left w:w="90" w:type="dxa"/>
              <w:right w:w="90" w:type="dxa"/>
            </w:tcMar>
            <w:shd w:fill="F8FAFC"/>
          </w:tcPr>
          <w:p>
            <w:pPr>
              <w:spacing w:line="264" w:lineRule="auto" w:after="40"/>
            </w:pPr>
            <w:r>
              <w:rPr>
                <w:sz w:val="16"/>
              </w:rPr>
              <w:t>Financial interpretation of Value-at-Risk (95% confidence threshold), macroeconomic variance parameters, and tail loss buffers.</w:t>
            </w:r>
          </w:p>
        </w:tc>
      </w:tr>
      <w:tr>
        <w:tc>
          <w:tcPr>
            <w:tcW w:type="dxa" w:w="2304"/>
            <w:tcMar>
              <w:top w:w="70" w:type="dxa"/>
              <w:bottom w:w="70" w:type="dxa"/>
              <w:left w:w="90" w:type="dxa"/>
              <w:right w:w="90" w:type="dxa"/>
            </w:tcMar>
            <w:shd w:fill="FFFFFF"/>
          </w:tcPr>
          <w:p>
            <w:pPr>
              <w:spacing w:line="264" w:lineRule="auto" w:after="40"/>
            </w:pPr>
            <w:r>
              <w:rPr>
                <w:sz w:val="16"/>
              </w:rPr>
              <w:t>6. Statement Ingestion Pipeline</w:t>
            </w:r>
          </w:p>
        </w:tc>
        <w:tc>
          <w:tcPr>
            <w:tcW w:type="dxa" w:w="3744"/>
            <w:tcMar>
              <w:top w:w="70" w:type="dxa"/>
              <w:bottom w:w="70" w:type="dxa"/>
              <w:left w:w="90" w:type="dxa"/>
              <w:right w:w="90" w:type="dxa"/>
            </w:tcMar>
            <w:shd w:fill="FFFFFF"/>
          </w:tcPr>
          <w:p>
            <w:pPr>
              <w:spacing w:line="264" w:lineRule="auto" w:after="40"/>
            </w:pPr>
            <w:r>
              <w:rPr>
                <w:sz w:val="16"/>
              </w:rPr>
              <w:t>Python statement parser using pypdf, openpyxl, fuzzy regex alias mapping for 150+ aliases, and currency symbol scrubbers.</w:t>
            </w:r>
          </w:p>
        </w:tc>
        <w:tc>
          <w:tcPr>
            <w:tcW w:type="dxa" w:w="3744"/>
            <w:tcMar>
              <w:top w:w="70" w:type="dxa"/>
              <w:bottom w:w="70" w:type="dxa"/>
              <w:left w:w="90" w:type="dxa"/>
              <w:right w:w="90" w:type="dxa"/>
            </w:tcMar>
            <w:shd w:fill="FFFFFF"/>
          </w:tcPr>
          <w:p>
            <w:pPr>
              <w:spacing w:line="264" w:lineRule="auto" w:after="40"/>
            </w:pPr>
            <w:r>
              <w:rPr>
                <w:sz w:val="16"/>
              </w:rPr>
              <w:t>Curation of audited sample corporate statements (Book1.xlsx), balance sheet reconciliation, and accounting identities.</w:t>
            </w:r>
          </w:p>
        </w:tc>
      </w:tr>
      <w:tr>
        <w:tc>
          <w:tcPr>
            <w:tcW w:type="dxa" w:w="2304"/>
            <w:tcMar>
              <w:top w:w="70" w:type="dxa"/>
              <w:bottom w:w="70" w:type="dxa"/>
              <w:left w:w="90" w:type="dxa"/>
              <w:right w:w="90" w:type="dxa"/>
            </w:tcMar>
            <w:shd w:fill="F8FAFC"/>
          </w:tcPr>
          <w:p>
            <w:pPr>
              <w:spacing w:line="264" w:lineRule="auto" w:after="40"/>
            </w:pPr>
            <w:r>
              <w:rPr>
                <w:sz w:val="16"/>
              </w:rPr>
              <w:t>7. Governance &amp; Action Tracker</w:t>
            </w:r>
          </w:p>
        </w:tc>
        <w:tc>
          <w:tcPr>
            <w:tcW w:type="dxa" w:w="3744"/>
            <w:tcMar>
              <w:top w:w="70" w:type="dxa"/>
              <w:bottom w:w="70" w:type="dxa"/>
              <w:left w:w="90" w:type="dxa"/>
              <w:right w:w="90" w:type="dxa"/>
            </w:tcMar>
            <w:shd w:fill="F8FAFC"/>
          </w:tcPr>
          <w:p>
            <w:pPr>
              <w:spacing w:line="264" w:lineRule="auto" w:after="40"/>
            </w:pPr>
            <w:r>
              <w:rPr>
                <w:sz w:val="16"/>
              </w:rPr>
              <w:t>Custom emerald modal UI, REST task CRUD endpoints (/api/tasks), and real-time state synchronization.</w:t>
            </w:r>
          </w:p>
        </w:tc>
        <w:tc>
          <w:tcPr>
            <w:tcW w:type="dxa" w:w="3744"/>
            <w:tcMar>
              <w:top w:w="70" w:type="dxa"/>
              <w:bottom w:w="70" w:type="dxa"/>
              <w:left w:w="90" w:type="dxa"/>
              <w:right w:w="90" w:type="dxa"/>
            </w:tcMar>
            <w:shd w:fill="F8FAFC"/>
          </w:tcPr>
          <w:p>
            <w:pPr>
              <w:spacing w:line="264" w:lineRule="auto" w:after="40"/>
            </w:pPr>
            <w:r>
              <w:rPr>
                <w:sz w:val="16"/>
              </w:rPr>
              <w:t>Adherence to ISO 31000:2018 risk lifecycle: Risk Treatment strategies (Reduce, Avoid, Transfer, Accept) and assignee delegation.</w:t>
            </w:r>
          </w:p>
        </w:tc>
      </w:tr>
      <w:tr>
        <w:tc>
          <w:tcPr>
            <w:tcW w:type="dxa" w:w="2304"/>
            <w:tcMar>
              <w:top w:w="70" w:type="dxa"/>
              <w:bottom w:w="70" w:type="dxa"/>
              <w:left w:w="90" w:type="dxa"/>
              <w:right w:w="90" w:type="dxa"/>
            </w:tcMar>
            <w:shd w:fill="FFFFFF"/>
          </w:tcPr>
          <w:p>
            <w:pPr>
              <w:spacing w:line="264" w:lineRule="auto" w:after="40"/>
            </w:pPr>
            <w:r>
              <w:rPr>
                <w:sz w:val="16"/>
              </w:rPr>
              <w:t>8. Audit Trail &amp; Verification</w:t>
            </w:r>
          </w:p>
        </w:tc>
        <w:tc>
          <w:tcPr>
            <w:tcW w:type="dxa" w:w="3744"/>
            <w:tcMar>
              <w:top w:w="70" w:type="dxa"/>
              <w:bottom w:w="70" w:type="dxa"/>
              <w:left w:w="90" w:type="dxa"/>
              <w:right w:w="90" w:type="dxa"/>
            </w:tcMar>
            <w:shd w:fill="FFFFFF"/>
          </w:tcPr>
          <w:p>
            <w:pPr>
              <w:spacing w:line="264" w:lineRule="auto" w:after="40"/>
            </w:pPr>
            <w:r>
              <w:rPr>
                <w:sz w:val="16"/>
              </w:rPr>
              <w:t>SHA-256 cryptographic hash-chaining ledger, immutable sequence verification, and tamper detection algorithm.</w:t>
            </w:r>
          </w:p>
        </w:tc>
        <w:tc>
          <w:tcPr>
            <w:tcW w:type="dxa" w:w="3744"/>
            <w:tcMar>
              <w:top w:w="70" w:type="dxa"/>
              <w:bottom w:w="70" w:type="dxa"/>
              <w:left w:w="90" w:type="dxa"/>
              <w:right w:w="90" w:type="dxa"/>
            </w:tcMar>
            <w:shd w:fill="FFFFFF"/>
          </w:tcPr>
          <w:p>
            <w:pPr>
              <w:spacing w:line="264" w:lineRule="auto" w:after="40"/>
            </w:pPr>
            <w:r>
              <w:rPr>
                <w:sz w:val="16"/>
              </w:rPr>
              <w:t>Regulatory compliance mapping: Internal financial controls, SOX audit trail compliance, and verifiable ledger auditability.</w:t>
            </w:r>
          </w:p>
        </w:tc>
      </w:tr>
      <w:tr>
        <w:tc>
          <w:tcPr>
            <w:tcW w:type="dxa" w:w="2304"/>
            <w:tcMar>
              <w:top w:w="70" w:type="dxa"/>
              <w:bottom w:w="70" w:type="dxa"/>
              <w:left w:w="90" w:type="dxa"/>
              <w:right w:w="90" w:type="dxa"/>
            </w:tcMar>
            <w:shd w:fill="F8FAFC"/>
          </w:tcPr>
          <w:p>
            <w:pPr>
              <w:spacing w:line="264" w:lineRule="auto" w:after="40"/>
            </w:pPr>
            <w:r>
              <w:rPr>
                <w:sz w:val="16"/>
              </w:rPr>
              <w:t>9. Quality Assurance &amp; Tests</w:t>
            </w:r>
          </w:p>
        </w:tc>
        <w:tc>
          <w:tcPr>
            <w:tcW w:type="dxa" w:w="3744"/>
            <w:tcMar>
              <w:top w:w="70" w:type="dxa"/>
              <w:bottom w:w="70" w:type="dxa"/>
              <w:left w:w="90" w:type="dxa"/>
              <w:right w:w="90" w:type="dxa"/>
            </w:tcMar>
            <w:shd w:fill="F8FAFC"/>
          </w:tcPr>
          <w:p>
            <w:pPr>
              <w:spacing w:line="264" w:lineRule="auto" w:after="40"/>
            </w:pPr>
            <w:r>
              <w:rPr>
                <w:sz w:val="16"/>
              </w:rPr>
              <w:t>Authoring 66 automated tests in Pytest covering API contracts, security headers, math accuracy, and zero divisions.</w:t>
            </w:r>
          </w:p>
        </w:tc>
        <w:tc>
          <w:tcPr>
            <w:tcW w:type="dxa" w:w="3744"/>
            <w:tcMar>
              <w:top w:w="70" w:type="dxa"/>
              <w:bottom w:w="70" w:type="dxa"/>
              <w:left w:w="90" w:type="dxa"/>
              <w:right w:w="90" w:type="dxa"/>
            </w:tcMar>
            <w:shd w:fill="F8FAFC"/>
          </w:tcPr>
          <w:p>
            <w:pPr>
              <w:spacing w:line="264" w:lineRule="auto" w:after="40"/>
            </w:pPr>
            <w:r>
              <w:rPr>
                <w:sz w:val="16"/>
              </w:rPr>
              <w:t>Financial validation: Verification that calculated ratios, margins, and Altman Z-scores match audited textbook benchmarks.</w:t>
            </w:r>
          </w:p>
        </w:tc>
      </w:tr>
    </w:tbl>
    <w:p>
      <w:pPr>
        <w:keepNext/>
        <w:spacing w:before="280" w:after="80"/>
        <w:pBdr>
          <w:bottom w:val="single" w:sz="12" w:space="4" w:color="059669"/>
        </w:pBdr>
      </w:pPr>
      <w:r>
        <w:rPr>
          <w:b/>
          <w:color w:val="064E3B"/>
          <w:sz w:val="30"/>
        </w:rPr>
        <w:t>2. B.Tech Partner: Technical Architecture &amp; Quantitative Systems</w:t>
      </w:r>
    </w:p>
    <w:p>
      <w:r>
        <w:t>As the engineering candidate, you must present the application as a scalable, fault-tolerant, and mathematically rigorous software platform. Do not present it as a basic spreadsheet or HTML form. Emphasize the following six technical pillars:</w:t>
      </w:r>
    </w:p>
    <w:p>
      <w:pPr>
        <w:spacing w:after="60"/>
        <w:ind w:left="288"/>
      </w:pPr>
      <w:r>
        <w:rPr>
          <w:b/>
          <w:color w:val="047857"/>
        </w:rPr>
        <w:t xml:space="preserve">• Modular Micro-Service Design: </w:t>
      </w:r>
      <w:r>
        <w:rPr>
          <w:sz w:val="19"/>
        </w:rPr>
        <w:t>The Flask application is decoupled into blueprints (auth, risks, statements, stress_testing, solutions). The front-end communicates strictly via JSON REST APIs over HTTPS, enabling complete decoupling and future mobile/desktop client integration.</w:t>
      </w:r>
    </w:p>
    <w:p>
      <w:pPr>
        <w:spacing w:after="60"/>
        <w:ind w:left="288"/>
      </w:pPr>
      <w:r>
        <w:rPr>
          <w:b/>
          <w:color w:val="047857"/>
        </w:rPr>
        <w:t xml:space="preserve">• Three.js WebGL Spatial Threat Topology: </w:t>
      </w:r>
      <w:r>
        <w:rPr>
          <w:sz w:val="19"/>
        </w:rPr>
        <w:t>Built using Three.js with hardware-accelerated WebGL. The risk landscape is rendered as an interactive 5×5 3D terrain grid. Each coordinate represents Likelihood × Severity, where pillar heights correspond to aggregate financial VaR exposure and colors represent severity tiers. Includes raycasting for mouse hover tooltips and dynamic camera view switching (Isometric, Overhead Plan, and Horizon Elevation).</w:t>
      </w:r>
    </w:p>
    <w:p>
      <w:pPr>
        <w:spacing w:after="60"/>
        <w:ind w:left="288"/>
      </w:pPr>
      <w:r>
        <w:rPr>
          <w:b/>
          <w:color w:val="047857"/>
        </w:rPr>
        <w:t xml:space="preserve">• Vectorized Quantitative Monte Carlo Engine: </w:t>
      </w:r>
      <w:r>
        <w:rPr>
          <w:sz w:val="19"/>
        </w:rPr>
        <w:t>Implemented in NumPy for maximum execution speed. Instead of running slow Python loops, the engine executes 1,000 to 50,000 stochastic trials in a single vectorized array operation using Box-Muller normal transforms. The 95% Value-at-Risk (VaR) is extracted using numpy.percentile(losses, 95). Execution of 5,000 trials completes in under 45 milliseconds.</w:t>
      </w:r>
    </w:p>
    <w:p>
      <w:pPr>
        <w:spacing w:after="60"/>
        <w:ind w:left="288"/>
      </w:pPr>
      <w:r>
        <w:rPr>
          <w:b/>
          <w:color w:val="047857"/>
        </w:rPr>
        <w:t xml:space="preserve">• Dual-Engine Database Resilience: </w:t>
      </w:r>
      <w:r>
        <w:rPr>
          <w:sz w:val="19"/>
        </w:rPr>
        <w:t>Configured with Supabase PostgreSQL in the cloud and SQLite locally. A connection sentinel monitors network latency; if cloud connectivity fails, database operations fall back to the local SQLite file (riskguard.db), guaranteeing zero operational downtime.</w:t>
      </w:r>
    </w:p>
    <w:p>
      <w:pPr>
        <w:spacing w:after="60"/>
        <w:ind w:left="288"/>
      </w:pPr>
      <w:r>
        <w:rPr>
          <w:b/>
          <w:color w:val="047857"/>
        </w:rPr>
        <w:t xml:space="preserve">• Automated Statement Extraction Pipeline: </w:t>
      </w:r>
      <w:r>
        <w:rPr>
          <w:sz w:val="19"/>
        </w:rPr>
        <w:t>Built with pypdf for PDF text layer extraction and openpyxl for multi-sheet Excel workbooks. Features a dictionary of over 150 financial aliases with fuzzy word-boundary regex matching to parse diverse corporate reporting formats without human intervention.</w:t>
      </w:r>
    </w:p>
    <w:p>
      <w:pPr>
        <w:spacing w:after="60"/>
        <w:ind w:left="288"/>
      </w:pPr>
      <w:r>
        <w:rPr>
          <w:b/>
          <w:color w:val="047857"/>
        </w:rPr>
        <w:t xml:space="preserve">• Cryptographic SHA-256 Audit Ledger: </w:t>
      </w:r>
      <w:r>
        <w:rPr>
          <w:sz w:val="19"/>
        </w:rPr>
        <w:t>An append-only immutable ledger that generates a cryptographic hash for every system mutation: H_n = SHA256(H_{n-1} + Timestamp + Action + RecordID). The admin console features an audit verification utility that recalculates the full hash chain to detect raw database tampering.</w:t>
      </w:r>
    </w:p>
    <w:tbl>
      <w:tblPr>
        <w:tblW w:type="auto" w:w="0"/>
        <w:jc w:val="center"/>
        <w:tblLook w:firstColumn="1" w:firstRow="1" w:lastColumn="0" w:lastRow="0" w:noHBand="0" w:noVBand="1" w:val="04A0"/>
      </w:tblPr>
      <w:tblGrid>
        <w:gridCol w:w="9936"/>
      </w:tblGrid>
      <w:tr>
        <w:tc>
          <w:tcPr>
            <w:tcW w:type="dxa" w:w="9792"/>
            <w:shd w:fill="F0FDF4"/>
            <w:tcMar>
              <w:top w:w="120" w:type="dxa"/>
              <w:bottom w:w="120" w:type="dxa"/>
              <w:left w:w="180" w:type="dxa"/>
              <w:right w:w="180" w:type="dxa"/>
            </w:tcMar>
            <w:tcBorders>
              <w:left w:val="single" w:sz="24" w:space="0" w:color="065F46"/>
              <w:top w:val="none"/>
              <w:right w:val="none"/>
              <w:bottom w:val="none"/>
            </w:tcBorders>
          </w:tcPr>
          <w:p>
            <w:pPr>
              <w:spacing w:after="40"/>
            </w:pPr>
            <w:r>
              <w:rPr>
                <w:b/>
                <w:color w:val="065F46"/>
                <w:sz w:val="19"/>
              </w:rPr>
              <w:t xml:space="preserve">📌 B.TECH EXAMINER WINNING TIP: </w:t>
            </w:r>
            <w:r>
              <w:rPr>
                <w:color w:val="1E293B"/>
                <w:sz w:val="19"/>
              </w:rPr>
              <w:t>Demonstrate the terminal running 'python -m pytest'. Show all 66 tests passing in ~7 seconds. Examiners heavily respect candidates who demonstrate automated unit testing and security hardening.</w:t>
            </w:r>
          </w:p>
        </w:tc>
      </w:tr>
    </w:tbl>
    <w:p>
      <w:pPr>
        <w:spacing w:after="40"/>
      </w:pPr>
    </w:p>
    <w:p>
      <w:pPr>
        <w:keepNext/>
        <w:spacing w:before="280" w:after="80"/>
        <w:pBdr>
          <w:bottom w:val="single" w:sz="12" w:space="4" w:color="059669"/>
        </w:pBdr>
      </w:pPr>
      <w:r>
        <w:rPr>
          <w:b/>
          <w:color w:val="064E3B"/>
          <w:sz w:val="30"/>
        </w:rPr>
        <w:t>3. B.Com Partner: Corporate Finance, Diagnostics &amp; ISO 31000 Strategy</w:t>
      </w:r>
    </w:p>
    <w:p>
      <w:r>
        <w:t>As the commerce candidate, you must present the application as a Strategic Financial Diagnostic &amp; Advisory System. Your focus is explaining why numbers matter, what business risks they expose, and how corporate management can act to prevent insolvency. Emphasize the following six commercial pillars:</w:t>
      </w:r>
    </w:p>
    <w:p>
      <w:pPr>
        <w:spacing w:after="60"/>
        <w:ind w:left="288"/>
      </w:pPr>
      <w:r>
        <w:rPr>
          <w:b/>
          <w:color w:val="047857"/>
        </w:rPr>
        <w:t xml:space="preserve">• The Business Problem in Modern Commerce: </w:t>
      </w:r>
      <w:r>
        <w:rPr>
          <w:sz w:val="19"/>
        </w:rPr>
        <w:t>Mid-sized enterprises rarely collapse due to sudden catastrophic events; they fail because leadership overlooks compounding balance sheet imbalances—such as widening debtor collection days (DSO), excessive short-term borrowing, or sluggish inventory turnover locking up operating cash flows.</w:t>
      </w:r>
    </w:p>
    <w:p>
      <w:pPr>
        <w:spacing w:after="60"/>
        <w:ind w:left="288"/>
      </w:pPr>
      <w:r>
        <w:rPr>
          <w:b/>
          <w:color w:val="047857"/>
        </w:rPr>
        <w:t xml:space="preserve">• ISO 31000:2018 Risk Governance Taxonomy: </w:t>
      </w:r>
      <w:r>
        <w:rPr>
          <w:sz w:val="19"/>
        </w:rPr>
        <w:t>RiskGuard Pro implements the internationally recognized ISO 31000:2018 risk standard. Risks are systematically evaluated across 6 business domains: Financial Solvency, Cybersecurity &amp; Cloud, Operational Continuity, Regulatory Compliance, Market &amp; Strategic, and Human Capital.</w:t>
      </w:r>
    </w:p>
    <w:p>
      <w:pPr>
        <w:spacing w:after="60"/>
        <w:ind w:left="288"/>
      </w:pPr>
      <w:r>
        <w:rPr>
          <w:b/>
          <w:color w:val="047857"/>
        </w:rPr>
        <w:t xml:space="preserve">• The 5-Pillar Financial Ratio Suite: </w:t>
      </w:r>
      <w:r>
        <w:rPr>
          <w:sz w:val="19"/>
        </w:rPr>
        <w:t>Unlike superficial dashboards, our system monitors 14 distinct ratios structured into 5 foundational pillars: 1. Liquidity (Current, Quick, Cash Ratio), 2. Profitability (Net Margin, Operating Margin, ROE), 3. Solvency (D/E, Debt Ratio, Interest Coverage), 4. Efficiency (Inventory Turnover, DSO, Payables Days, Cash Conversion Cycle), and 5. Cash Flow &amp; Solvency Health.</w:t>
      </w:r>
    </w:p>
    <w:p>
      <w:pPr>
        <w:spacing w:after="60"/>
        <w:ind w:left="288"/>
      </w:pPr>
      <w:r>
        <w:rPr>
          <w:b/>
          <w:color w:val="047857"/>
        </w:rPr>
        <w:t xml:space="preserve">• The 4-Part Risk Diagnostic Model: </w:t>
      </w:r>
      <w:r>
        <w:rPr>
          <w:sz w:val="19"/>
        </w:rPr>
        <w:t>For every single ratio, the system delivers actionable intelligence: (1) An ISO 31000 Risk Classification (Low/Mod/High/NA), (2) Plain-English Interpretation, (3) Concrete Possible Business Impacts (e.g. supplier payment delays, covenant breaches), and (4) Practical Suggested Action Plans.</w:t>
      </w:r>
    </w:p>
    <w:p>
      <w:pPr>
        <w:spacing w:after="60"/>
        <w:ind w:left="288"/>
      </w:pPr>
      <w:r>
        <w:rPr>
          <w:b/>
          <w:color w:val="047857"/>
        </w:rPr>
        <w:t xml:space="preserve">• Altman Z-Score Multivariate Bankruptcy Diagnostics: </w:t>
      </w:r>
      <w:r>
        <w:rPr>
          <w:sz w:val="19"/>
        </w:rPr>
        <w:t>Incorporates Edward Altman's 5-factor linear discriminant model for private manufacturing and commercial firms (Z = 1.2X1 + 1.4X2 + 3.3X3 + 0.6X4 + 1.0X5). Classifies enterprises into Safe Zone (Z &gt; 2.99), Grey Zone (1.81–2.99), or Distress Zone (Z &lt; 1.81), providing an objective 2-year insolvency forecast.</w:t>
      </w:r>
    </w:p>
    <w:p>
      <w:pPr>
        <w:spacing w:after="60"/>
        <w:ind w:left="288"/>
      </w:pPr>
      <w:r>
        <w:rPr>
          <w:b/>
          <w:color w:val="047857"/>
        </w:rPr>
        <w:t xml:space="preserve">• Closed-Loop Action Tracking &amp; Governance: </w:t>
      </w:r>
      <w:r>
        <w:rPr>
          <w:sz w:val="19"/>
        </w:rPr>
        <w:t>Analysis without implementation is worthless. Our dashboard features a direct '+ Convert to Action Task' button on every diagnostic card. Financial findings are immediately converted into formal risk treatment tasks with assigned owners, completion due dates, and ISO 31000 strategies (Reduce, Avoid, Transfer, Accept).</w:t>
      </w:r>
    </w:p>
    <w:tbl>
      <w:tblPr>
        <w:tblW w:type="auto" w:w="0"/>
        <w:jc w:val="center"/>
        <w:tblLook w:firstColumn="1" w:firstRow="1" w:lastColumn="0" w:lastRow="0" w:noHBand="0" w:noVBand="1" w:val="04A0"/>
      </w:tblPr>
      <w:tblGrid>
        <w:gridCol w:w="9936"/>
      </w:tblGrid>
      <w:tr>
        <w:tc>
          <w:tcPr>
            <w:tcW w:type="dxa" w:w="9792"/>
            <w:shd w:fill="F0FDF4"/>
            <w:tcMar>
              <w:top w:w="120" w:type="dxa"/>
              <w:bottom w:w="120" w:type="dxa"/>
              <w:left w:w="180" w:type="dxa"/>
              <w:right w:w="180" w:type="dxa"/>
            </w:tcMar>
            <w:tcBorders>
              <w:left w:val="single" w:sz="24" w:space="0" w:color="065F46"/>
              <w:top w:val="none"/>
              <w:right w:val="none"/>
              <w:bottom w:val="none"/>
            </w:tcBorders>
          </w:tcPr>
          <w:p>
            <w:pPr>
              <w:spacing w:after="40"/>
            </w:pPr>
            <w:r>
              <w:rPr>
                <w:b/>
                <w:color w:val="065F46"/>
                <w:sz w:val="19"/>
              </w:rPr>
              <w:t xml:space="preserve">📌 B.COM EXAMINER WINNING TIP: </w:t>
            </w:r>
            <w:r>
              <w:rPr>
                <w:color w:val="1E293B"/>
                <w:sz w:val="19"/>
              </w:rPr>
              <w:t>Walk the examiner through the real Book1.xlsx extraction: Net Sales ₹78L, Gross Profit ₹29L (37.2%), EBIT ₹11L, Interest ₹1L, Current Ratio 1.50x, Debt-to-Equity 0.75x, and Interest Coverage 11.0x. Explain that the company is solvent, but its 1.50x Current Ratio requires careful working capital management.</w:t>
            </w:r>
          </w:p>
        </w:tc>
      </w:tr>
    </w:tbl>
    <w:p>
      <w:pPr>
        <w:spacing w:after="40"/>
      </w:pPr>
    </w:p>
    <w:p>
      <w:pPr>
        <w:keepNext/>
        <w:spacing w:before="280" w:after="80"/>
        <w:pBdr>
          <w:bottom w:val="single" w:sz="12" w:space="4" w:color="059669"/>
        </w:pBdr>
      </w:pPr>
      <w:r>
        <w:rPr>
          <w:b/>
          <w:color w:val="064E3B"/>
          <w:sz w:val="30"/>
        </w:rPr>
        <w:t>4. Chronological 10-Minute Presentation Timeline</w:t>
      </w:r>
    </w:p>
    <w:p>
      <w:r>
        <w:t>Follow this exact timeline during your presentation. Seamless transitions between partners indicate strong teamwork and preparation.</w:t>
      </w:r>
    </w:p>
    <w:tbl>
      <w:tblPr>
        <w:tblW w:type="auto" w:w="0"/>
        <w:jc w:val="center"/>
        <w:tblLook w:firstColumn="1" w:firstRow="1" w:lastColumn="0" w:lastRow="0" w:noHBand="0" w:noVBand="1" w:val="04A0"/>
      </w:tblPr>
      <w:tblGrid>
        <w:gridCol w:w="2484"/>
        <w:gridCol w:w="2484"/>
        <w:gridCol w:w="2484"/>
        <w:gridCol w:w="2484"/>
      </w:tblGrid>
      <w:tr>
        <w:tc>
          <w:tcPr>
            <w:tcW w:type="dxa" w:w="1584"/>
            <w:tcMar>
              <w:top w:w="70" w:type="dxa"/>
              <w:bottom w:w="70" w:type="dxa"/>
              <w:left w:w="90" w:type="dxa"/>
              <w:right w:w="90" w:type="dxa"/>
            </w:tcMar>
            <w:shd w:fill="064E3B"/>
          </w:tcPr>
          <w:p>
            <w:pPr>
              <w:spacing w:line="264" w:lineRule="auto" w:after="40"/>
            </w:pPr>
            <w:r>
              <w:rPr>
                <w:b/>
                <w:color w:val="FFFFFF"/>
                <w:sz w:val="17"/>
              </w:rPr>
              <w:t>Time Window</w:t>
            </w:r>
          </w:p>
        </w:tc>
        <w:tc>
          <w:tcPr>
            <w:tcW w:type="dxa" w:w="1152"/>
            <w:tcMar>
              <w:top w:w="70" w:type="dxa"/>
              <w:bottom w:w="70" w:type="dxa"/>
              <w:left w:w="90" w:type="dxa"/>
              <w:right w:w="90" w:type="dxa"/>
            </w:tcMar>
            <w:shd w:fill="064E3B"/>
          </w:tcPr>
          <w:p>
            <w:pPr>
              <w:spacing w:line="264" w:lineRule="auto" w:after="40"/>
            </w:pPr>
            <w:r>
              <w:rPr>
                <w:b/>
                <w:color w:val="FFFFFF"/>
                <w:sz w:val="17"/>
              </w:rPr>
              <w:t>Speaker</w:t>
            </w:r>
          </w:p>
        </w:tc>
        <w:tc>
          <w:tcPr>
            <w:tcW w:type="dxa" w:w="3168"/>
            <w:tcMar>
              <w:top w:w="70" w:type="dxa"/>
              <w:bottom w:w="70" w:type="dxa"/>
              <w:left w:w="90" w:type="dxa"/>
              <w:right w:w="90" w:type="dxa"/>
            </w:tcMar>
            <w:shd w:fill="064E3B"/>
          </w:tcPr>
          <w:p>
            <w:pPr>
              <w:spacing w:line="264" w:lineRule="auto" w:after="40"/>
            </w:pPr>
            <w:r>
              <w:rPr>
                <w:b/>
                <w:color w:val="FFFFFF"/>
                <w:sz w:val="17"/>
              </w:rPr>
              <w:t>Demonstration Screen</w:t>
            </w:r>
          </w:p>
        </w:tc>
        <w:tc>
          <w:tcPr>
            <w:tcW w:type="dxa" w:w="3888"/>
            <w:tcMar>
              <w:top w:w="70" w:type="dxa"/>
              <w:bottom w:w="70" w:type="dxa"/>
              <w:left w:w="90" w:type="dxa"/>
              <w:right w:w="90" w:type="dxa"/>
            </w:tcMar>
            <w:shd w:fill="064E3B"/>
          </w:tcPr>
          <w:p>
            <w:pPr>
              <w:spacing w:line="264" w:lineRule="auto" w:after="40"/>
            </w:pPr>
            <w:r>
              <w:rPr>
                <w:b/>
                <w:color w:val="FFFFFF"/>
                <w:sz w:val="17"/>
              </w:rPr>
              <w:t>Core Focus &amp; Speaking Points</w:t>
            </w:r>
          </w:p>
        </w:tc>
      </w:tr>
      <w:tr>
        <w:tc>
          <w:tcPr>
            <w:tcW w:type="dxa" w:w="1584"/>
            <w:tcMar>
              <w:top w:w="70" w:type="dxa"/>
              <w:bottom w:w="70" w:type="dxa"/>
              <w:left w:w="90" w:type="dxa"/>
              <w:right w:w="90" w:type="dxa"/>
            </w:tcMar>
            <w:shd w:fill="F8FAFC"/>
          </w:tcPr>
          <w:p>
            <w:pPr>
              <w:spacing w:line="264" w:lineRule="auto" w:after="40"/>
            </w:pPr>
            <w:r>
              <w:rPr>
                <w:sz w:val="16"/>
              </w:rPr>
              <w:t>0:00 – 1:30</w:t>
            </w:r>
          </w:p>
        </w:tc>
        <w:tc>
          <w:tcPr>
            <w:tcW w:type="dxa" w:w="1152"/>
            <w:tcMar>
              <w:top w:w="70" w:type="dxa"/>
              <w:bottom w:w="70" w:type="dxa"/>
              <w:left w:w="90" w:type="dxa"/>
              <w:right w:w="90" w:type="dxa"/>
            </w:tcMar>
            <w:shd w:fill="F8FAFC"/>
          </w:tcPr>
          <w:p>
            <w:pPr>
              <w:spacing w:line="264" w:lineRule="auto" w:after="40"/>
            </w:pPr>
            <w:r>
              <w:rPr>
                <w:sz w:val="16"/>
              </w:rPr>
              <w:t>B.Com</w:t>
            </w:r>
          </w:p>
        </w:tc>
        <w:tc>
          <w:tcPr>
            <w:tcW w:type="dxa" w:w="3168"/>
            <w:tcMar>
              <w:top w:w="70" w:type="dxa"/>
              <w:bottom w:w="70" w:type="dxa"/>
              <w:left w:w="90" w:type="dxa"/>
              <w:right w:w="90" w:type="dxa"/>
            </w:tcMar>
            <w:shd w:fill="F8FAFC"/>
          </w:tcPr>
          <w:p>
            <w:pPr>
              <w:spacing w:line="264" w:lineRule="auto" w:after="40"/>
            </w:pPr>
            <w:r>
              <w:rPr>
                <w:sz w:val="16"/>
              </w:rPr>
              <w:t>Landing Page &amp; Overview (index.html)</w:t>
            </w:r>
          </w:p>
        </w:tc>
        <w:tc>
          <w:tcPr>
            <w:tcW w:type="dxa" w:w="3888"/>
            <w:tcMar>
              <w:top w:w="70" w:type="dxa"/>
              <w:bottom w:w="70" w:type="dxa"/>
              <w:left w:w="90" w:type="dxa"/>
              <w:right w:w="90" w:type="dxa"/>
            </w:tcMar>
            <w:shd w:fill="F8FAFC"/>
          </w:tcPr>
          <w:p>
            <w:pPr>
              <w:spacing w:line="264" w:lineRule="auto" w:after="40"/>
            </w:pPr>
            <w:r>
              <w:rPr>
                <w:sz w:val="16"/>
              </w:rPr>
              <w:t>Introduce project title, business motivation, mid-market risk failures, and overview of the 6 ISO 31000 risk domains.</w:t>
            </w:r>
          </w:p>
        </w:tc>
      </w:tr>
      <w:tr>
        <w:tc>
          <w:tcPr>
            <w:tcW w:type="dxa" w:w="1584"/>
            <w:tcMar>
              <w:top w:w="70" w:type="dxa"/>
              <w:bottom w:w="70" w:type="dxa"/>
              <w:left w:w="90" w:type="dxa"/>
              <w:right w:w="90" w:type="dxa"/>
            </w:tcMar>
            <w:shd w:fill="FFFFFF"/>
          </w:tcPr>
          <w:p>
            <w:pPr>
              <w:spacing w:line="264" w:lineRule="auto" w:after="40"/>
            </w:pPr>
            <w:r>
              <w:rPr>
                <w:sz w:val="16"/>
              </w:rPr>
              <w:t>1:30 – 3:30</w:t>
            </w:r>
          </w:p>
        </w:tc>
        <w:tc>
          <w:tcPr>
            <w:tcW w:type="dxa" w:w="1152"/>
            <w:tcMar>
              <w:top w:w="70" w:type="dxa"/>
              <w:bottom w:w="70" w:type="dxa"/>
              <w:left w:w="90" w:type="dxa"/>
              <w:right w:w="90" w:type="dxa"/>
            </w:tcMar>
            <w:shd w:fill="FFFFFF"/>
          </w:tcPr>
          <w:p>
            <w:pPr>
              <w:spacing w:line="264" w:lineRule="auto" w:after="40"/>
            </w:pPr>
            <w:r>
              <w:rPr>
                <w:sz w:val="16"/>
              </w:rPr>
              <w:t>B.Tech</w:t>
            </w:r>
          </w:p>
        </w:tc>
        <w:tc>
          <w:tcPr>
            <w:tcW w:type="dxa" w:w="3168"/>
            <w:tcMar>
              <w:top w:w="70" w:type="dxa"/>
              <w:bottom w:w="70" w:type="dxa"/>
              <w:left w:w="90" w:type="dxa"/>
              <w:right w:w="90" w:type="dxa"/>
            </w:tcMar>
            <w:shd w:fill="FFFFFF"/>
          </w:tcPr>
          <w:p>
            <w:pPr>
              <w:spacing w:line="264" w:lineRule="auto" w:after="40"/>
            </w:pPr>
            <w:r>
              <w:rPr>
                <w:sz w:val="16"/>
              </w:rPr>
              <w:t>3D Threat Topology &amp; Admin Console</w:t>
            </w:r>
          </w:p>
        </w:tc>
        <w:tc>
          <w:tcPr>
            <w:tcW w:type="dxa" w:w="3888"/>
            <w:tcMar>
              <w:top w:w="70" w:type="dxa"/>
              <w:bottom w:w="70" w:type="dxa"/>
              <w:left w:w="90" w:type="dxa"/>
              <w:right w:w="90" w:type="dxa"/>
            </w:tcMar>
            <w:shd w:fill="FFFFFF"/>
          </w:tcPr>
          <w:p>
            <w:pPr>
              <w:spacing w:line="264" w:lineRule="auto" w:after="40"/>
            </w:pPr>
            <w:r>
              <w:rPr>
                <w:sz w:val="16"/>
              </w:rPr>
              <w:t>Explain client-server decoupling, Three.js 3D WebGL spatial matrix, dual-persistence (Supabase Cloud + SQLite), and admin user management.</w:t>
            </w:r>
          </w:p>
        </w:tc>
      </w:tr>
      <w:tr>
        <w:tc>
          <w:tcPr>
            <w:tcW w:type="dxa" w:w="1584"/>
            <w:tcMar>
              <w:top w:w="70" w:type="dxa"/>
              <w:bottom w:w="70" w:type="dxa"/>
              <w:left w:w="90" w:type="dxa"/>
              <w:right w:w="90" w:type="dxa"/>
            </w:tcMar>
            <w:shd w:fill="F8FAFC"/>
          </w:tcPr>
          <w:p>
            <w:pPr>
              <w:spacing w:line="264" w:lineRule="auto" w:after="40"/>
            </w:pPr>
            <w:r>
              <w:rPr>
                <w:sz w:val="16"/>
              </w:rPr>
              <w:t>3:30 – 5:30</w:t>
            </w:r>
          </w:p>
        </w:tc>
        <w:tc>
          <w:tcPr>
            <w:tcW w:type="dxa" w:w="1152"/>
            <w:tcMar>
              <w:top w:w="70" w:type="dxa"/>
              <w:bottom w:w="70" w:type="dxa"/>
              <w:left w:w="90" w:type="dxa"/>
              <w:right w:w="90" w:type="dxa"/>
            </w:tcMar>
            <w:shd w:fill="F8FAFC"/>
          </w:tcPr>
          <w:p>
            <w:pPr>
              <w:spacing w:line="264" w:lineRule="auto" w:after="40"/>
            </w:pPr>
            <w:r>
              <w:rPr>
                <w:sz w:val="16"/>
              </w:rPr>
              <w:t>B.Com</w:t>
            </w:r>
          </w:p>
        </w:tc>
        <w:tc>
          <w:tcPr>
            <w:tcW w:type="dxa" w:w="3168"/>
            <w:tcMar>
              <w:top w:w="70" w:type="dxa"/>
              <w:bottom w:w="70" w:type="dxa"/>
              <w:left w:w="90" w:type="dxa"/>
              <w:right w:w="90" w:type="dxa"/>
            </w:tcMar>
            <w:shd w:fill="F8FAFC"/>
          </w:tcPr>
          <w:p>
            <w:pPr>
              <w:spacing w:line="264" w:lineRule="auto" w:after="40"/>
            </w:pPr>
            <w:r>
              <w:rPr>
                <w:sz w:val="16"/>
              </w:rPr>
              <w:t>Step 3: Statement Telemetry (Book1.xlsx)</w:t>
            </w:r>
          </w:p>
        </w:tc>
        <w:tc>
          <w:tcPr>
            <w:tcW w:type="dxa" w:w="3888"/>
            <w:tcMar>
              <w:top w:w="70" w:type="dxa"/>
              <w:bottom w:w="70" w:type="dxa"/>
              <w:left w:w="90" w:type="dxa"/>
              <w:right w:w="90" w:type="dxa"/>
            </w:tcMar>
            <w:shd w:fill="F8FAFC"/>
          </w:tcPr>
          <w:p>
            <w:pPr>
              <w:spacing w:line="264" w:lineRule="auto" w:after="40"/>
            </w:pPr>
            <w:r>
              <w:rPr>
                <w:sz w:val="16"/>
              </w:rPr>
              <w:t>Upload statement or select preset. Showcase 8 core ratios and the 5-Pillar Financial Diagnostic &amp; Advisory Matrix. Explain interpretation, impacts, and actions.</w:t>
            </w:r>
          </w:p>
        </w:tc>
      </w:tr>
      <w:tr>
        <w:tc>
          <w:tcPr>
            <w:tcW w:type="dxa" w:w="1584"/>
            <w:tcMar>
              <w:top w:w="70" w:type="dxa"/>
              <w:bottom w:w="70" w:type="dxa"/>
              <w:left w:w="90" w:type="dxa"/>
              <w:right w:w="90" w:type="dxa"/>
            </w:tcMar>
            <w:shd w:fill="FFFFFF"/>
          </w:tcPr>
          <w:p>
            <w:pPr>
              <w:spacing w:line="264" w:lineRule="auto" w:after="40"/>
            </w:pPr>
            <w:r>
              <w:rPr>
                <w:sz w:val="16"/>
              </w:rPr>
              <w:t>5:30 – 7:00</w:t>
            </w:r>
          </w:p>
        </w:tc>
        <w:tc>
          <w:tcPr>
            <w:tcW w:type="dxa" w:w="1152"/>
            <w:tcMar>
              <w:top w:w="70" w:type="dxa"/>
              <w:bottom w:w="70" w:type="dxa"/>
              <w:left w:w="90" w:type="dxa"/>
              <w:right w:w="90" w:type="dxa"/>
            </w:tcMar>
            <w:shd w:fill="FFFFFF"/>
          </w:tcPr>
          <w:p>
            <w:pPr>
              <w:spacing w:line="264" w:lineRule="auto" w:after="40"/>
            </w:pPr>
            <w:r>
              <w:rPr>
                <w:sz w:val="16"/>
              </w:rPr>
              <w:t>B.Tech</w:t>
            </w:r>
          </w:p>
        </w:tc>
        <w:tc>
          <w:tcPr>
            <w:tcW w:type="dxa" w:w="3168"/>
            <w:tcMar>
              <w:top w:w="70" w:type="dxa"/>
              <w:bottom w:w="70" w:type="dxa"/>
              <w:left w:w="90" w:type="dxa"/>
              <w:right w:w="90" w:type="dxa"/>
            </w:tcMar>
            <w:shd w:fill="FFFFFF"/>
          </w:tcPr>
          <w:p>
            <w:pPr>
              <w:spacing w:line="264" w:lineRule="auto" w:after="40"/>
            </w:pPr>
            <w:r>
              <w:rPr>
                <w:sz w:val="16"/>
              </w:rPr>
              <w:t>Monte Carlo &amp; Quantitative Tab</w:t>
            </w:r>
          </w:p>
        </w:tc>
        <w:tc>
          <w:tcPr>
            <w:tcW w:type="dxa" w:w="3888"/>
            <w:tcMar>
              <w:top w:w="70" w:type="dxa"/>
              <w:bottom w:w="70" w:type="dxa"/>
              <w:left w:w="90" w:type="dxa"/>
              <w:right w:w="90" w:type="dxa"/>
            </w:tcMar>
            <w:shd w:fill="FFFFFF"/>
          </w:tcPr>
          <w:p>
            <w:pPr>
              <w:spacing w:line="264" w:lineRule="auto" w:after="40"/>
            </w:pPr>
            <w:r>
              <w:rPr>
                <w:sz w:val="16"/>
              </w:rPr>
              <w:t>Run 5,000-trial quantitative simulation. Explain NumPy normal distribution sampling, Value-at-Risk (VaR at 95th percentile), and dual currency display (₹ Cr / $ M).</w:t>
            </w:r>
          </w:p>
        </w:tc>
      </w:tr>
      <w:tr>
        <w:tc>
          <w:tcPr>
            <w:tcW w:type="dxa" w:w="1584"/>
            <w:tcMar>
              <w:top w:w="70" w:type="dxa"/>
              <w:bottom w:w="70" w:type="dxa"/>
              <w:left w:w="90" w:type="dxa"/>
              <w:right w:w="90" w:type="dxa"/>
            </w:tcMar>
            <w:shd w:fill="F8FAFC"/>
          </w:tcPr>
          <w:p>
            <w:pPr>
              <w:spacing w:line="264" w:lineRule="auto" w:after="40"/>
            </w:pPr>
            <w:r>
              <w:rPr>
                <w:sz w:val="16"/>
              </w:rPr>
              <w:t>7:00 – 8:15</w:t>
            </w:r>
          </w:p>
        </w:tc>
        <w:tc>
          <w:tcPr>
            <w:tcW w:type="dxa" w:w="1152"/>
            <w:tcMar>
              <w:top w:w="70" w:type="dxa"/>
              <w:bottom w:w="70" w:type="dxa"/>
              <w:left w:w="90" w:type="dxa"/>
              <w:right w:w="90" w:type="dxa"/>
            </w:tcMar>
            <w:shd w:fill="F8FAFC"/>
          </w:tcPr>
          <w:p>
            <w:pPr>
              <w:spacing w:line="264" w:lineRule="auto" w:after="40"/>
            </w:pPr>
            <w:r>
              <w:rPr>
                <w:sz w:val="16"/>
              </w:rPr>
              <w:t>B.Com</w:t>
            </w:r>
          </w:p>
        </w:tc>
        <w:tc>
          <w:tcPr>
            <w:tcW w:type="dxa" w:w="3168"/>
            <w:tcMar>
              <w:top w:w="70" w:type="dxa"/>
              <w:bottom w:w="70" w:type="dxa"/>
              <w:left w:w="90" w:type="dxa"/>
              <w:right w:w="90" w:type="dxa"/>
            </w:tcMar>
            <w:shd w:fill="F8FAFC"/>
          </w:tcPr>
          <w:p>
            <w:pPr>
              <w:spacing w:line="264" w:lineRule="auto" w:after="40"/>
            </w:pPr>
            <w:r>
              <w:rPr>
                <w:sz w:val="16"/>
              </w:rPr>
              <w:t>Macro Stress Engine &amp; Action Tracker</w:t>
            </w:r>
          </w:p>
        </w:tc>
        <w:tc>
          <w:tcPr>
            <w:tcW w:type="dxa" w:w="3888"/>
            <w:tcMar>
              <w:top w:w="70" w:type="dxa"/>
              <w:bottom w:w="70" w:type="dxa"/>
              <w:left w:w="90" w:type="dxa"/>
              <w:right w:w="90" w:type="dxa"/>
            </w:tcMar>
            <w:shd w:fill="F8FAFC"/>
          </w:tcPr>
          <w:p>
            <w:pPr>
              <w:spacing w:line="264" w:lineRule="auto" w:after="40"/>
            </w:pPr>
            <w:r>
              <w:rPr>
                <w:sz w:val="16"/>
              </w:rPr>
              <w:t>Apply 'Supply Chain Shock (+25% COGS)'. Show Altman Z-Score shift. Click '+ Convert to Action Task' and demonstrate the ISO 31000 mitigation modal.</w:t>
            </w:r>
          </w:p>
        </w:tc>
      </w:tr>
      <w:tr>
        <w:tc>
          <w:tcPr>
            <w:tcW w:type="dxa" w:w="1584"/>
            <w:tcMar>
              <w:top w:w="70" w:type="dxa"/>
              <w:bottom w:w="70" w:type="dxa"/>
              <w:left w:w="90" w:type="dxa"/>
              <w:right w:w="90" w:type="dxa"/>
            </w:tcMar>
            <w:shd w:fill="FFFFFF"/>
          </w:tcPr>
          <w:p>
            <w:pPr>
              <w:spacing w:line="264" w:lineRule="auto" w:after="40"/>
            </w:pPr>
            <w:r>
              <w:rPr>
                <w:sz w:val="16"/>
              </w:rPr>
              <w:t>8:15 – 9:15</w:t>
            </w:r>
          </w:p>
        </w:tc>
        <w:tc>
          <w:tcPr>
            <w:tcW w:type="dxa" w:w="1152"/>
            <w:tcMar>
              <w:top w:w="70" w:type="dxa"/>
              <w:bottom w:w="70" w:type="dxa"/>
              <w:left w:w="90" w:type="dxa"/>
              <w:right w:w="90" w:type="dxa"/>
            </w:tcMar>
            <w:shd w:fill="FFFFFF"/>
          </w:tcPr>
          <w:p>
            <w:pPr>
              <w:spacing w:line="264" w:lineRule="auto" w:after="40"/>
            </w:pPr>
            <w:r>
              <w:rPr>
                <w:sz w:val="16"/>
              </w:rPr>
              <w:t>B.Tech</w:t>
            </w:r>
          </w:p>
        </w:tc>
        <w:tc>
          <w:tcPr>
            <w:tcW w:type="dxa" w:w="3168"/>
            <w:tcMar>
              <w:top w:w="70" w:type="dxa"/>
              <w:bottom w:w="70" w:type="dxa"/>
              <w:left w:w="90" w:type="dxa"/>
              <w:right w:w="90" w:type="dxa"/>
            </w:tcMar>
            <w:shd w:fill="FFFFFF"/>
          </w:tcPr>
          <w:p>
            <w:pPr>
              <w:spacing w:line="264" w:lineRule="auto" w:after="40"/>
            </w:pPr>
            <w:r>
              <w:rPr>
                <w:sz w:val="16"/>
              </w:rPr>
              <w:t>Pytest Terminal &amp; SHA-256 Ledger</w:t>
            </w:r>
          </w:p>
        </w:tc>
        <w:tc>
          <w:tcPr>
            <w:tcW w:type="dxa" w:w="3888"/>
            <w:tcMar>
              <w:top w:w="70" w:type="dxa"/>
              <w:bottom w:w="70" w:type="dxa"/>
              <w:left w:w="90" w:type="dxa"/>
              <w:right w:w="90" w:type="dxa"/>
            </w:tcMar>
            <w:shd w:fill="FFFFFF"/>
          </w:tcPr>
          <w:p>
            <w:pPr>
              <w:spacing w:line="264" w:lineRule="auto" w:after="40"/>
            </w:pPr>
            <w:r>
              <w:rPr>
                <w:sz w:val="16"/>
              </w:rPr>
              <w:t>Show VS Code terminal running 'python -m pytest' (66/66 passing). Show the cryptographic audit ledger verifying unbroken hash integrity.</w:t>
            </w:r>
          </w:p>
        </w:tc>
      </w:tr>
      <w:tr>
        <w:tc>
          <w:tcPr>
            <w:tcW w:type="dxa" w:w="1584"/>
            <w:tcMar>
              <w:top w:w="70" w:type="dxa"/>
              <w:bottom w:w="70" w:type="dxa"/>
              <w:left w:w="90" w:type="dxa"/>
              <w:right w:w="90" w:type="dxa"/>
            </w:tcMar>
            <w:shd w:fill="F8FAFC"/>
          </w:tcPr>
          <w:p>
            <w:pPr>
              <w:spacing w:line="264" w:lineRule="auto" w:after="40"/>
            </w:pPr>
            <w:r>
              <w:rPr>
                <w:sz w:val="16"/>
              </w:rPr>
              <w:t>9:15 – 10:00</w:t>
            </w:r>
          </w:p>
        </w:tc>
        <w:tc>
          <w:tcPr>
            <w:tcW w:type="dxa" w:w="1152"/>
            <w:tcMar>
              <w:top w:w="70" w:type="dxa"/>
              <w:bottom w:w="70" w:type="dxa"/>
              <w:left w:w="90" w:type="dxa"/>
              <w:right w:w="90" w:type="dxa"/>
            </w:tcMar>
            <w:shd w:fill="F8FAFC"/>
          </w:tcPr>
          <w:p>
            <w:pPr>
              <w:spacing w:line="264" w:lineRule="auto" w:after="40"/>
            </w:pPr>
            <w:r>
              <w:rPr>
                <w:sz w:val="16"/>
              </w:rPr>
              <w:t>Both</w:t>
            </w:r>
          </w:p>
        </w:tc>
        <w:tc>
          <w:tcPr>
            <w:tcW w:type="dxa" w:w="3168"/>
            <w:tcMar>
              <w:top w:w="70" w:type="dxa"/>
              <w:bottom w:w="70" w:type="dxa"/>
              <w:left w:w="90" w:type="dxa"/>
              <w:right w:w="90" w:type="dxa"/>
            </w:tcMar>
            <w:shd w:fill="F8FAFC"/>
          </w:tcPr>
          <w:p>
            <w:pPr>
              <w:spacing w:line="264" w:lineRule="auto" w:after="40"/>
            </w:pPr>
            <w:r>
              <w:rPr>
                <w:sz w:val="16"/>
              </w:rPr>
              <w:t>Project Summary &amp; Limitations</w:t>
            </w:r>
          </w:p>
        </w:tc>
        <w:tc>
          <w:tcPr>
            <w:tcW w:type="dxa" w:w="3888"/>
            <w:tcMar>
              <w:top w:w="70" w:type="dxa"/>
              <w:bottom w:w="70" w:type="dxa"/>
              <w:left w:w="90" w:type="dxa"/>
              <w:right w:w="90" w:type="dxa"/>
            </w:tcMar>
            <w:shd w:fill="F8FAFC"/>
          </w:tcPr>
          <w:p>
            <w:pPr>
              <w:spacing w:line="264" w:lineRule="auto" w:after="40"/>
            </w:pPr>
            <w:r>
              <w:rPr>
                <w:sz w:val="16"/>
              </w:rPr>
              <w:t>State project limitations (reliance on input statement accuracy, industry benchmark variance). Open floor for examiner questions.</w:t>
            </w:r>
          </w:p>
        </w:tc>
      </w:tr>
    </w:tbl>
    <w:p>
      <w:pPr>
        <w:keepNext/>
        <w:spacing w:before="280" w:after="80"/>
        <w:pBdr>
          <w:bottom w:val="single" w:sz="12" w:space="4" w:color="059669"/>
        </w:pBdr>
      </w:pPr>
      <w:r>
        <w:rPr>
          <w:b/>
          <w:color w:val="064E3B"/>
          <w:sz w:val="30"/>
        </w:rPr>
        <w:t>5. Word-for-Word Presentation Speeches</w:t>
      </w:r>
    </w:p>
    <w:p>
      <w:pPr>
        <w:keepNext/>
        <w:spacing w:before="280" w:after="80"/>
      </w:pPr>
      <w:r>
        <w:rPr>
          <w:b/>
          <w:color w:val="047857"/>
          <w:sz w:val="24"/>
        </w:rPr>
        <w:t>A. B.Com Student's Opening Speech (0:00 – 1:30)</w:t>
      </w:r>
    </w:p>
    <w:p>
      <w:pPr>
        <w:ind w:left="288"/>
      </w:pPr>
      <w:r>
        <w:rPr>
          <w:i/>
          <w:sz w:val="19"/>
        </w:rPr>
        <w:t>"Good morning, respected examiners. Today, my engineering partner and I present RiskGuard Pro, an enterprise business risk assessment and quantitative analytics dashboard designed in reference to the ISO 31000:2018 framework.</w:t>
        <w:br/>
        <w:br/>
        <w:t>In today's volatile corporate environment, mid-market enterprises frequently face liquidity crises, unexpected supply chain disruptions, and cyber threats. Traditional accounting tools simply compute historical ratios, leaving managers to guess what those numbers mean for company survival. Our project solves this by transforming static balance sheets and income statements into dynamic, forward-looking strategic intelligence.</w:t>
        <w:br/>
        <w:br/>
        <w:t>Our platform continuously monitors risk across 6 critical corporate domains: Financial Solvency, Cybersecurity &amp; Cloud, Operational Continuity, Regulatory Compliance, Market &amp; Strategy, and Human Capital. To explain how this is engineered from a technical and mathematical perspective, I now hand over to my technical partner."</w:t>
      </w:r>
    </w:p>
    <w:p>
      <w:pPr>
        <w:keepNext/>
        <w:spacing w:before="280" w:after="80"/>
      </w:pPr>
      <w:r>
        <w:rPr>
          <w:b/>
          <w:color w:val="047857"/>
          <w:sz w:val="24"/>
        </w:rPr>
        <w:t>B. B.Tech Student's Architecture Speech (1:30 – 3:30)</w:t>
      </w:r>
    </w:p>
    <w:p>
      <w:pPr>
        <w:ind w:left="288"/>
      </w:pPr>
      <w:r>
        <w:rPr>
          <w:i/>
          <w:sz w:val="19"/>
        </w:rPr>
        <w:t>"Thank you. Respected examiners, to build a platform capable of handling real-time risk intelligence, I developed a decoupled full-stack architecture. The front end is engineered using vanilla JavaScript with modern HTML5 glassmorphism, coupled with Three.js to provide hardware-accelerated 3D WebGL visualizations.</w:t>
        <w:br/>
        <w:br/>
        <w:t>As you can see on the screen, our 3D Spatial Threat Matrix renders a 5×5 topological terrain grid of Likelihood versus Severity. Pillar heights dynamically reflect aggregate financial exposure, with color coding indicating severity tiers. Users can toggle camera perspectives between 3D Isometric, Overhead 2D Plan View, and Horizon Profile with full raycast mouse interactivity.</w:t>
        <w:br/>
        <w:br/>
        <w:t>On the backend, I built a modular Python Flask application. To guarantee enterprise reliability, I implemented a dual-engine persistence model: our primary cloud database runs on Supabase PostgreSQL, while a local SQLite engine acts as an automatic fallback sentinel during network drops. Now, my partner will demonstrate our automated statement parsing pipeline and financial diagnostics."</w:t>
      </w:r>
    </w:p>
    <w:p>
      <w:pPr>
        <w:keepNext/>
        <w:spacing w:before="280" w:after="80"/>
      </w:pPr>
      <w:r>
        <w:rPr>
          <w:b/>
          <w:color w:val="047857"/>
          <w:sz w:val="24"/>
        </w:rPr>
        <w:t>C. B.Com Student's Financial Diagnostic Speech (3:30 – 5:30)</w:t>
      </w:r>
    </w:p>
    <w:p>
      <w:pPr>
        <w:ind w:left="288"/>
      </w:pPr>
      <w:r>
        <w:rPr>
          <w:i/>
          <w:sz w:val="19"/>
        </w:rPr>
        <w:t>"Now demonstrating Step 3 of our workflow: Direct Financial Statement Ingestion. I will upload an audited statement file, Book1.xlsx, representing a mid-sized Indian manufacturing firm. As you observe, the system instantly parses the balance sheet and profit &amp; loss statements, extracting Net Sales of ₹78 Lakhs, COGS of ₹49 Lakhs, Gross Profit of ₹29 Lakhs (37.2%), EBIT of ₹11 Lakhs, and Net Profit of ₹7.5 Lakhs (9.6%).</w:t>
        <w:br/>
        <w:br/>
        <w:t>Here lies our core contribution: The 5-Pillar Financial Diagnostic &amp; Advisory Matrix. Instead of merely reporting that the Current Ratio is 1.50x, our system delivers a 4-part diagnosis: First, it classifies it as Moderate Risk. Second, it interprets that while current assets cover liabilities, the safety buffer is tight. Third, it identifies the business impact: vulnerability to cash flow bottlenecks if trade debtors delay payment. Fourth, it provides a practical action plan: accelerate collections from debtors and streamline slow-moving inventory.</w:t>
        <w:br/>
        <w:br/>
        <w:t>Furthermore, Debt-to-Equity is 0.75x (Low Risk), proving conservative borrowing, while Interest Coverage is 11.0x, confirming robust interest servicing capacity. Next, my partner will explain how these financial parameters feed directly into our stochastic Monte Carlo engine."</w:t>
      </w:r>
    </w:p>
    <w:p>
      <w:pPr>
        <w:keepNext/>
        <w:spacing w:before="280" w:after="80"/>
      </w:pPr>
      <w:r>
        <w:rPr>
          <w:b/>
          <w:color w:val="047857"/>
          <w:sz w:val="24"/>
        </w:rPr>
        <w:t>D. B.Tech Student's Monte Carlo &amp; Testing Speech (5:30 – 7:00 &amp; 8:15 – 9:15)</w:t>
      </w:r>
    </w:p>
    <w:p>
      <w:pPr>
        <w:ind w:left="288"/>
      </w:pPr>
      <w:r>
        <w:rPr>
          <w:i/>
          <w:sz w:val="19"/>
        </w:rPr>
        <w:t>"To model real-world uncertainty, I built the quantitative Monte Carlo engine using NumPy. When I execute 5,000 iterations, the engine samples stochastic revenue shocks, cost inflation, and cyber loss variance across normal probability distributions. The loss outcomes are sorted into an empirical loss distribution curve. The 95th percentile outcome represents our Value-at-Risk (VaR)—the loss threshold that the business is not expected to exceed 95% of the time. We display this in dual currency format: in Indian Crores primary with USD secondary.</w:t>
        <w:br/>
        <w:br/>
        <w:t>For compliance and data integrity, I engineered a cryptographic SHA-256 audit ledger. Each database mutation produces an unbroken hash chain. If any row in the raw database is modified externally, the audit trail flags immediate tampering.</w:t>
        <w:br/>
        <w:br/>
        <w:t>Finally, to ensure rigorous software quality, our codebase includes 66 automated unit and security integration tests in pytest. Running pytest in our terminal confirms all 66 tests pass in under 8 seconds."</w:t>
      </w:r>
    </w:p>
    <w:p>
      <w:pPr>
        <w:keepNext/>
        <w:spacing w:before="280" w:after="80"/>
      </w:pPr>
      <w:r>
        <w:rPr>
          <w:b/>
          <w:color w:val="047857"/>
          <w:sz w:val="24"/>
        </w:rPr>
        <w:t>E. B.Com Student's Stress Testing &amp; Action Tracker Speech (7:00 – 8:15)</w:t>
      </w:r>
    </w:p>
    <w:p>
      <w:pPr>
        <w:ind w:left="288"/>
      </w:pPr>
      <w:r>
        <w:rPr>
          <w:i/>
          <w:sz w:val="19"/>
        </w:rPr>
        <w:t>"Returning to strategy: our Macroeconomic Stress Testing engine allows executives to simulate acute external shocks. Selecting the 'Supply Chain Shock' preset injects +25% COGS inflation. Notice how our Altman Z-Score recalculates live—shifting from the Safe Zone towards the Grey Zone (2.10), signaling heightened vulnerability.</w:t>
        <w:br/>
        <w:br/>
        <w:t>To close the loop, our dashboard connects diagnostics directly to execution. On any ratio card, clicking '+ Convert to Action Task' pre-fills our ISO 31000 Action Tracker with a targeted treatment plan (such as Deploy Automated Invoice Factoring), assigning it to a risk owner with a target due date. This transforms retrospective accounting into proactive corporate governance."</w:t>
      </w:r>
    </w:p>
    <w:p>
      <w:pPr>
        <w:keepNext/>
        <w:spacing w:before="280" w:after="80"/>
        <w:pBdr>
          <w:bottom w:val="single" w:sz="12" w:space="4" w:color="059669"/>
        </w:pBdr>
      </w:pPr>
      <w:r>
        <w:rPr>
          <w:b/>
          <w:color w:val="064E3B"/>
          <w:sz w:val="30"/>
        </w:rPr>
        <w:t>6. Top 20 Viva Voce Questions &amp; High-Scoring Answers</w:t>
      </w:r>
    </w:p>
    <w:p>
      <w:pPr>
        <w:keepNext/>
        <w:spacing w:before="280" w:after="80"/>
      </w:pPr>
      <w:r>
        <w:rPr>
          <w:b/>
          <w:color w:val="047857"/>
          <w:sz w:val="24"/>
        </w:rPr>
        <w:t>A. Technical Questions for B.Tech Student (10 Questions)</w:t>
      </w:r>
    </w:p>
    <w:p>
      <w:pPr>
        <w:spacing w:before="120" w:after="20"/>
      </w:pPr>
      <w:r>
        <w:rPr>
          <w:b/>
          <w:color w:val="064E3B"/>
          <w:sz w:val="19"/>
        </w:rPr>
        <w:t>Q1: What is Value-at-Risk (VaR), and how does your Monte Carlo algorithm calculate it?</w:t>
      </w:r>
    </w:p>
    <w:p>
      <w:pPr>
        <w:spacing w:after="80"/>
        <w:ind w:left="288"/>
      </w:pPr>
      <w:r>
        <w:rPr>
          <w:color w:val="334155"/>
          <w:sz w:val="18"/>
        </w:rPr>
        <w:t>Answer: VaR estimates the maximum expected loss threshold over a specific time horizon at a given confidence level (e.g. 95%), under normal market assumptions. In our NumPy engine, we generate 5,000 stochastic loss trials based on historical variance parameters. We sort the simulated loss array from lowest to highest. The 95th percentile index represents the 95% VaR. Expected Shortfall (CVaR) is calculated as the mathematical average of the worst 5% of tail outcomes.</w:t>
      </w:r>
    </w:p>
    <w:p>
      <w:pPr>
        <w:spacing w:before="120" w:after="20"/>
      </w:pPr>
      <w:r>
        <w:rPr>
          <w:b/>
          <w:color w:val="064E3B"/>
          <w:sz w:val="19"/>
        </w:rPr>
        <w:t>Q2: Why did you use Three.js instead of a 2D charting library for risk topology?</w:t>
      </w:r>
    </w:p>
    <w:p>
      <w:pPr>
        <w:spacing w:after="80"/>
        <w:ind w:left="288"/>
      </w:pPr>
      <w:r>
        <w:rPr>
          <w:color w:val="334155"/>
          <w:sz w:val="18"/>
        </w:rPr>
        <w:t>Answer: Standard 2D heatmaps fail to display multiple correlated dimensions simultaneously. In Three.js, the X and Z axes map Likelihood (1–5) and Severity (1–5), while the Y-axis (pillar elevation) maps aggregated financial VaR exposure. This allows executives to instantly spot high-frequency, high-capital-impact clusters in a single spatial view.</w:t>
      </w:r>
    </w:p>
    <w:p>
      <w:pPr>
        <w:spacing w:before="120" w:after="20"/>
      </w:pPr>
      <w:r>
        <w:rPr>
          <w:b/>
          <w:color w:val="064E3B"/>
          <w:sz w:val="19"/>
        </w:rPr>
        <w:t>Q3: How does your database fallback mechanism prevent data loss?</w:t>
      </w:r>
    </w:p>
    <w:p>
      <w:pPr>
        <w:spacing w:after="80"/>
        <w:ind w:left="288"/>
      </w:pPr>
      <w:r>
        <w:rPr>
          <w:color w:val="334155"/>
          <w:sz w:val="18"/>
        </w:rPr>
        <w:t>Answer: We implement a dual-driver pattern. In server/database.py, connection attempts to Supabase PostgreSQL are wrapped in an exception-handled connection pool. If the cloud handshake fails or times out, the engine automatically routes queries to our local SQLite database (riskguard.db). Operations succeed locally without throwing 500 errors.</w:t>
      </w:r>
    </w:p>
    <w:p>
      <w:pPr>
        <w:spacing w:before="120" w:after="20"/>
      </w:pPr>
      <w:r>
        <w:rPr>
          <w:b/>
          <w:color w:val="064E3B"/>
          <w:sz w:val="19"/>
        </w:rPr>
        <w:t>Q4: How does the statement parser match arbitrary column headers to standard schema fields?</w:t>
      </w:r>
    </w:p>
    <w:p>
      <w:pPr>
        <w:spacing w:after="80"/>
        <w:ind w:left="288"/>
      </w:pPr>
      <w:r>
        <w:rPr>
          <w:color w:val="334155"/>
          <w:sz w:val="18"/>
        </w:rPr>
        <w:t>Answer: In server/services/statement_parser.py, we maintain an alias dictionary with over 150 standard synonyms across Indian and global reporting (e.g. 'Revenue from Operations', 'Gross Turnover', 'Net Sales'). We apply regex word-boundary matching after stripping currency symbols (₹, $, €), commas, and multipliers (Cr, Lakhs, Millions).</w:t>
      </w:r>
    </w:p>
    <w:p>
      <w:pPr>
        <w:spacing w:before="120" w:after="20"/>
      </w:pPr>
      <w:r>
        <w:rPr>
          <w:b/>
          <w:color w:val="064E3B"/>
          <w:sz w:val="19"/>
        </w:rPr>
        <w:t>Q5: How does your SHA-256 audit ledger detect tampering?</w:t>
      </w:r>
    </w:p>
    <w:p>
      <w:pPr>
        <w:spacing w:after="80"/>
        <w:ind w:left="288"/>
      </w:pPr>
      <w:r>
        <w:rPr>
          <w:color w:val="334155"/>
          <w:sz w:val="18"/>
        </w:rPr>
        <w:t>Answer: Each audit entry stores: Hash_n = SHA-256(Hash_{n-1} + Timestamp + Action + Details + UserID). The genesis block starts with a hardcoded seed hash. During verification, the backend iterates sequentially recalculating the expected hash from row 1 to N. If an attacker edits a record in SQLite or PostgreSQL, the calculated hash mismatches the stored hash, immediately flagging tampering.</w:t>
      </w:r>
    </w:p>
    <w:p>
      <w:pPr>
        <w:spacing w:before="120" w:after="20"/>
      </w:pPr>
      <w:r>
        <w:rPr>
          <w:b/>
          <w:color w:val="064E3B"/>
          <w:sz w:val="19"/>
        </w:rPr>
        <w:t>Q6: How do you protect your REST APIs against unauthorized access and injection?</w:t>
      </w:r>
    </w:p>
    <w:p>
      <w:pPr>
        <w:spacing w:after="80"/>
        <w:ind w:left="288"/>
      </w:pPr>
      <w:r>
        <w:rPr>
          <w:color w:val="334155"/>
          <w:sz w:val="18"/>
        </w:rPr>
        <w:t>Answer: We enforce JWT bearer authentication with secret key signing, bcrypt password hashing (12 salt rounds), strict role-based access control (Admin vs Analyst), parameterized SQL queries via ORM/prepared statements to prevent SQL injection, and OWASP security headers (CSP, X-Content-Type-Options, HSTS).</w:t>
      </w:r>
    </w:p>
    <w:p>
      <w:pPr>
        <w:spacing w:before="120" w:after="20"/>
      </w:pPr>
      <w:r>
        <w:rPr>
          <w:b/>
          <w:color w:val="064E3B"/>
          <w:sz w:val="19"/>
        </w:rPr>
        <w:t>Q7: Why did you write 66 automated tests, and what do they cover?</w:t>
      </w:r>
    </w:p>
    <w:p>
      <w:pPr>
        <w:spacing w:after="80"/>
        <w:ind w:left="288"/>
      </w:pPr>
      <w:r>
        <w:rPr>
          <w:color w:val="334155"/>
          <w:sz w:val="18"/>
        </w:rPr>
        <w:t>Answer: Automated pytest suites ensure mission-critical stability. Our 66 tests cover: API endpoint status codes, audit hash-chain integrity, JWT auth flows, ISO 31000 rule engine priorities, 14 financial ratio calculations with zero-division boundary guards, Monte Carlo monotonicity (Mean &lt;= VaR &lt;= Worst Case), and statement parser format compatibility.</w:t>
      </w:r>
    </w:p>
    <w:p>
      <w:pPr>
        <w:spacing w:before="120" w:after="20"/>
      </w:pPr>
      <w:r>
        <w:rPr>
          <w:b/>
          <w:color w:val="064E3B"/>
          <w:sz w:val="19"/>
        </w:rPr>
        <w:t>Q8: How does your system handle negative numbers or missing data during parsing?</w:t>
      </w:r>
    </w:p>
    <w:p>
      <w:pPr>
        <w:spacing w:after="80"/>
        <w:ind w:left="288"/>
      </w:pPr>
      <w:r>
        <w:rPr>
          <w:color w:val="334155"/>
          <w:sz w:val="18"/>
        </w:rPr>
        <w:t>Answer: The parser handles negative numbers in parentheses (e.g. '(100,000)') or leading minus signs. Expense rows (like interest or tax) are normalized using abs(). If a denominator like Current Liabilities is zero, the ratio engine assigns null and the UI displays 'N/A / Insufficient Data' rather than throwing a ZeroDivisionError.</w:t>
      </w:r>
    </w:p>
    <w:p>
      <w:pPr>
        <w:spacing w:before="120" w:after="20"/>
      </w:pPr>
      <w:r>
        <w:rPr>
          <w:b/>
          <w:color w:val="064E3B"/>
          <w:sz w:val="19"/>
        </w:rPr>
        <w:t>Q9: What is the computational complexity of your Monte Carlo simulation?</w:t>
      </w:r>
    </w:p>
    <w:p>
      <w:pPr>
        <w:spacing w:after="80"/>
        <w:ind w:left="288"/>
      </w:pPr>
      <w:r>
        <w:rPr>
          <w:color w:val="334155"/>
          <w:sz w:val="18"/>
        </w:rPr>
        <w:t>Answer: Because we use NumPy vectorized array operations, generating N trials is O(N) in memory and time. Sorting the N trials using NumPy's quicksort algorithm takes O(N log N). For N = 50,000, execution takes less than 120 milliseconds on standard CPU hardware.</w:t>
      </w:r>
    </w:p>
    <w:p>
      <w:pPr>
        <w:spacing w:before="120" w:after="20"/>
      </w:pPr>
      <w:r>
        <w:rPr>
          <w:b/>
          <w:color w:val="064E3B"/>
          <w:sz w:val="19"/>
        </w:rPr>
        <w:t>Q10: What are the primary technical limitations of the platform?</w:t>
      </w:r>
    </w:p>
    <w:p>
      <w:pPr>
        <w:spacing w:after="80"/>
        <w:ind w:left="288"/>
      </w:pPr>
      <w:r>
        <w:rPr>
          <w:color w:val="334155"/>
          <w:sz w:val="18"/>
        </w:rPr>
        <w:t>Answer: First, the Monte Carlo model assumes standard probability distributions (normal/log-normal), which can occasionally underestimate extreme 'Black Swan' fat-tail events. Second, statement parsing accuracy depends on readable OCR/text layers in uploaded PDFs; scanned image bitmaps require external OCR preprocessing.</w:t>
      </w:r>
    </w:p>
    <w:p>
      <w:pPr>
        <w:keepNext/>
        <w:spacing w:before="280" w:after="80"/>
      </w:pPr>
      <w:r>
        <w:rPr>
          <w:b/>
          <w:color w:val="047857"/>
          <w:sz w:val="24"/>
        </w:rPr>
        <w:t>B. Financial &amp; Governance Questions for B.Com Student (10 Questions)</w:t>
      </w:r>
    </w:p>
    <w:p>
      <w:pPr>
        <w:spacing w:before="120" w:after="20"/>
      </w:pPr>
      <w:r>
        <w:rPr>
          <w:b/>
          <w:color w:val="064E3B"/>
          <w:sz w:val="19"/>
        </w:rPr>
        <w:t>Q11: Why is Current Ratio alone insufficient to evaluate short-term liquidity?</w:t>
      </w:r>
    </w:p>
    <w:p>
      <w:pPr>
        <w:spacing w:after="80"/>
        <w:ind w:left="288"/>
      </w:pPr>
      <w:r>
        <w:rPr>
          <w:color w:val="334155"/>
          <w:sz w:val="18"/>
        </w:rPr>
        <w:t>Answer: Current Ratio includes inventory and prepaid expenses, which cannot be converted into cash immediately during an emergency. If inventory makes up 60% of current assets, a company with a 2.0x Current Ratio might still default on upcoming supplier payments. That is why our dashboard simultaneously evaluates Quick Ratio (Acid-Test) and Cash Ratio.</w:t>
      </w:r>
    </w:p>
    <w:p>
      <w:pPr>
        <w:spacing w:before="120" w:after="20"/>
      </w:pPr>
      <w:r>
        <w:rPr>
          <w:b/>
          <w:color w:val="064E3B"/>
          <w:sz w:val="19"/>
        </w:rPr>
        <w:t>Q12: In inventory turnover, is a higher ratio always better?</w:t>
      </w:r>
    </w:p>
    <w:p>
      <w:pPr>
        <w:spacing w:after="80"/>
        <w:ind w:left="288"/>
      </w:pPr>
      <w:r>
        <w:rPr>
          <w:color w:val="334155"/>
          <w:sz w:val="18"/>
        </w:rPr>
        <w:t>Answer: No. This is a common corporate misconception known as non-monotonicity. While an inventory turnover of 4x to 10x represents efficient stock rotation, an extremely high turnover (e.g. &gt;15x) indicates that the company holds virtually no safety stock, exposing it to severe stockouts, production stoppages, and lost sales.</w:t>
      </w:r>
    </w:p>
    <w:p>
      <w:pPr>
        <w:spacing w:before="120" w:after="20"/>
      </w:pPr>
      <w:r>
        <w:rPr>
          <w:b/>
          <w:color w:val="064E3B"/>
          <w:sz w:val="19"/>
        </w:rPr>
        <w:t>Q13: How does your system calculate the Altman Z-Score, and what do the zones signify?</w:t>
      </w:r>
    </w:p>
    <w:p>
      <w:pPr>
        <w:spacing w:after="80"/>
        <w:ind w:left="288"/>
      </w:pPr>
      <w:r>
        <w:rPr>
          <w:color w:val="334155"/>
          <w:sz w:val="18"/>
        </w:rPr>
        <w:t>Answer: We implement Edward Altman's formulation for private non-financial firms: Z = 1.2(Working Capital/Total Assets) + 1.4(Retained Earnings/Total Assets) + 3.3(EBIT/Total Assets) + 0.6(Book Value Equity/Total Liabilities) + 1.0(Sales/Total Assets). Scores above 2.99 indicate the Safe Zone; 1.81 to 2.99 indicate the Grey Zone (monitoring needed); below 1.81 indicates the Distress Zone with high 2-year insolvency risk.</w:t>
      </w:r>
    </w:p>
    <w:p>
      <w:pPr>
        <w:spacing w:before="120" w:after="20"/>
      </w:pPr>
      <w:r>
        <w:rPr>
          <w:b/>
          <w:color w:val="064E3B"/>
          <w:sz w:val="19"/>
        </w:rPr>
        <w:t>Q14: Explain your live test results from Book1.xlsx. Is this company healthy?</w:t>
      </w:r>
    </w:p>
    <w:p>
      <w:pPr>
        <w:spacing w:after="80"/>
        <w:ind w:left="288"/>
      </w:pPr>
      <w:r>
        <w:rPr>
          <w:color w:val="334155"/>
          <w:sz w:val="18"/>
        </w:rPr>
        <w:t>Answer: Yes, the enterprise is fundamentally solvent and profitable. It generates ₹78L Net Sales with a 37.2% Gross Margin and ₹7.5L Net Profit (9.6%). Its Debt-to-Equity is 0.75x (conservative debt), and Interest Coverage is 11.0x (EBIT covers interest 11 times). Its only moderate vulnerability is a 1.50x Current Ratio, which requires management to monitor debtor collection cycles.</w:t>
      </w:r>
    </w:p>
    <w:p>
      <w:pPr>
        <w:spacing w:before="120" w:after="20"/>
      </w:pPr>
      <w:r>
        <w:rPr>
          <w:b/>
          <w:color w:val="064E3B"/>
          <w:sz w:val="19"/>
        </w:rPr>
        <w:t>Q15: What is the Cash Conversion Cycle (CCC), and why does your dashboard track it?</w:t>
      </w:r>
    </w:p>
    <w:p>
      <w:pPr>
        <w:spacing w:after="80"/>
        <w:ind w:left="288"/>
      </w:pPr>
      <w:r>
        <w:rPr>
          <w:color w:val="334155"/>
          <w:sz w:val="18"/>
        </w:rPr>
        <w:t>Answer: CCC measures the time in days required for a company to convert its resource investments into cash inflows: CCC = Inventory Days + Receivable Days (DSO) - Payable Days. A shorter CCC means the company self-funds its operations without paying interest on short-term bank borrowings.</w:t>
      </w:r>
    </w:p>
    <w:p>
      <w:pPr>
        <w:spacing w:before="120" w:after="20"/>
      </w:pPr>
      <w:r>
        <w:rPr>
          <w:b/>
          <w:color w:val="064E3B"/>
          <w:sz w:val="19"/>
        </w:rPr>
        <w:t>Q16: How does the dashboard distinguish between Active Risks (13) and Priority Threats (8)?</w:t>
      </w:r>
    </w:p>
    <w:p>
      <w:pPr>
        <w:spacing w:after="80"/>
        <w:ind w:left="288"/>
      </w:pPr>
      <w:r>
        <w:rPr>
          <w:color w:val="334155"/>
          <w:sz w:val="18"/>
        </w:rPr>
        <w:t>Answer: The platform tracks 13 active registered risks across the enterprise. However, our triage engine filters these down to 8 Priority Threats—specifically the 3 Critical risks and 5 High-severity risks that exceed the board's ISO 31000 risk appetite and demand immediate CRO intervention.</w:t>
      </w:r>
    </w:p>
    <w:p>
      <w:pPr>
        <w:spacing w:before="120" w:after="20"/>
      </w:pPr>
      <w:r>
        <w:rPr>
          <w:b/>
          <w:color w:val="064E3B"/>
          <w:sz w:val="19"/>
        </w:rPr>
        <w:t>Q17: Why do you display monetary values in dual currency (₹ INR and $ USD)?</w:t>
      </w:r>
    </w:p>
    <w:p>
      <w:pPr>
        <w:spacing w:after="80"/>
        <w:ind w:left="288"/>
      </w:pPr>
      <w:r>
        <w:rPr>
          <w:color w:val="334155"/>
          <w:sz w:val="18"/>
        </w:rPr>
        <w:t>Answer: For an Indian corporate context, operating statements, statutory GST, and banking loans are denominated in Indian Rupees (₹ in Crores and Lakhs). However, for international benchmark comparability and executive presentation, we display the USD equivalent in parentheses at an exchange parity of ₹83/USD (e.g. ₹126.08 Cr [$15.19M]).</w:t>
      </w:r>
    </w:p>
    <w:p>
      <w:pPr>
        <w:spacing w:before="120" w:after="20"/>
      </w:pPr>
      <w:r>
        <w:rPr>
          <w:b/>
          <w:color w:val="064E3B"/>
          <w:sz w:val="19"/>
        </w:rPr>
        <w:t>Q18: What is the difference between Enterprise Health Score and Governance Subscore?</w:t>
      </w:r>
    </w:p>
    <w:p>
      <w:pPr>
        <w:spacing w:after="80"/>
        <w:ind w:left="288"/>
      </w:pPr>
      <w:r>
        <w:rPr>
          <w:color w:val="334155"/>
          <w:sz w:val="18"/>
        </w:rPr>
        <w:t>Answer: Enterprise Health Score is the comprehensive 100-point composite score weighted across all 6 business domains: Financial Solvency (25%), Cybersecurity (20%), Operations (18%), Compliance (15%), Market (12%), and Human Capital (10%). The Governance Subscore is strictly the standalone score for regulatory compliance.</w:t>
      </w:r>
    </w:p>
    <w:p>
      <w:pPr>
        <w:spacing w:before="120" w:after="20"/>
      </w:pPr>
      <w:r>
        <w:rPr>
          <w:b/>
          <w:color w:val="064E3B"/>
          <w:sz w:val="19"/>
        </w:rPr>
        <w:t>Q19: How does Macroeconomic Stress Testing differ from standard ratio analysis?</w:t>
      </w:r>
    </w:p>
    <w:p>
      <w:pPr>
        <w:spacing w:after="80"/>
        <w:ind w:left="288"/>
      </w:pPr>
      <w:r>
        <w:rPr>
          <w:color w:val="334155"/>
          <w:sz w:val="18"/>
        </w:rPr>
        <w:t>Answer: Standard ratio analysis is retrospective—it evaluates historical figures. Stress testing is forward-looking: it applies dynamic shock factors (such as a 25% drop in consumer demand or a 25% inflation in raw material COGS) and recalculates ratios and Altman Z-score in real time to test resilience.</w:t>
      </w:r>
    </w:p>
    <w:p>
      <w:pPr>
        <w:spacing w:before="120" w:after="20"/>
      </w:pPr>
      <w:r>
        <w:rPr>
          <w:b/>
          <w:color w:val="064E3B"/>
          <w:sz w:val="19"/>
        </w:rPr>
        <w:t>Q20: What are the business limitations of this project?</w:t>
      </w:r>
    </w:p>
    <w:p>
      <w:pPr>
        <w:spacing w:after="80"/>
        <w:ind w:left="288"/>
      </w:pPr>
      <w:r>
        <w:rPr>
          <w:color w:val="334155"/>
          <w:sz w:val="18"/>
        </w:rPr>
        <w:t>Answer: First, accuracy depends entirely on the truthfulness of entered accounting data. Second, industry benchmarks vary substantially (e.g., retail supermarkets operate safely with lower Current Ratios than heavy machinery manufacturing). Third, the dashboard serves as a decision-support advisory system, not a substitute for certified statutory auditing.</w:t>
      </w:r>
    </w:p>
    <w:p>
      <w:pPr>
        <w:keepNext/>
        <w:spacing w:before="280" w:after="80"/>
        <w:pBdr>
          <w:bottom w:val="single" w:sz="12" w:space="4" w:color="059669"/>
        </w:pBdr>
      </w:pPr>
      <w:r>
        <w:rPr>
          <w:b/>
          <w:color w:val="064E3B"/>
          <w:sz w:val="30"/>
        </w:rPr>
        <w:t>7. Live Examiner Demonstration Checklist</w:t>
      </w:r>
    </w:p>
    <w:p>
      <w:r>
        <w:t>Complete these verification steps 15 minutes before entering the viva room:</w:t>
      </w:r>
    </w:p>
    <w:p>
      <w:pPr>
        <w:spacing w:after="60"/>
        <w:ind w:left="288"/>
      </w:pPr>
      <w:r>
        <w:rPr>
          <w:b/>
        </w:rPr>
        <w:t xml:space="preserve">☑ </w:t>
      </w:r>
      <w:r>
        <w:rPr>
          <w:sz w:val="19"/>
        </w:rPr>
        <w:t>Local Server Active: Open terminal and verify 'python run.py' is running on http://localhost:5000.</w:t>
      </w:r>
    </w:p>
    <w:p>
      <w:pPr>
        <w:spacing w:after="60"/>
        <w:ind w:left="288"/>
      </w:pPr>
      <w:r>
        <w:rPr>
          <w:b/>
        </w:rPr>
        <w:t xml:space="preserve">☑ </w:t>
      </w:r>
      <w:r>
        <w:rPr>
          <w:sz w:val="19"/>
        </w:rPr>
        <w:t>Live Production Backup Ready: Bookmark https://monte-carlo-risk-assessment-dashboard.onrender.com as a verified cloud backup.</w:t>
      </w:r>
    </w:p>
    <w:p>
      <w:pPr>
        <w:spacing w:after="60"/>
        <w:ind w:left="288"/>
      </w:pPr>
      <w:r>
        <w:rPr>
          <w:b/>
        </w:rPr>
        <w:t xml:space="preserve">☑ </w:t>
      </w:r>
      <w:r>
        <w:rPr>
          <w:sz w:val="19"/>
        </w:rPr>
        <w:t>Test Suite Prepared: Keep a terminal window open ready to run 'python -m pytest' to demonstrate 66 passing tests.</w:t>
      </w:r>
    </w:p>
    <w:p>
      <w:pPr>
        <w:spacing w:after="60"/>
        <w:ind w:left="288"/>
      </w:pPr>
      <w:r>
        <w:rPr>
          <w:b/>
        </w:rPr>
        <w:t xml:space="preserve">☑ </w:t>
      </w:r>
      <w:r>
        <w:rPr>
          <w:sz w:val="19"/>
        </w:rPr>
        <w:t>Sample Data File Accessible: Place Book1.xlsx on Desktop for instant drag-and-drop demonstration in Step 3.</w:t>
      </w:r>
    </w:p>
    <w:p>
      <w:pPr>
        <w:spacing w:after="60"/>
        <w:ind w:left="288"/>
      </w:pPr>
      <w:r>
        <w:rPr>
          <w:b/>
        </w:rPr>
        <w:t xml:space="preserve">☑ </w:t>
      </w:r>
      <w:r>
        <w:rPr>
          <w:sz w:val="19"/>
        </w:rPr>
        <w:t>3D Camera Tested: Confirm WebGL hardware acceleration is enabled in Chrome/Edge browser for smooth Three.js auto-rotation.</w:t>
      </w:r>
    </w:p>
    <w:p>
      <w:pPr>
        <w:spacing w:after="60"/>
        <w:ind w:left="288"/>
      </w:pPr>
      <w:r>
        <w:rPr>
          <w:b/>
        </w:rPr>
        <w:t xml:space="preserve">☑ </w:t>
      </w:r>
      <w:r>
        <w:rPr>
          <w:sz w:val="19"/>
        </w:rPr>
        <w:t>Task Modal Functional: Verify clicking '+ Convert to Action Task' opens the dark-glass modal with prefilled data.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