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108C5F"/>
          <w:sz w:val="56"/>
        </w:rPr>
        <w:t>RiskGuard Pro</w:t>
      </w:r>
    </w:p>
    <w:p>
      <w:pPr>
        <w:spacing w:after="240"/>
      </w:pPr>
      <w:r>
        <w:rPr>
          <w:color w:val="1E293B"/>
          <w:sz w:val="28"/>
        </w:rPr>
        <w:t>Enterprise Business Risk Assessment &amp; Quantitative Analytics Platform</w:t>
      </w:r>
    </w:p>
    <w:p>
      <w:pPr>
        <w:spacing w:after="360"/>
      </w:pPr>
      <w:r>
        <w:rPr>
          <w:color w:val="64748B"/>
          <w:sz w:val="19"/>
        </w:rPr>
        <w:t>Standard Framework: ISO 31000:2018 (ERM) &amp; NIST CSF 2.0</w:t>
        <w:br/>
        <w:t>Stack: Python 3.11, Flask, NumPy, Supabase Cloud PostgreSQL, SQLite WAL, Three.js, Chart.js</w:t>
        <w:br/>
        <w:t>Live Production URL: https://monte-carlo-risk-assessment-dashboard.onrender.com</w:t>
        <w:br/>
        <w:t>GitHub Repository: https://github.com/divu638/bussiness-Risk-Assessment-Dashboard</w:t>
        <w:br/>
        <w:t>Test Coverage: 56 / 56 Automated Tests Passing (100% Verified)</w:t>
      </w:r>
    </w:p>
    <w:p>
      <w:pPr>
        <w:spacing w:after="160"/>
      </w:pPr>
    </w:p>
    <w:p>
      <w:pPr>
        <w:keepNext/>
        <w:spacing w:before="280" w:after="80"/>
      </w:pPr>
      <w:r>
        <w:rPr>
          <w:b/>
          <w:color w:val="108C5F"/>
          <w:sz w:val="36"/>
        </w:rPr>
        <w:t>1. Executive Summary &amp; Purpose</w:t>
      </w:r>
    </w:p>
    <w:p>
      <w:pPr>
        <w:spacing w:after="160"/>
      </w:pPr>
      <w:r>
        <w:t>RiskGuard Pro is an enterprise-grade risk governance and quantitative analytics platform designed for Chief Risk Officers (CROs), corporate boards, and financial audit committees. Traditional risk management suffers from qualitative ambiguity, isolated spreadsheets, and subjective risk matrix evaluations. RiskGuard Pro bridges this gap by marrying direct corporate financial telemetry (P&amp;L and Balance Sheet) with stochastic quantitative modeling (NumPy-vectorized Monte Carlo VaR), Altman Z-Score solvency diagnostics, explainable health score factor decomposition, and an immutable cryptographic audit ledger.</w:t>
      </w:r>
    </w:p>
    <w:tbl>
      <w:tblPr>
        <w:tblW w:type="auto" w:w="0"/>
        <w:jc w:val="center"/>
        <w:tblLook w:firstColumn="1" w:firstRow="1" w:lastColumn="0" w:lastRow="0" w:noHBand="0" w:noVBand="1" w:val="04A0"/>
      </w:tblPr>
      <w:tblGrid>
        <w:gridCol w:w="9360"/>
      </w:tblGrid>
      <w:tr>
        <w:tc>
          <w:tcPr>
            <w:tcW w:type="dxa" w:w="9360"/>
            <w:shd w:fill="F0FDF4"/>
            <w:tcMar>
              <w:top w:w="140" w:type="dxa"/>
              <w:bottom w:w="140" w:type="dxa"/>
              <w:left w:w="200" w:type="dxa"/>
              <w:right w:w="200" w:type="dxa"/>
            </w:tcMar>
          </w:tcPr>
          <w:p>
            <w:pPr>
              <w:spacing w:after="40"/>
            </w:pPr>
            <w:r>
              <w:rPr>
                <w:b/>
                <w:color w:val="108C5F"/>
                <w:sz w:val="19"/>
              </w:rPr>
              <w:t>■ CORE RESILIENCE GUARANTEE</w:t>
              <w:br/>
            </w:r>
            <w:r>
              <w:rPr>
                <w:color w:val="1E293B"/>
                <w:sz w:val="19"/>
              </w:rPr>
              <w:t>High-Availability Mandate (ISO 31000): The platform operates on a Dual-Engine Resilient Data Layer. Supabase Cloud PostgreSQL serves as the primary relational database, coupled with an automatic local SQLite Write-Ahead Logging (WAL) engine. If cloud connectivity or DNS resolution is interrupted, the platform automatically engages local safe mode, guaranteeing zero application crashes.</w:t>
            </w:r>
          </w:p>
        </w:tc>
      </w:tr>
    </w:tbl>
    <w:p>
      <w:pPr>
        <w:spacing w:after="120"/>
      </w:pPr>
    </w:p>
    <w:p>
      <w:pPr>
        <w:keepNext/>
        <w:spacing w:before="280" w:after="80"/>
      </w:pPr>
      <w:r>
        <w:rPr>
          <w:b/>
          <w:color w:val="108C5F"/>
          <w:sz w:val="36"/>
        </w:rPr>
        <w:t>2. System Architecture &amp; Component Topology</w:t>
      </w:r>
    </w:p>
    <w:p>
      <w:pPr>
        <w:spacing w:after="120"/>
      </w:pPr>
      <w:r>
        <w:t>The application is architected as a modular, decoupled full-stack system designed for low latency, secure role-based access, and mathematical precision:</w:t>
      </w:r>
    </w:p>
    <w:tbl>
      <w:tblPr>
        <w:tblW w:type="auto" w:w="0"/>
        <w:jc w:val="center"/>
        <w:tblLook w:firstColumn="1" w:firstRow="1" w:lastColumn="0" w:lastRow="0" w:noHBand="0" w:noVBand="1" w:val="04A0"/>
      </w:tblPr>
      <w:tblGrid>
        <w:gridCol w:w="4680"/>
        <w:gridCol w:w="4680"/>
      </w:tblGrid>
      <w:tr>
        <w:tc>
          <w:tcPr>
            <w:tcW w:type="dxa" w:w="2592"/>
            <w:shd w:fill="0F5132"/>
            <w:tcMar>
              <w:top w:w="120" w:type="dxa"/>
              <w:bottom w:w="120" w:type="dxa"/>
              <w:left w:w="140" w:type="dxa"/>
              <w:right w:w="140" w:type="dxa"/>
            </w:tcMar>
          </w:tcPr>
          <w:p>
            <w:pPr>
              <w:jc w:val="left"/>
            </w:pPr>
            <w:r>
              <w:rPr>
                <w:b/>
                <w:color w:val="FFFFFF"/>
                <w:sz w:val="19"/>
              </w:rPr>
              <w:t>Layer / Component</w:t>
            </w:r>
          </w:p>
        </w:tc>
        <w:tc>
          <w:tcPr>
            <w:tcW w:type="dxa" w:w="6768"/>
            <w:shd w:fill="0F5132"/>
            <w:tcMar>
              <w:top w:w="120" w:type="dxa"/>
              <w:bottom w:w="120" w:type="dxa"/>
              <w:left w:w="140" w:type="dxa"/>
              <w:right w:w="140" w:type="dxa"/>
            </w:tcMar>
          </w:tcPr>
          <w:p>
            <w:pPr>
              <w:jc w:val="left"/>
            </w:pPr>
            <w:r>
              <w:rPr>
                <w:b/>
                <w:color w:val="FFFFFF"/>
                <w:sz w:val="19"/>
              </w:rPr>
              <w:t>Technical Specification &amp; Responsibilities</w:t>
            </w:r>
          </w:p>
        </w:tc>
      </w:tr>
      <w:tr>
        <w:tc>
          <w:tcPr>
            <w:tcW w:type="dxa" w:w="2592"/>
            <w:shd w:fill="FFFFFF"/>
            <w:tcMar>
              <w:top w:w="100" w:type="dxa"/>
              <w:bottom w:w="100" w:type="dxa"/>
              <w:left w:w="140" w:type="dxa"/>
              <w:right w:w="140" w:type="dxa"/>
            </w:tcMar>
          </w:tcPr>
          <w:p>
            <w:r>
              <w:rPr>
                <w:color w:val="1E293B"/>
                <w:sz w:val="18"/>
              </w:rPr>
              <w:t>Client Presentation (Frontend)</w:t>
            </w:r>
          </w:p>
        </w:tc>
        <w:tc>
          <w:tcPr>
            <w:tcW w:type="dxa" w:w="6768"/>
            <w:shd w:fill="FFFFFF"/>
            <w:tcMar>
              <w:top w:w="100" w:type="dxa"/>
              <w:bottom w:w="100" w:type="dxa"/>
              <w:left w:w="140" w:type="dxa"/>
              <w:right w:w="140" w:type="dxa"/>
            </w:tcMar>
          </w:tcPr>
          <w:p>
            <w:r>
              <w:rPr>
                <w:color w:val="1E293B"/>
                <w:sz w:val="18"/>
              </w:rPr>
              <w:t>Vanilla ES6 JavaScript, Three.js WebGL (3D threat mesh &amp; domain rings), Chart.js (histogram &amp; waterfall analytics), Glassmorphic CSS (Deep Emerald #10B981 theme), Responsive viewport.</w:t>
            </w:r>
          </w:p>
        </w:tc>
      </w:tr>
      <w:tr>
        <w:tc>
          <w:tcPr>
            <w:tcW w:type="dxa" w:w="2592"/>
            <w:shd w:fill="F8FAFC"/>
            <w:tcMar>
              <w:top w:w="100" w:type="dxa"/>
              <w:bottom w:w="100" w:type="dxa"/>
              <w:left w:w="140" w:type="dxa"/>
              <w:right w:w="140" w:type="dxa"/>
            </w:tcMar>
          </w:tcPr>
          <w:p>
            <w:r>
              <w:rPr>
                <w:color w:val="1E293B"/>
                <w:sz w:val="18"/>
              </w:rPr>
              <w:t>API &amp; Security Gateway (Flask)</w:t>
            </w:r>
          </w:p>
        </w:tc>
        <w:tc>
          <w:tcPr>
            <w:tcW w:type="dxa" w:w="6768"/>
            <w:shd w:fill="F8FAFC"/>
            <w:tcMar>
              <w:top w:w="100" w:type="dxa"/>
              <w:bottom w:w="100" w:type="dxa"/>
              <w:left w:w="140" w:type="dxa"/>
              <w:right w:w="140" w:type="dxa"/>
            </w:tcMar>
          </w:tcPr>
          <w:p>
            <w:r>
              <w:rPr>
                <w:color w:val="1E293B"/>
                <w:sz w:val="18"/>
              </w:rPr>
              <w:t>OWASP security response headers (CSP, X-Frame-Options, X-Content-Type-Options, Referrer-Policy), server banner masking, sliding-window IP rate limiting, path traversal defense.</w:t>
            </w:r>
          </w:p>
        </w:tc>
      </w:tr>
      <w:tr>
        <w:tc>
          <w:tcPr>
            <w:tcW w:type="dxa" w:w="2592"/>
            <w:shd w:fill="FFFFFF"/>
            <w:tcMar>
              <w:top w:w="100" w:type="dxa"/>
              <w:bottom w:w="100" w:type="dxa"/>
              <w:left w:w="140" w:type="dxa"/>
              <w:right w:w="140" w:type="dxa"/>
            </w:tcMar>
          </w:tcPr>
          <w:p>
            <w:r>
              <w:rPr>
                <w:color w:val="1E293B"/>
                <w:sz w:val="18"/>
              </w:rPr>
              <w:t>Authentication &amp; RBAC</w:t>
            </w:r>
          </w:p>
        </w:tc>
        <w:tc>
          <w:tcPr>
            <w:tcW w:type="dxa" w:w="6768"/>
            <w:shd w:fill="FFFFFF"/>
            <w:tcMar>
              <w:top w:w="100" w:type="dxa"/>
              <w:bottom w:w="100" w:type="dxa"/>
              <w:left w:w="140" w:type="dxa"/>
              <w:right w:w="140" w:type="dxa"/>
            </w:tcMar>
          </w:tcPr>
          <w:p>
            <w:r>
              <w:rPr>
                <w:color w:val="1E293B"/>
                <w:sz w:val="18"/>
              </w:rPr>
              <w:t>Bcrypt password hashing (work factor 12) with cryptographic salting, signed PyJWT tokens, Google OAuth 2.0 / GIS Single Sign-On, server-side role enforcement (Admin vs. User).</w:t>
            </w:r>
          </w:p>
        </w:tc>
      </w:tr>
      <w:tr>
        <w:tc>
          <w:tcPr>
            <w:tcW w:type="dxa" w:w="2592"/>
            <w:shd w:fill="F8FAFC"/>
            <w:tcMar>
              <w:top w:w="100" w:type="dxa"/>
              <w:bottom w:w="100" w:type="dxa"/>
              <w:left w:w="140" w:type="dxa"/>
              <w:right w:w="140" w:type="dxa"/>
            </w:tcMar>
          </w:tcPr>
          <w:p>
            <w:r>
              <w:rPr>
                <w:color w:val="1E293B"/>
                <w:sz w:val="18"/>
              </w:rPr>
              <w:t>Quantitative VaR Engine</w:t>
            </w:r>
          </w:p>
        </w:tc>
        <w:tc>
          <w:tcPr>
            <w:tcW w:type="dxa" w:w="6768"/>
            <w:shd w:fill="F8FAFC"/>
            <w:tcMar>
              <w:top w:w="100" w:type="dxa"/>
              <w:bottom w:w="100" w:type="dxa"/>
              <w:left w:w="140" w:type="dxa"/>
              <w:right w:w="140" w:type="dxa"/>
            </w:tcMar>
          </w:tcPr>
          <w:p>
            <w:r>
              <w:rPr>
                <w:color w:val="1E293B"/>
                <w:sz w:val="18"/>
              </w:rPr>
              <w:t>Vectorized NumPy engine executing 3,000 to 10,000 iterations per run. Bernoulli event frequency combined with Log-Normal loss severity for heavy-tailed loss modeling.</w:t>
            </w:r>
          </w:p>
        </w:tc>
      </w:tr>
      <w:tr>
        <w:tc>
          <w:tcPr>
            <w:tcW w:type="dxa" w:w="2592"/>
            <w:shd w:fill="FFFFFF"/>
            <w:tcMar>
              <w:top w:w="100" w:type="dxa"/>
              <w:bottom w:w="100" w:type="dxa"/>
              <w:left w:w="140" w:type="dxa"/>
              <w:right w:w="140" w:type="dxa"/>
            </w:tcMar>
          </w:tcPr>
          <w:p>
            <w:r>
              <w:rPr>
                <w:color w:val="1E293B"/>
                <w:sz w:val="18"/>
              </w:rPr>
              <w:t>Financial Solvency Engine</w:t>
            </w:r>
          </w:p>
        </w:tc>
        <w:tc>
          <w:tcPr>
            <w:tcW w:type="dxa" w:w="6768"/>
            <w:shd w:fill="FFFFFF"/>
            <w:tcMar>
              <w:top w:w="100" w:type="dxa"/>
              <w:bottom w:w="100" w:type="dxa"/>
              <w:left w:w="140" w:type="dxa"/>
              <w:right w:w="140" w:type="dxa"/>
            </w:tcMar>
          </w:tcPr>
          <w:p>
            <w:r>
              <w:rPr>
                <w:color w:val="1E293B"/>
                <w:sz w:val="18"/>
              </w:rPr>
              <w:t>14 corporate financial ratios across Liquidity, Leverage, Profitability, and Efficiency; Altman Z-Score with Safe, Grey, and Distress zone diagnostics; Damodaran sectoral benchmark differentials.</w:t>
            </w:r>
          </w:p>
        </w:tc>
      </w:tr>
      <w:tr>
        <w:tc>
          <w:tcPr>
            <w:tcW w:type="dxa" w:w="2592"/>
            <w:shd w:fill="F8FAFC"/>
            <w:tcMar>
              <w:top w:w="100" w:type="dxa"/>
              <w:bottom w:w="100" w:type="dxa"/>
              <w:left w:w="140" w:type="dxa"/>
              <w:right w:w="140" w:type="dxa"/>
            </w:tcMar>
          </w:tcPr>
          <w:p>
            <w:r>
              <w:rPr>
                <w:color w:val="1E293B"/>
                <w:sz w:val="18"/>
              </w:rPr>
              <w:t>Dual Data Storage Layer</w:t>
            </w:r>
          </w:p>
        </w:tc>
        <w:tc>
          <w:tcPr>
            <w:tcW w:type="dxa" w:w="6768"/>
            <w:shd w:fill="F8FAFC"/>
            <w:tcMar>
              <w:top w:w="100" w:type="dxa"/>
              <w:bottom w:w="100" w:type="dxa"/>
              <w:left w:w="140" w:type="dxa"/>
              <w:right w:w="140" w:type="dxa"/>
            </w:tcMar>
          </w:tcPr>
          <w:p>
            <w:r>
              <w:rPr>
                <w:color w:val="1E293B"/>
                <w:sz w:val="18"/>
              </w:rPr>
              <w:t>Primary: Supabase Cloud PostgreSQL with Row-Level Security (RLS). Fallback: High-concurrency SQLite WAL engine with 30s busy timeout and SHA-256 cryptographic hash chain.</w:t>
            </w:r>
          </w:p>
        </w:tc>
      </w:tr>
    </w:tbl>
    <w:p>
      <w:pPr>
        <w:spacing w:after="120"/>
      </w:pPr>
    </w:p>
    <w:p>
      <w:pPr>
        <w:keepNext/>
        <w:spacing w:before="280" w:after="80"/>
      </w:pPr>
      <w:r>
        <w:rPr>
          <w:b/>
          <w:color w:val="108C5F"/>
          <w:sz w:val="36"/>
        </w:rPr>
        <w:t>3. Core Technical Modules &amp; Mathematical Formulations</w:t>
      </w:r>
    </w:p>
    <w:p>
      <w:pPr>
        <w:keepNext/>
        <w:spacing w:before="280" w:after="80"/>
      </w:pPr>
      <w:r>
        <w:rPr>
          <w:b/>
          <w:color w:val="1E293B"/>
          <w:sz w:val="28"/>
        </w:rPr>
        <w:t>A. Vectorized Monte Carlo Value-at-Risk (VaR) Engine</w:t>
      </w:r>
    </w:p>
    <w:p>
      <w:pPr>
        <w:spacing w:after="80"/>
      </w:pPr>
      <w:r>
        <w:t>Traditional risk assessment treats impact and likelihood as static discrete numbers (e.g. 4 × 5 = 20). In reality, operational risks are stochastic events with variable severity. RiskGuard Pro implements a compound Poisson-LogNormal loss model:</w:t>
      </w:r>
    </w:p>
    <w:p>
      <w:pPr>
        <w:pStyle w:val="ListBullet"/>
        <w:spacing w:after="40"/>
      </w:pPr>
      <w:r>
        <w:rPr>
          <w:b/>
        </w:rPr>
        <w:t xml:space="preserve">Event Occurrence Frequency (N): </w:t>
      </w:r>
      <w:r>
        <w:t>For each risk i, event occurrence in trial k is modeled as a Bernoulli random variable based on normalized likelihood: E_{i,k} ~ Bernoulli(Likelihood_i / 5.0).</w:t>
      </w:r>
    </w:p>
    <w:p>
      <w:pPr>
        <w:pStyle w:val="ListBullet"/>
        <w:spacing w:after="40"/>
      </w:pPr>
      <w:r>
        <w:rPr>
          <w:b/>
        </w:rPr>
        <w:t xml:space="preserve">Loss Severity Distribution (S): </w:t>
      </w:r>
      <w:r>
        <w:t>Given occurrence, loss severity follows a Log-Normal distribution to model real-world right-skewed black-swan outcomes: S_{i,k} ~ LogNormal(mu_i, sigma_i = 1.2), where mu_i = ln(Exposure_i * Impact_i / 5.0) - (sigma_i^2 / 2).</w:t>
      </w:r>
    </w:p>
    <w:p>
      <w:pPr>
        <w:pStyle w:val="ListBullet"/>
        <w:spacing w:after="40"/>
      </w:pPr>
      <w:r>
        <w:rPr>
          <w:b/>
        </w:rPr>
        <w:t xml:space="preserve">Portfolio Aggregation: </w:t>
      </w:r>
      <w:r>
        <w:t>Total simulated loss per trial k is computed as L_k = SUM(E_{i,k} * S_{i,k}).</w:t>
      </w:r>
    </w:p>
    <w:p>
      <w:pPr>
        <w:pStyle w:val="ListBullet"/>
        <w:spacing w:after="40"/>
      </w:pPr>
      <w:r>
        <w:rPr>
          <w:b/>
        </w:rPr>
        <w:t xml:space="preserve">Mathematical Invariant: </w:t>
      </w:r>
      <w:r>
        <w:t>The engine guarantees strict monotonic ordering: Expected Mean Loss &lt;= 95% VaR &lt;= 99% Tail VaR &lt;= Worst-Case Loss.</w:t>
      </w:r>
    </w:p>
    <w:p>
      <w:pPr>
        <w:keepNext/>
        <w:spacing w:before="280" w:after="80"/>
      </w:pPr>
      <w:r>
        <w:rPr>
          <w:b/>
          <w:color w:val="1E293B"/>
          <w:sz w:val="28"/>
        </w:rPr>
        <w:t>B. Institutional Financial Ratio Engine &amp; Altman Z-Score</w:t>
      </w:r>
    </w:p>
    <w:p>
      <w:pPr>
        <w:spacing w:after="80"/>
      </w:pPr>
      <w:r>
        <w:t>The financial analysis engine parses balance sheet and income statement metrics to calculate corporate solvency and distress zones using Edward Altman's 1968 formulation:</w:t>
      </w:r>
    </w:p>
    <w:p>
      <w:pPr>
        <w:jc w:val="center"/>
      </w:pPr>
      <w:r>
        <w:rPr>
          <w:b/>
          <w:color w:val="108C5F"/>
          <w:sz w:val="22"/>
        </w:rPr>
        <w:t>Z = 1.2(X1) + 1.4(X2) + 3.3(X3) + 0.6(X4) + 0.999(X5)</w:t>
      </w:r>
    </w:p>
    <w:p>
      <w:pPr>
        <w:pStyle w:val="ListBullet"/>
        <w:spacing w:after="40"/>
      </w:pPr>
      <w:r>
        <w:rPr>
          <w:b/>
        </w:rPr>
        <w:t xml:space="preserve">X1 = Working Capital / Total Assets: </w:t>
      </w:r>
      <w:r>
        <w:t>Measures net liquid assets relative to corporate capitalization.</w:t>
      </w:r>
    </w:p>
    <w:p>
      <w:pPr>
        <w:pStyle w:val="ListBullet"/>
        <w:spacing w:after="40"/>
      </w:pPr>
      <w:r>
        <w:rPr>
          <w:b/>
        </w:rPr>
        <w:t xml:space="preserve">X2 = Retained Earnings / Total Assets: </w:t>
      </w:r>
      <w:r>
        <w:t>Measures cumulative profitability over time.</w:t>
      </w:r>
    </w:p>
    <w:p>
      <w:pPr>
        <w:pStyle w:val="ListBullet"/>
        <w:spacing w:after="40"/>
      </w:pPr>
      <w:r>
        <w:rPr>
          <w:b/>
        </w:rPr>
        <w:t xml:space="preserve">X3 = EBIT / Total Assets: </w:t>
      </w:r>
      <w:r>
        <w:t>Operating efficiency and asset productivity independent of tax leverage.</w:t>
      </w:r>
    </w:p>
    <w:p>
      <w:pPr>
        <w:pStyle w:val="ListBullet"/>
        <w:spacing w:after="40"/>
      </w:pPr>
      <w:r>
        <w:rPr>
          <w:b/>
        </w:rPr>
        <w:t xml:space="preserve">X4 = Market Value of Equity / Total Liabilities: </w:t>
      </w:r>
      <w:r>
        <w:t>Capital cushion before liabilities exceed assets.</w:t>
      </w:r>
    </w:p>
    <w:p>
      <w:pPr>
        <w:pStyle w:val="ListBullet"/>
        <w:spacing w:after="40"/>
      </w:pPr>
      <w:r>
        <w:rPr>
          <w:b/>
        </w:rPr>
        <w:t xml:space="preserve">X5 = Sales / Total Assets: </w:t>
      </w:r>
      <w:r>
        <w:t>Asset turnover and revenue-generating efficiency.</w:t>
      </w:r>
    </w:p>
    <w:p>
      <w:pPr>
        <w:spacing w:after="160"/>
      </w:pPr>
      <w:r>
        <w:t>Zone Benchmarks: Safe Zone (Z &gt; 2.99, Green), Grey Zone (1.81 &lt;= Z &lt;= 2.99, Amber - Debt restructuring advised), Distress Zone (Z &lt; 1.81, Red - High insolvency probability within 24 months). All calculations are protected with zero-safe math guards (_safe_div) preventing divide-by-zero crashes.</w:t>
      </w:r>
    </w:p>
    <w:p>
      <w:pPr>
        <w:keepNext/>
        <w:spacing w:before="280" w:after="80"/>
      </w:pPr>
      <w:r>
        <w:rPr>
          <w:b/>
          <w:color w:val="1E293B"/>
          <w:sz w:val="28"/>
        </w:rPr>
        <w:t>C. Three.js 3D Spatial Threat Topology</w:t>
      </w:r>
    </w:p>
    <w:p>
      <w:pPr>
        <w:spacing w:after="160"/>
      </w:pPr>
      <w:r>
        <w:t>Built with WebGL and Three.js r128, the dashboard projects active risks onto a dynamic 5×5 3D terrain mesh. The horizontal grid represents Likelihood (X-axis) and Impact (Z-axis), while vertex elevation (Y-axis) corresponds to aggregate financial exposure. Users can toggle between Isometric 3D View, Top Plan Orthographic View, and Auto-Rotate modes. A procedural 3D Domain Ring Chart visualizes risk concentrations across Cyber, Financial, and Operational vectors.</w:t>
      </w:r>
    </w:p>
    <w:p>
      <w:pPr>
        <w:keepNext/>
        <w:spacing w:before="280" w:after="80"/>
      </w:pPr>
      <w:r>
        <w:rPr>
          <w:b/>
          <w:color w:val="1E293B"/>
          <w:sz w:val="28"/>
        </w:rPr>
        <w:t>D. Macroeconomic What-If Stress Testing Engine</w:t>
      </w:r>
    </w:p>
    <w:p>
      <w:pPr>
        <w:spacing w:after="160"/>
      </w:pPr>
      <w:r>
        <w:t>Allows executives to simulate external shocks via real-time parametric sliders and presets:</w:t>
        <w:br/>
        <w:t>• Recession Shock: -25% Revenue collapse, +20% Total Debt surge.</w:t>
        <w:br/>
        <w:t>• Supply Chain Paralysis: +30% COGS inflation, +45 Days Debtor DSO collection lag.</w:t>
        <w:br/>
        <w:t>• Ransomware Outage: 3x Cyber incident probability, ₹5 Cr infrastructure remediation outlay.</w:t>
        <w:br/>
        <w:t>Executing a stress scenario immediately shifts balance sheet inputs, recalculates the Altman Z-Score, and passes elevated variances to the Monte Carlo engine.</w:t>
      </w:r>
    </w:p>
    <w:p>
      <w:pPr>
        <w:keepNext/>
        <w:spacing w:before="280" w:after="80"/>
      </w:pPr>
      <w:r>
        <w:rPr>
          <w:b/>
          <w:color w:val="1E293B"/>
          <w:sz w:val="28"/>
        </w:rPr>
        <w:t>E. Explainable Health Score Waterfall</w:t>
      </w:r>
    </w:p>
    <w:p>
      <w:pPr>
        <w:spacing w:after="160"/>
      </w:pPr>
      <w:r>
        <w:t>Rather than treating enterprise risk score as an opaque number, RiskGuard Pro starts at an ideal baseline of 100.0 points. It decomposes the final score into 6 weighted governance domains: Financial Solvency (25%), Cybersecurity &amp; Cloud (20%), Operations &amp; Supply Chain (18%), Regulatory &amp; Compliance (15%), Market Strategy (12%), and Human Capital (10%). Every penalty point is mathematically justified and rendered as a waterfall deduction chart.</w:t>
      </w:r>
    </w:p>
    <w:p>
      <w:pPr>
        <w:keepNext/>
        <w:spacing w:before="280" w:after="80"/>
      </w:pPr>
      <w:r>
        <w:rPr>
          <w:b/>
          <w:color w:val="1E293B"/>
          <w:sz w:val="28"/>
        </w:rPr>
        <w:t>F. Cryptographic Tamper-Evident Audit Ledger</w:t>
      </w:r>
    </w:p>
    <w:p>
      <w:pPr>
        <w:spacing w:after="160"/>
      </w:pPr>
      <w:r>
        <w:t>Every create, edit, or delete operation on risks, assessments, and users is appended to a cryptographic ledger. Each row stores prev_hash and computes:</w:t>
        <w:br/>
        <w:t xml:space="preserve">   hash = SHA-256(id + action + details + user_id + timestamp + prev_hash)</w:t>
        <w:br/>
        <w:t>The API endpoint GET /api/audit-logs/verify verifies the entire chain from the genesis block. If any record is altered directly in the database, the cryptographic hash breaks and identifies the exact tampered row.</w:t>
      </w:r>
    </w:p>
    <w:p>
      <w:pPr>
        <w:keepNext/>
        <w:spacing w:before="280" w:after="80"/>
      </w:pPr>
      <w:r>
        <w:rPr>
          <w:b/>
          <w:color w:val="108C5F"/>
          <w:sz w:val="36"/>
        </w:rPr>
        <w:t>4. Enterprise Security Hardening &amp; OWASP Compliance</w:t>
      </w:r>
    </w:p>
    <w:tbl>
      <w:tblPr>
        <w:tblW w:type="auto" w:w="0"/>
        <w:jc w:val="center"/>
        <w:tblLook w:firstColumn="1" w:firstRow="1" w:lastColumn="0" w:lastRow="0" w:noHBand="0" w:noVBand="1" w:val="04A0"/>
      </w:tblPr>
      <w:tblGrid>
        <w:gridCol w:w="4680"/>
        <w:gridCol w:w="4680"/>
      </w:tblGrid>
      <w:tr>
        <w:tc>
          <w:tcPr>
            <w:tcW w:type="dxa" w:w="2880"/>
            <w:shd w:fill="0F5132"/>
            <w:tcMar>
              <w:top w:w="120" w:type="dxa"/>
              <w:bottom w:w="120" w:type="dxa"/>
              <w:left w:w="140" w:type="dxa"/>
              <w:right w:w="140" w:type="dxa"/>
            </w:tcMar>
          </w:tcPr>
          <w:p>
            <w:pPr>
              <w:jc w:val="left"/>
            </w:pPr>
            <w:r>
              <w:rPr>
                <w:b/>
                <w:color w:val="FFFFFF"/>
                <w:sz w:val="19"/>
              </w:rPr>
              <w:t>Security Control</w:t>
            </w:r>
          </w:p>
        </w:tc>
        <w:tc>
          <w:tcPr>
            <w:tcW w:type="dxa" w:w="6480"/>
            <w:shd w:fill="0F5132"/>
            <w:tcMar>
              <w:top w:w="120" w:type="dxa"/>
              <w:bottom w:w="120" w:type="dxa"/>
              <w:left w:w="140" w:type="dxa"/>
              <w:right w:w="140" w:type="dxa"/>
            </w:tcMar>
          </w:tcPr>
          <w:p>
            <w:pPr>
              <w:jc w:val="left"/>
            </w:pPr>
            <w:r>
              <w:rPr>
                <w:b/>
                <w:color w:val="FFFFFF"/>
                <w:sz w:val="19"/>
              </w:rPr>
              <w:t>Implementation Mechanism</w:t>
            </w:r>
          </w:p>
        </w:tc>
      </w:tr>
      <w:tr>
        <w:tc>
          <w:tcPr>
            <w:tcW w:type="dxa" w:w="2880"/>
            <w:shd w:fill="FFFFFF"/>
            <w:tcMar>
              <w:top w:w="100" w:type="dxa"/>
              <w:bottom w:w="100" w:type="dxa"/>
              <w:left w:w="140" w:type="dxa"/>
              <w:right w:w="140" w:type="dxa"/>
            </w:tcMar>
          </w:tcPr>
          <w:p>
            <w:r>
              <w:rPr>
                <w:color w:val="1E293B"/>
                <w:sz w:val="18"/>
              </w:rPr>
              <w:t>Password Security</w:t>
            </w:r>
          </w:p>
        </w:tc>
        <w:tc>
          <w:tcPr>
            <w:tcW w:type="dxa" w:w="6480"/>
            <w:shd w:fill="FFFFFF"/>
            <w:tcMar>
              <w:top w:w="100" w:type="dxa"/>
              <w:bottom w:w="100" w:type="dxa"/>
              <w:left w:w="140" w:type="dxa"/>
              <w:right w:w="140" w:type="dxa"/>
            </w:tcMar>
          </w:tcPr>
          <w:p>
            <w:r>
              <w:rPr>
                <w:color w:val="1E293B"/>
                <w:sz w:val="18"/>
              </w:rPr>
              <w:t>Bcrypt hashing with work factor 12 and per-user cryptographic salts. Enforces minimum 8 chars, mixed case, numbers, and symbols.</w:t>
            </w:r>
          </w:p>
        </w:tc>
      </w:tr>
      <w:tr>
        <w:tc>
          <w:tcPr>
            <w:tcW w:type="dxa" w:w="2880"/>
            <w:shd w:fill="F8FAFC"/>
            <w:tcMar>
              <w:top w:w="100" w:type="dxa"/>
              <w:bottom w:w="100" w:type="dxa"/>
              <w:left w:w="140" w:type="dxa"/>
              <w:right w:w="140" w:type="dxa"/>
            </w:tcMar>
          </w:tcPr>
          <w:p>
            <w:r>
              <w:rPr>
                <w:color w:val="1E293B"/>
                <w:sz w:val="18"/>
              </w:rPr>
              <w:t>Session Tokens</w:t>
            </w:r>
          </w:p>
        </w:tc>
        <w:tc>
          <w:tcPr>
            <w:tcW w:type="dxa" w:w="6480"/>
            <w:shd w:fill="F8FAFC"/>
            <w:tcMar>
              <w:top w:w="100" w:type="dxa"/>
              <w:bottom w:w="100" w:type="dxa"/>
              <w:left w:w="140" w:type="dxa"/>
              <w:right w:w="140" w:type="dxa"/>
            </w:tcMar>
          </w:tcPr>
          <w:p>
            <w:r>
              <w:rPr>
                <w:color w:val="1E293B"/>
                <w:sz w:val="18"/>
              </w:rPr>
              <w:t>Signed PyJWT tokens with expiration timestamps, verified on every state-changing route using Python decorator @require_auth.</w:t>
            </w:r>
          </w:p>
        </w:tc>
      </w:tr>
      <w:tr>
        <w:tc>
          <w:tcPr>
            <w:tcW w:type="dxa" w:w="2880"/>
            <w:shd w:fill="FFFFFF"/>
            <w:tcMar>
              <w:top w:w="100" w:type="dxa"/>
              <w:bottom w:w="100" w:type="dxa"/>
              <w:left w:w="140" w:type="dxa"/>
              <w:right w:w="140" w:type="dxa"/>
            </w:tcMar>
          </w:tcPr>
          <w:p>
            <w:r>
              <w:rPr>
                <w:color w:val="1E293B"/>
                <w:sz w:val="18"/>
              </w:rPr>
              <w:t>Role-Based Access (RBAC)</w:t>
            </w:r>
          </w:p>
        </w:tc>
        <w:tc>
          <w:tcPr>
            <w:tcW w:type="dxa" w:w="6480"/>
            <w:shd w:fill="FFFFFF"/>
            <w:tcMar>
              <w:top w:w="100" w:type="dxa"/>
              <w:bottom w:w="100" w:type="dxa"/>
              <w:left w:w="140" w:type="dxa"/>
              <w:right w:w="140" w:type="dxa"/>
            </w:tcMar>
          </w:tcPr>
          <w:p>
            <w:r>
              <w:rPr>
                <w:color w:val="1E293B"/>
                <w:sz w:val="18"/>
              </w:rPr>
              <w:t>Strict backend enforcement via @require_role('admin'). Non-admin tokens requesting /api/admin/* receive HTTP 403 Forbidden.</w:t>
            </w:r>
          </w:p>
        </w:tc>
      </w:tr>
      <w:tr>
        <w:tc>
          <w:tcPr>
            <w:tcW w:type="dxa" w:w="2880"/>
            <w:shd w:fill="F8FAFC"/>
            <w:tcMar>
              <w:top w:w="100" w:type="dxa"/>
              <w:bottom w:w="100" w:type="dxa"/>
              <w:left w:w="140" w:type="dxa"/>
              <w:right w:w="140" w:type="dxa"/>
            </w:tcMar>
          </w:tcPr>
          <w:p>
            <w:r>
              <w:rPr>
                <w:color w:val="1E293B"/>
                <w:sz w:val="18"/>
              </w:rPr>
              <w:t>Rate Limiting &amp; Anti-Brute-Force</w:t>
            </w:r>
          </w:p>
        </w:tc>
        <w:tc>
          <w:tcPr>
            <w:tcW w:type="dxa" w:w="6480"/>
            <w:shd w:fill="F8FAFC"/>
            <w:tcMar>
              <w:top w:w="100" w:type="dxa"/>
              <w:bottom w:w="100" w:type="dxa"/>
              <w:left w:w="140" w:type="dxa"/>
              <w:right w:w="140" w:type="dxa"/>
            </w:tcMar>
          </w:tcPr>
          <w:p>
            <w:r>
              <w:rPr>
                <w:color w:val="1E293B"/>
                <w:sz w:val="18"/>
              </w:rPr>
              <w:t>Per-IP sliding-window rate limiting. General API: 120 req/min. Login endpoint: strict 10 req/min. 5 failed logins triggers timed account lockout.</w:t>
            </w:r>
          </w:p>
        </w:tc>
      </w:tr>
      <w:tr>
        <w:tc>
          <w:tcPr>
            <w:tcW w:type="dxa" w:w="2880"/>
            <w:shd w:fill="FFFFFF"/>
            <w:tcMar>
              <w:top w:w="100" w:type="dxa"/>
              <w:bottom w:w="100" w:type="dxa"/>
              <w:left w:w="140" w:type="dxa"/>
              <w:right w:w="140" w:type="dxa"/>
            </w:tcMar>
          </w:tcPr>
          <w:p>
            <w:r>
              <w:rPr>
                <w:color w:val="1E293B"/>
                <w:sz w:val="18"/>
              </w:rPr>
              <w:t>OWASP Security Headers</w:t>
            </w:r>
          </w:p>
        </w:tc>
        <w:tc>
          <w:tcPr>
            <w:tcW w:type="dxa" w:w="6480"/>
            <w:shd w:fill="FFFFFF"/>
            <w:tcMar>
              <w:top w:w="100" w:type="dxa"/>
              <w:bottom w:w="100" w:type="dxa"/>
              <w:left w:w="140" w:type="dxa"/>
              <w:right w:w="140" w:type="dxa"/>
            </w:tcMar>
          </w:tcPr>
          <w:p>
            <w:r>
              <w:rPr>
                <w:color w:val="1E293B"/>
                <w:sz w:val="18"/>
              </w:rPr>
              <w:t>Content-Security-Policy, X-Frame-Options: SAMEORIGIN, X-Content-Type-Options: nosniff, Referrer-Policy: strict-origin-when-cross-origin.</w:t>
            </w:r>
          </w:p>
        </w:tc>
      </w:tr>
      <w:tr>
        <w:tc>
          <w:tcPr>
            <w:tcW w:type="dxa" w:w="2880"/>
            <w:shd w:fill="F8FAFC"/>
            <w:tcMar>
              <w:top w:w="100" w:type="dxa"/>
              <w:bottom w:w="100" w:type="dxa"/>
              <w:left w:w="140" w:type="dxa"/>
              <w:right w:w="140" w:type="dxa"/>
            </w:tcMar>
          </w:tcPr>
          <w:p>
            <w:r>
              <w:rPr>
                <w:color w:val="1E293B"/>
                <w:sz w:val="18"/>
              </w:rPr>
              <w:t>Server Masking &amp; File Defense</w:t>
            </w:r>
          </w:p>
        </w:tc>
        <w:tc>
          <w:tcPr>
            <w:tcW w:type="dxa" w:w="6480"/>
            <w:shd w:fill="F8FAFC"/>
            <w:tcMar>
              <w:top w:w="100" w:type="dxa"/>
              <w:bottom w:w="100" w:type="dxa"/>
              <w:left w:w="140" w:type="dxa"/>
              <w:right w:w="140" w:type="dxa"/>
            </w:tcMar>
          </w:tcPr>
          <w:p>
            <w:r>
              <w:rPr>
                <w:color w:val="1E293B"/>
                <w:sz w:val="18"/>
              </w:rPr>
              <w:t>Server header overridden to 'Protected-Gateway'. Proactive path traversal filters block requests targeting .env, .git, .py, or .db files.</w:t>
            </w:r>
          </w:p>
        </w:tc>
      </w:tr>
      <w:tr>
        <w:tc>
          <w:tcPr>
            <w:tcW w:type="dxa" w:w="2880"/>
            <w:shd w:fill="FFFFFF"/>
            <w:tcMar>
              <w:top w:w="100" w:type="dxa"/>
              <w:bottom w:w="100" w:type="dxa"/>
              <w:left w:w="140" w:type="dxa"/>
              <w:right w:w="140" w:type="dxa"/>
            </w:tcMar>
          </w:tcPr>
          <w:p>
            <w:r>
              <w:rPr>
                <w:color w:val="1E293B"/>
                <w:sz w:val="18"/>
              </w:rPr>
              <w:t>Injection Mitigation</w:t>
            </w:r>
          </w:p>
        </w:tc>
        <w:tc>
          <w:tcPr>
            <w:tcW w:type="dxa" w:w="6480"/>
            <w:shd w:fill="FFFFFF"/>
            <w:tcMar>
              <w:top w:w="100" w:type="dxa"/>
              <w:bottom w:w="100" w:type="dxa"/>
              <w:left w:w="140" w:type="dxa"/>
              <w:right w:w="140" w:type="dxa"/>
            </w:tcMar>
          </w:tcPr>
          <w:p>
            <w:r>
              <w:rPr>
                <w:color w:val="1E293B"/>
                <w:sz w:val="18"/>
              </w:rPr>
              <w:t>100% parameterized SQL queries for SQLite and PostgREST client queries for Supabase. HTML sanitization against stored XSS.</w:t>
            </w:r>
          </w:p>
        </w:tc>
      </w:tr>
    </w:tbl>
    <w:p>
      <w:pPr>
        <w:spacing w:after="120"/>
      </w:pPr>
    </w:p>
    <w:p>
      <w:pPr>
        <w:keepNext/>
        <w:spacing w:before="280" w:after="80"/>
      </w:pPr>
      <w:r>
        <w:rPr>
          <w:b/>
          <w:color w:val="108C5F"/>
          <w:sz w:val="36"/>
        </w:rPr>
        <w:t>5. Automated Test Suite &amp; Quality Verification</w:t>
      </w:r>
    </w:p>
    <w:p>
      <w:pPr>
        <w:spacing w:after="120"/>
      </w:pPr>
      <w:r>
        <w:t>The platform maintains an automated test suite executed with pytest. All 56 tests pass with 100% success rate:</w:t>
      </w:r>
    </w:p>
    <w:tbl>
      <w:tblPr>
        <w:tblW w:type="auto" w:w="0"/>
        <w:jc w:val="center"/>
        <w:tblLook w:firstColumn="1" w:firstRow="1" w:lastColumn="0" w:lastRow="0" w:noHBand="0" w:noVBand="1" w:val="04A0"/>
      </w:tblPr>
      <w:tblGrid>
        <w:gridCol w:w="3120"/>
        <w:gridCol w:w="3120"/>
        <w:gridCol w:w="3120"/>
      </w:tblGrid>
      <w:tr>
        <w:tc>
          <w:tcPr>
            <w:tcW w:type="dxa" w:w="3600"/>
            <w:shd w:fill="0F5132"/>
            <w:tcMar>
              <w:top w:w="120" w:type="dxa"/>
              <w:bottom w:w="120" w:type="dxa"/>
              <w:left w:w="140" w:type="dxa"/>
              <w:right w:w="140" w:type="dxa"/>
            </w:tcMar>
          </w:tcPr>
          <w:p>
            <w:pPr>
              <w:jc w:val="left"/>
            </w:pPr>
            <w:r>
              <w:rPr>
                <w:b/>
                <w:color w:val="FFFFFF"/>
                <w:sz w:val="19"/>
              </w:rPr>
              <w:t>Test Suite File</w:t>
            </w:r>
          </w:p>
        </w:tc>
        <w:tc>
          <w:tcPr>
            <w:tcW w:type="dxa" w:w="1728"/>
            <w:shd w:fill="0F5132"/>
            <w:tcMar>
              <w:top w:w="120" w:type="dxa"/>
              <w:bottom w:w="120" w:type="dxa"/>
              <w:left w:w="140" w:type="dxa"/>
              <w:right w:w="140" w:type="dxa"/>
            </w:tcMar>
          </w:tcPr>
          <w:p>
            <w:pPr>
              <w:jc w:val="left"/>
            </w:pPr>
            <w:r>
              <w:rPr>
                <w:b/>
                <w:color w:val="FFFFFF"/>
                <w:sz w:val="19"/>
              </w:rPr>
              <w:t>Tests</w:t>
            </w:r>
          </w:p>
        </w:tc>
        <w:tc>
          <w:tcPr>
            <w:tcW w:type="dxa" w:w="4032"/>
            <w:shd w:fill="0F5132"/>
            <w:tcMar>
              <w:top w:w="120" w:type="dxa"/>
              <w:bottom w:w="120" w:type="dxa"/>
              <w:left w:w="140" w:type="dxa"/>
              <w:right w:w="140" w:type="dxa"/>
            </w:tcMar>
          </w:tcPr>
          <w:p>
            <w:pPr>
              <w:jc w:val="left"/>
            </w:pPr>
            <w:r>
              <w:rPr>
                <w:b/>
                <w:color w:val="FFFFFF"/>
                <w:sz w:val="19"/>
              </w:rPr>
              <w:t>Scope &amp; Coverage</w:t>
            </w:r>
          </w:p>
        </w:tc>
      </w:tr>
      <w:tr>
        <w:tc>
          <w:tcPr>
            <w:tcW w:type="dxa" w:w="3600"/>
            <w:shd w:fill="FFFFFF"/>
            <w:tcMar>
              <w:top w:w="100" w:type="dxa"/>
              <w:bottom w:w="100" w:type="dxa"/>
              <w:left w:w="140" w:type="dxa"/>
              <w:right w:w="140" w:type="dxa"/>
            </w:tcMar>
          </w:tcPr>
          <w:p>
            <w:r>
              <w:rPr>
                <w:color w:val="1E293B"/>
                <w:sz w:val="18"/>
              </w:rPr>
              <w:t>tests/test_api_endpoints.py</w:t>
            </w:r>
          </w:p>
        </w:tc>
        <w:tc>
          <w:tcPr>
            <w:tcW w:type="dxa" w:w="1728"/>
            <w:shd w:fill="FFFFFF"/>
            <w:tcMar>
              <w:top w:w="100" w:type="dxa"/>
              <w:bottom w:w="100" w:type="dxa"/>
              <w:left w:w="140" w:type="dxa"/>
              <w:right w:w="140" w:type="dxa"/>
            </w:tcMar>
          </w:tcPr>
          <w:p>
            <w:r>
              <w:rPr>
                <w:color w:val="1E293B"/>
                <w:sz w:val="18"/>
              </w:rPr>
              <w:t>10 Tests</w:t>
            </w:r>
          </w:p>
        </w:tc>
        <w:tc>
          <w:tcPr>
            <w:tcW w:type="dxa" w:w="4032"/>
            <w:shd w:fill="FFFFFF"/>
            <w:tcMar>
              <w:top w:w="100" w:type="dxa"/>
              <w:bottom w:w="100" w:type="dxa"/>
              <w:left w:w="140" w:type="dxa"/>
              <w:right w:w="140" w:type="dxa"/>
            </w:tcMar>
          </w:tcPr>
          <w:p>
            <w:r>
              <w:rPr>
                <w:color w:val="1E293B"/>
                <w:sz w:val="18"/>
              </w:rPr>
              <w:t>REST API contracts, benchmarks, ratios, stress testing, task tracker, cyber score.</w:t>
            </w:r>
          </w:p>
        </w:tc>
      </w:tr>
      <w:tr>
        <w:tc>
          <w:tcPr>
            <w:tcW w:type="dxa" w:w="3600"/>
            <w:shd w:fill="F8FAFC"/>
            <w:tcMar>
              <w:top w:w="100" w:type="dxa"/>
              <w:bottom w:w="100" w:type="dxa"/>
              <w:left w:w="140" w:type="dxa"/>
              <w:right w:w="140" w:type="dxa"/>
            </w:tcMar>
          </w:tcPr>
          <w:p>
            <w:r>
              <w:rPr>
                <w:color w:val="1E293B"/>
                <w:sz w:val="18"/>
              </w:rPr>
              <w:t>tests/test_audit_chain.py</w:t>
            </w:r>
          </w:p>
        </w:tc>
        <w:tc>
          <w:tcPr>
            <w:tcW w:type="dxa" w:w="1728"/>
            <w:shd w:fill="F8FAFC"/>
            <w:tcMar>
              <w:top w:w="100" w:type="dxa"/>
              <w:bottom w:w="100" w:type="dxa"/>
              <w:left w:w="140" w:type="dxa"/>
              <w:right w:w="140" w:type="dxa"/>
            </w:tcMar>
          </w:tcPr>
          <w:p>
            <w:r>
              <w:rPr>
                <w:color w:val="1E293B"/>
                <w:sz w:val="18"/>
              </w:rPr>
              <w:t>3 Tests</w:t>
            </w:r>
          </w:p>
        </w:tc>
        <w:tc>
          <w:tcPr>
            <w:tcW w:type="dxa" w:w="4032"/>
            <w:shd w:fill="F8FAFC"/>
            <w:tcMar>
              <w:top w:w="100" w:type="dxa"/>
              <w:bottom w:w="100" w:type="dxa"/>
              <w:left w:w="140" w:type="dxa"/>
              <w:right w:w="140" w:type="dxa"/>
            </w:tcMar>
          </w:tcPr>
          <w:p>
            <w:r>
              <w:rPr>
                <w:color w:val="1E293B"/>
                <w:sz w:val="18"/>
              </w:rPr>
              <w:t>Cryptographic SHA-256 chain integrity, append-only rules, tampering detection.</w:t>
            </w:r>
          </w:p>
        </w:tc>
      </w:tr>
      <w:tr>
        <w:tc>
          <w:tcPr>
            <w:tcW w:type="dxa" w:w="3600"/>
            <w:shd w:fill="FFFFFF"/>
            <w:tcMar>
              <w:top w:w="100" w:type="dxa"/>
              <w:bottom w:w="100" w:type="dxa"/>
              <w:left w:w="140" w:type="dxa"/>
              <w:right w:w="140" w:type="dxa"/>
            </w:tcMar>
          </w:tcPr>
          <w:p>
            <w:r>
              <w:rPr>
                <w:color w:val="1E293B"/>
                <w:sz w:val="18"/>
              </w:rPr>
              <w:t>tests/test_auth.py</w:t>
            </w:r>
          </w:p>
        </w:tc>
        <w:tc>
          <w:tcPr>
            <w:tcW w:type="dxa" w:w="1728"/>
            <w:shd w:fill="FFFFFF"/>
            <w:tcMar>
              <w:top w:w="100" w:type="dxa"/>
              <w:bottom w:w="100" w:type="dxa"/>
              <w:left w:w="140" w:type="dxa"/>
              <w:right w:w="140" w:type="dxa"/>
            </w:tcMar>
          </w:tcPr>
          <w:p>
            <w:r>
              <w:rPr>
                <w:color w:val="1E293B"/>
                <w:sz w:val="18"/>
              </w:rPr>
              <w:t>10 Tests</w:t>
            </w:r>
          </w:p>
        </w:tc>
        <w:tc>
          <w:tcPr>
            <w:tcW w:type="dxa" w:w="4032"/>
            <w:shd w:fill="FFFFFF"/>
            <w:tcMar>
              <w:top w:w="100" w:type="dxa"/>
              <w:bottom w:w="100" w:type="dxa"/>
              <w:left w:w="140" w:type="dxa"/>
              <w:right w:w="140" w:type="dxa"/>
            </w:tcMar>
          </w:tcPr>
          <w:p>
            <w:r>
              <w:rPr>
                <w:color w:val="1E293B"/>
                <w:sz w:val="18"/>
              </w:rPr>
              <w:t>Registration, Bcrypt hashing, JWT issuance, RBAC admin protection, Google OAuth SSO.</w:t>
            </w:r>
          </w:p>
        </w:tc>
      </w:tr>
      <w:tr>
        <w:tc>
          <w:tcPr>
            <w:tcW w:type="dxa" w:w="3600"/>
            <w:shd w:fill="F8FAFC"/>
            <w:tcMar>
              <w:top w:w="100" w:type="dxa"/>
              <w:bottom w:w="100" w:type="dxa"/>
              <w:left w:w="140" w:type="dxa"/>
              <w:right w:w="140" w:type="dxa"/>
            </w:tcMar>
          </w:tcPr>
          <w:p>
            <w:r>
              <w:rPr>
                <w:color w:val="1E293B"/>
                <w:sz w:val="18"/>
              </w:rPr>
              <w:t>tests/test_engines.py</w:t>
            </w:r>
          </w:p>
        </w:tc>
        <w:tc>
          <w:tcPr>
            <w:tcW w:type="dxa" w:w="1728"/>
            <w:shd w:fill="F8FAFC"/>
            <w:tcMar>
              <w:top w:w="100" w:type="dxa"/>
              <w:bottom w:w="100" w:type="dxa"/>
              <w:left w:w="140" w:type="dxa"/>
              <w:right w:w="140" w:type="dxa"/>
            </w:tcMar>
          </w:tcPr>
          <w:p>
            <w:r>
              <w:rPr>
                <w:color w:val="1E293B"/>
                <w:sz w:val="18"/>
              </w:rPr>
              <w:t>5 Tests</w:t>
            </w:r>
          </w:p>
        </w:tc>
        <w:tc>
          <w:tcPr>
            <w:tcW w:type="dxa" w:w="4032"/>
            <w:shd w:fill="F8FAFC"/>
            <w:tcMar>
              <w:top w:w="100" w:type="dxa"/>
              <w:bottom w:w="100" w:type="dxa"/>
              <w:left w:w="140" w:type="dxa"/>
              <w:right w:w="140" w:type="dxa"/>
            </w:tcMar>
          </w:tcPr>
          <w:p>
            <w:r>
              <w:rPr>
                <w:color w:val="1E293B"/>
                <w:sz w:val="18"/>
              </w:rPr>
              <w:t>ISO 31000 rule priorities, macroeconomic stress shocks, waterfall score decomposition.</w:t>
            </w:r>
          </w:p>
        </w:tc>
      </w:tr>
      <w:tr>
        <w:tc>
          <w:tcPr>
            <w:tcW w:type="dxa" w:w="3600"/>
            <w:shd w:fill="FFFFFF"/>
            <w:tcMar>
              <w:top w:w="100" w:type="dxa"/>
              <w:bottom w:w="100" w:type="dxa"/>
              <w:left w:w="140" w:type="dxa"/>
              <w:right w:w="140" w:type="dxa"/>
            </w:tcMar>
          </w:tcPr>
          <w:p>
            <w:r>
              <w:rPr>
                <w:color w:val="1E293B"/>
                <w:sz w:val="18"/>
              </w:rPr>
              <w:t>tests/test_financial_ratios.py</w:t>
            </w:r>
          </w:p>
        </w:tc>
        <w:tc>
          <w:tcPr>
            <w:tcW w:type="dxa" w:w="1728"/>
            <w:shd w:fill="FFFFFF"/>
            <w:tcMar>
              <w:top w:w="100" w:type="dxa"/>
              <w:bottom w:w="100" w:type="dxa"/>
              <w:left w:w="140" w:type="dxa"/>
              <w:right w:w="140" w:type="dxa"/>
            </w:tcMar>
          </w:tcPr>
          <w:p>
            <w:r>
              <w:rPr>
                <w:color w:val="1E293B"/>
                <w:sz w:val="18"/>
              </w:rPr>
              <w:t>8 Tests</w:t>
            </w:r>
          </w:p>
        </w:tc>
        <w:tc>
          <w:tcPr>
            <w:tcW w:type="dxa" w:w="4032"/>
            <w:shd w:fill="FFFFFF"/>
            <w:tcMar>
              <w:top w:w="100" w:type="dxa"/>
              <w:bottom w:w="100" w:type="dxa"/>
              <w:left w:w="140" w:type="dxa"/>
              <w:right w:w="140" w:type="dxa"/>
            </w:tcMar>
          </w:tcPr>
          <w:p>
            <w:r>
              <w:rPr>
                <w:color w:val="1E293B"/>
                <w:sz w:val="18"/>
              </w:rPr>
              <w:t>14 financial ratios, Altman Z-Score zones, zero-division math guards, benchmarks.</w:t>
            </w:r>
          </w:p>
        </w:tc>
      </w:tr>
      <w:tr>
        <w:tc>
          <w:tcPr>
            <w:tcW w:type="dxa" w:w="3600"/>
            <w:shd w:fill="F8FAFC"/>
            <w:tcMar>
              <w:top w:w="100" w:type="dxa"/>
              <w:bottom w:w="100" w:type="dxa"/>
              <w:left w:w="140" w:type="dxa"/>
              <w:right w:w="140" w:type="dxa"/>
            </w:tcMar>
          </w:tcPr>
          <w:p>
            <w:r>
              <w:rPr>
                <w:color w:val="1E293B"/>
                <w:sz w:val="18"/>
              </w:rPr>
              <w:t>tests/test_monte_carlo.py</w:t>
            </w:r>
          </w:p>
        </w:tc>
        <w:tc>
          <w:tcPr>
            <w:tcW w:type="dxa" w:w="1728"/>
            <w:shd w:fill="F8FAFC"/>
            <w:tcMar>
              <w:top w:w="100" w:type="dxa"/>
              <w:bottom w:w="100" w:type="dxa"/>
              <w:left w:w="140" w:type="dxa"/>
              <w:right w:w="140" w:type="dxa"/>
            </w:tcMar>
          </w:tcPr>
          <w:p>
            <w:r>
              <w:rPr>
                <w:color w:val="1E293B"/>
                <w:sz w:val="18"/>
              </w:rPr>
              <w:t>3 Tests</w:t>
            </w:r>
          </w:p>
        </w:tc>
        <w:tc>
          <w:tcPr>
            <w:tcW w:type="dxa" w:w="4032"/>
            <w:shd w:fill="F8FAFC"/>
            <w:tcMar>
              <w:top w:w="100" w:type="dxa"/>
              <w:bottom w:w="100" w:type="dxa"/>
              <w:left w:w="140" w:type="dxa"/>
              <w:right w:w="140" w:type="dxa"/>
            </w:tcMar>
          </w:tcPr>
          <w:p>
            <w:r>
              <w:rPr>
                <w:color w:val="1E293B"/>
                <w:sz w:val="18"/>
              </w:rPr>
              <w:t>Statistical monotonicity (Mean &lt;= VaR95 &lt;= Worst), reproducible seeds.</w:t>
            </w:r>
          </w:p>
        </w:tc>
      </w:tr>
      <w:tr>
        <w:tc>
          <w:tcPr>
            <w:tcW w:type="dxa" w:w="3600"/>
            <w:shd w:fill="FFFFFF"/>
            <w:tcMar>
              <w:top w:w="100" w:type="dxa"/>
              <w:bottom w:w="100" w:type="dxa"/>
              <w:left w:w="140" w:type="dxa"/>
              <w:right w:w="140" w:type="dxa"/>
            </w:tcMar>
          </w:tcPr>
          <w:p>
            <w:r>
              <w:rPr>
                <w:color w:val="1E293B"/>
                <w:sz w:val="18"/>
              </w:rPr>
              <w:t>tests/test_security.py</w:t>
            </w:r>
          </w:p>
        </w:tc>
        <w:tc>
          <w:tcPr>
            <w:tcW w:type="dxa" w:w="1728"/>
            <w:shd w:fill="FFFFFF"/>
            <w:tcMar>
              <w:top w:w="100" w:type="dxa"/>
              <w:bottom w:w="100" w:type="dxa"/>
              <w:left w:w="140" w:type="dxa"/>
              <w:right w:w="140" w:type="dxa"/>
            </w:tcMar>
          </w:tcPr>
          <w:p>
            <w:r>
              <w:rPr>
                <w:color w:val="1E293B"/>
                <w:sz w:val="18"/>
              </w:rPr>
              <w:t>17 Tests</w:t>
            </w:r>
          </w:p>
        </w:tc>
        <w:tc>
          <w:tcPr>
            <w:tcW w:type="dxa" w:w="4032"/>
            <w:shd w:fill="FFFFFF"/>
            <w:tcMar>
              <w:top w:w="100" w:type="dxa"/>
              <w:bottom w:w="100" w:type="dxa"/>
              <w:left w:w="140" w:type="dxa"/>
              <w:right w:w="140" w:type="dxa"/>
            </w:tcMar>
          </w:tcPr>
          <w:p>
            <w:r>
              <w:rPr>
                <w:color w:val="1E293B"/>
                <w:sz w:val="18"/>
              </w:rPr>
              <w:t>OWASP headers, rate limiting, traversal blocks, server banner masking.</w:t>
            </w:r>
          </w:p>
        </w:tc>
      </w:tr>
      <w:tr>
        <w:tc>
          <w:tcPr>
            <w:tcW w:type="dxa" w:w="3600"/>
            <w:shd w:fill="F8FAFC"/>
            <w:tcMar>
              <w:top w:w="100" w:type="dxa"/>
              <w:bottom w:w="100" w:type="dxa"/>
              <w:left w:w="140" w:type="dxa"/>
              <w:right w:w="140" w:type="dxa"/>
            </w:tcMar>
          </w:tcPr>
          <w:p>
            <w:r>
              <w:rPr>
                <w:color w:val="1E293B"/>
                <w:sz w:val="18"/>
              </w:rPr>
              <w:t>TOTAL VERIFIED PASSING</w:t>
            </w:r>
          </w:p>
        </w:tc>
        <w:tc>
          <w:tcPr>
            <w:tcW w:type="dxa" w:w="1728"/>
            <w:shd w:fill="F8FAFC"/>
            <w:tcMar>
              <w:top w:w="100" w:type="dxa"/>
              <w:bottom w:w="100" w:type="dxa"/>
              <w:left w:w="140" w:type="dxa"/>
              <w:right w:w="140" w:type="dxa"/>
            </w:tcMar>
          </w:tcPr>
          <w:p>
            <w:r>
              <w:rPr>
                <w:color w:val="1E293B"/>
                <w:sz w:val="18"/>
              </w:rPr>
              <w:t>56 / 56</w:t>
            </w:r>
          </w:p>
        </w:tc>
        <w:tc>
          <w:tcPr>
            <w:tcW w:type="dxa" w:w="4032"/>
            <w:shd w:fill="F8FAFC"/>
            <w:tcMar>
              <w:top w:w="100" w:type="dxa"/>
              <w:bottom w:w="100" w:type="dxa"/>
              <w:left w:w="140" w:type="dxa"/>
              <w:right w:w="140" w:type="dxa"/>
            </w:tcMar>
          </w:tcPr>
          <w:p>
            <w:r>
              <w:rPr>
                <w:color w:val="1E293B"/>
                <w:sz w:val="18"/>
              </w:rPr>
              <w:t>100% Pass Rate across all unit and integration tests.</w:t>
            </w:r>
          </w:p>
        </w:tc>
      </w:tr>
    </w:tbl>
    <w:p>
      <w:pPr>
        <w:spacing w:after="120"/>
      </w:pPr>
    </w:p>
    <w:p>
      <w:pPr>
        <w:keepNext/>
        <w:spacing w:before="280" w:after="80"/>
      </w:pPr>
      <w:r>
        <w:rPr>
          <w:b/>
          <w:color w:val="108C5F"/>
          <w:sz w:val="36"/>
        </w:rPr>
        <w:t>6. Pre-Seeded Demonstration Credentials</w:t>
      </w:r>
    </w:p>
    <w:p>
      <w:pPr>
        <w:spacing w:after="120"/>
      </w:pPr>
      <w:r>
        <w:t>For live evaluation, examination, or viva demonstrations, use these pre-seeded accounts:</w:t>
      </w:r>
    </w:p>
    <w:tbl>
      <w:tblPr>
        <w:tblW w:type="auto" w:w="0"/>
        <w:jc w:val="center"/>
        <w:tblLook w:firstColumn="1" w:firstRow="1" w:lastColumn="0" w:lastRow="0" w:noHBand="0" w:noVBand="1" w:val="04A0"/>
      </w:tblPr>
      <w:tblGrid>
        <w:gridCol w:w="2340"/>
        <w:gridCol w:w="2340"/>
        <w:gridCol w:w="2340"/>
        <w:gridCol w:w="2340"/>
      </w:tblGrid>
      <w:tr>
        <w:tc>
          <w:tcPr>
            <w:tcW w:type="dxa" w:w="2880"/>
            <w:shd w:fill="0F5132"/>
            <w:tcMar>
              <w:top w:w="120" w:type="dxa"/>
              <w:bottom w:w="120" w:type="dxa"/>
              <w:left w:w="140" w:type="dxa"/>
              <w:right w:w="140" w:type="dxa"/>
            </w:tcMar>
          </w:tcPr>
          <w:p>
            <w:pPr>
              <w:jc w:val="left"/>
            </w:pPr>
            <w:r>
              <w:rPr>
                <w:b/>
                <w:color w:val="FFFFFF"/>
                <w:sz w:val="19"/>
              </w:rPr>
              <w:t>Persona Role</w:t>
            </w:r>
          </w:p>
        </w:tc>
        <w:tc>
          <w:tcPr>
            <w:tcW w:type="dxa" w:w="1728"/>
            <w:shd w:fill="0F5132"/>
            <w:tcMar>
              <w:top w:w="120" w:type="dxa"/>
              <w:bottom w:w="120" w:type="dxa"/>
              <w:left w:w="140" w:type="dxa"/>
              <w:right w:w="140" w:type="dxa"/>
            </w:tcMar>
          </w:tcPr>
          <w:p>
            <w:pPr>
              <w:jc w:val="left"/>
            </w:pPr>
            <w:r>
              <w:rPr>
                <w:b/>
                <w:color w:val="FFFFFF"/>
                <w:sz w:val="19"/>
              </w:rPr>
              <w:t>Role Code</w:t>
            </w:r>
          </w:p>
        </w:tc>
        <w:tc>
          <w:tcPr>
            <w:tcW w:type="dxa" w:w="2592"/>
            <w:shd w:fill="0F5132"/>
            <w:tcMar>
              <w:top w:w="120" w:type="dxa"/>
              <w:bottom w:w="120" w:type="dxa"/>
              <w:left w:w="140" w:type="dxa"/>
              <w:right w:w="140" w:type="dxa"/>
            </w:tcMar>
          </w:tcPr>
          <w:p>
            <w:pPr>
              <w:jc w:val="left"/>
            </w:pPr>
            <w:r>
              <w:rPr>
                <w:b/>
                <w:color w:val="FFFFFF"/>
                <w:sz w:val="19"/>
              </w:rPr>
              <w:t>Email</w:t>
            </w:r>
          </w:p>
        </w:tc>
        <w:tc>
          <w:tcPr>
            <w:tcW w:type="dxa" w:w="2160"/>
            <w:shd w:fill="0F5132"/>
            <w:tcMar>
              <w:top w:w="120" w:type="dxa"/>
              <w:bottom w:w="120" w:type="dxa"/>
              <w:left w:w="140" w:type="dxa"/>
              <w:right w:w="140" w:type="dxa"/>
            </w:tcMar>
          </w:tcPr>
          <w:p>
            <w:pPr>
              <w:jc w:val="left"/>
            </w:pPr>
            <w:r>
              <w:rPr>
                <w:b/>
                <w:color w:val="FFFFFF"/>
                <w:sz w:val="19"/>
              </w:rPr>
              <w:t>Password</w:t>
            </w:r>
          </w:p>
        </w:tc>
      </w:tr>
      <w:tr>
        <w:tc>
          <w:tcPr>
            <w:tcW w:type="dxa" w:w="2880"/>
            <w:shd w:fill="FFFFFF"/>
            <w:tcMar>
              <w:top w:w="100" w:type="dxa"/>
              <w:bottom w:w="100" w:type="dxa"/>
              <w:left w:w="140" w:type="dxa"/>
              <w:right w:w="140" w:type="dxa"/>
            </w:tcMar>
          </w:tcPr>
          <w:p>
            <w:r>
              <w:rPr>
                <w:color w:val="1E293B"/>
                <w:sz w:val="18"/>
              </w:rPr>
              <w:t>Super Admin (CRO)</w:t>
            </w:r>
          </w:p>
        </w:tc>
        <w:tc>
          <w:tcPr>
            <w:tcW w:type="dxa" w:w="1728"/>
            <w:shd w:fill="FFFFFF"/>
            <w:tcMar>
              <w:top w:w="100" w:type="dxa"/>
              <w:bottom w:w="100" w:type="dxa"/>
              <w:left w:w="140" w:type="dxa"/>
              <w:right w:w="140" w:type="dxa"/>
            </w:tcMar>
          </w:tcPr>
          <w:p>
            <w:r>
              <w:rPr>
                <w:color w:val="1E293B"/>
                <w:sz w:val="18"/>
              </w:rPr>
              <w:t>admin</w:t>
            </w:r>
          </w:p>
        </w:tc>
        <w:tc>
          <w:tcPr>
            <w:tcW w:type="dxa" w:w="2592"/>
            <w:shd w:fill="FFFFFF"/>
            <w:tcMar>
              <w:top w:w="100" w:type="dxa"/>
              <w:bottom w:w="100" w:type="dxa"/>
              <w:left w:w="140" w:type="dxa"/>
              <w:right w:w="140" w:type="dxa"/>
            </w:tcMar>
          </w:tcPr>
          <w:p>
            <w:r>
              <w:rPr>
                <w:color w:val="1E293B"/>
                <w:sz w:val="18"/>
              </w:rPr>
              <w:t>admin@riskguard.pro</w:t>
            </w:r>
          </w:p>
        </w:tc>
        <w:tc>
          <w:tcPr>
            <w:tcW w:type="dxa" w:w="2160"/>
            <w:shd w:fill="FFFFFF"/>
            <w:tcMar>
              <w:top w:w="100" w:type="dxa"/>
              <w:bottom w:w="100" w:type="dxa"/>
              <w:left w:w="140" w:type="dxa"/>
              <w:right w:w="140" w:type="dxa"/>
            </w:tcMar>
          </w:tcPr>
          <w:p>
            <w:r>
              <w:rPr>
                <w:color w:val="1E293B"/>
                <w:sz w:val="18"/>
              </w:rPr>
              <w:t>password123 (or AdminPassword123!)</w:t>
            </w:r>
          </w:p>
        </w:tc>
      </w:tr>
      <w:tr>
        <w:tc>
          <w:tcPr>
            <w:tcW w:type="dxa" w:w="2880"/>
            <w:shd w:fill="F8FAFC"/>
            <w:tcMar>
              <w:top w:w="100" w:type="dxa"/>
              <w:bottom w:w="100" w:type="dxa"/>
              <w:left w:w="140" w:type="dxa"/>
              <w:right w:w="140" w:type="dxa"/>
            </w:tcMar>
          </w:tcPr>
          <w:p>
            <w:r>
              <w:rPr>
                <w:color w:val="1E293B"/>
                <w:sz w:val="18"/>
              </w:rPr>
              <w:t>Lead Risk Analyst</w:t>
            </w:r>
          </w:p>
        </w:tc>
        <w:tc>
          <w:tcPr>
            <w:tcW w:type="dxa" w:w="1728"/>
            <w:shd w:fill="F8FAFC"/>
            <w:tcMar>
              <w:top w:w="100" w:type="dxa"/>
              <w:bottom w:w="100" w:type="dxa"/>
              <w:left w:w="140" w:type="dxa"/>
              <w:right w:w="140" w:type="dxa"/>
            </w:tcMar>
          </w:tcPr>
          <w:p>
            <w:r>
              <w:rPr>
                <w:color w:val="1E293B"/>
                <w:sz w:val="18"/>
              </w:rPr>
              <w:t>user</w:t>
            </w:r>
          </w:p>
        </w:tc>
        <w:tc>
          <w:tcPr>
            <w:tcW w:type="dxa" w:w="2592"/>
            <w:shd w:fill="F8FAFC"/>
            <w:tcMar>
              <w:top w:w="100" w:type="dxa"/>
              <w:bottom w:w="100" w:type="dxa"/>
              <w:left w:w="140" w:type="dxa"/>
              <w:right w:w="140" w:type="dxa"/>
            </w:tcMar>
          </w:tcPr>
          <w:p>
            <w:r>
              <w:rPr>
                <w:color w:val="1E293B"/>
                <w:sz w:val="18"/>
              </w:rPr>
              <w:t>analyst@riskguard.pro</w:t>
            </w:r>
          </w:p>
        </w:tc>
        <w:tc>
          <w:tcPr>
            <w:tcW w:type="dxa" w:w="2160"/>
            <w:shd w:fill="F8FAFC"/>
            <w:tcMar>
              <w:top w:w="100" w:type="dxa"/>
              <w:bottom w:w="100" w:type="dxa"/>
              <w:left w:w="140" w:type="dxa"/>
              <w:right w:w="140" w:type="dxa"/>
            </w:tcMar>
          </w:tcPr>
          <w:p>
            <w:r>
              <w:rPr>
                <w:color w:val="1E293B"/>
                <w:sz w:val="18"/>
              </w:rPr>
              <w:t>password123 (or AnalystPass123!)</w:t>
            </w:r>
          </w:p>
        </w:tc>
      </w:tr>
      <w:tr>
        <w:tc>
          <w:tcPr>
            <w:tcW w:type="dxa" w:w="2880"/>
            <w:shd w:fill="FFFFFF"/>
            <w:tcMar>
              <w:top w:w="100" w:type="dxa"/>
              <w:bottom w:w="100" w:type="dxa"/>
              <w:left w:w="140" w:type="dxa"/>
              <w:right w:w="140" w:type="dxa"/>
            </w:tcMar>
          </w:tcPr>
          <w:p>
            <w:r>
              <w:rPr>
                <w:color w:val="1E293B"/>
                <w:sz w:val="18"/>
              </w:rPr>
              <w:t>Google SSO User</w:t>
            </w:r>
          </w:p>
        </w:tc>
        <w:tc>
          <w:tcPr>
            <w:tcW w:type="dxa" w:w="1728"/>
            <w:shd w:fill="FFFFFF"/>
            <w:tcMar>
              <w:top w:w="100" w:type="dxa"/>
              <w:bottom w:w="100" w:type="dxa"/>
              <w:left w:w="140" w:type="dxa"/>
              <w:right w:w="140" w:type="dxa"/>
            </w:tcMar>
          </w:tcPr>
          <w:p>
            <w:r>
              <w:rPr>
                <w:color w:val="1E293B"/>
                <w:sz w:val="18"/>
              </w:rPr>
              <w:t>admin / user</w:t>
            </w:r>
          </w:p>
        </w:tc>
        <w:tc>
          <w:tcPr>
            <w:tcW w:type="dxa" w:w="2592"/>
            <w:shd w:fill="FFFFFF"/>
            <w:tcMar>
              <w:top w:w="100" w:type="dxa"/>
              <w:bottom w:w="100" w:type="dxa"/>
              <w:left w:w="140" w:type="dxa"/>
              <w:right w:w="140" w:type="dxa"/>
            </w:tcMar>
          </w:tcPr>
          <w:p>
            <w:r>
              <w:rPr>
                <w:color w:val="1E293B"/>
                <w:sz w:val="18"/>
              </w:rPr>
              <w:t>Any Google Email</w:t>
            </w:r>
          </w:p>
        </w:tc>
        <w:tc>
          <w:tcPr>
            <w:tcW w:type="dxa" w:w="2160"/>
            <w:shd w:fill="FFFFFF"/>
            <w:tcMar>
              <w:top w:w="100" w:type="dxa"/>
              <w:bottom w:w="100" w:type="dxa"/>
              <w:left w:w="140" w:type="dxa"/>
              <w:right w:w="140" w:type="dxa"/>
            </w:tcMar>
          </w:tcPr>
          <w:p>
            <w:r>
              <w:rPr>
                <w:color w:val="1E293B"/>
                <w:sz w:val="18"/>
              </w:rPr>
              <w:t>OAuth 2.0 Token Exchange</w:t>
            </w:r>
          </w:p>
        </w:tc>
      </w:tr>
    </w:tbl>
    <w:p>
      <w:pPr>
        <w:spacing w:after="120"/>
      </w:pPr>
    </w:p>
    <w:tbl>
      <w:tblPr>
        <w:tblW w:type="auto" w:w="0"/>
        <w:jc w:val="center"/>
        <w:tblLook w:firstColumn="1" w:firstRow="1" w:lastColumn="0" w:lastRow="0" w:noHBand="0" w:noVBand="1" w:val="04A0"/>
      </w:tblPr>
      <w:tblGrid>
        <w:gridCol w:w="9360"/>
      </w:tblGrid>
      <w:tr>
        <w:tc>
          <w:tcPr>
            <w:tcW w:type="dxa" w:w="9360"/>
            <w:shd w:fill="F0FDF4"/>
            <w:tcMar>
              <w:top w:w="140" w:type="dxa"/>
              <w:bottom w:w="140" w:type="dxa"/>
              <w:left w:w="200" w:type="dxa"/>
              <w:right w:w="200" w:type="dxa"/>
            </w:tcMar>
          </w:tcPr>
          <w:p>
            <w:pPr>
              <w:spacing w:after="40"/>
            </w:pPr>
            <w:r>
              <w:rPr>
                <w:b/>
                <w:color w:val="108C5F"/>
                <w:sz w:val="19"/>
              </w:rPr>
              <w:t>■ EXAMINER TIP</w:t>
              <w:br/>
            </w:r>
            <w:r>
              <w:rPr>
                <w:color w:val="1E293B"/>
                <w:sz w:val="19"/>
              </w:rPr>
              <w:t>One-Click Demo Login: On the live login page (/auth.html), click the discreet button '👑 Admin Demo Fill' to automatically populate the fields with admin@riskguard.pro / password123 and sign in instantly.</w:t>
            </w:r>
          </w:p>
        </w:tc>
      </w:tr>
    </w:tbl>
    <w:p>
      <w:pPr>
        <w:spacing w:after="120"/>
      </w:pPr>
    </w:p>
    <w:p>
      <w:pPr>
        <w:keepNext/>
        <w:spacing w:before="280" w:after="80"/>
      </w:pPr>
      <w:r>
        <w:rPr>
          <w:b/>
          <w:color w:val="108C5F"/>
          <w:sz w:val="36"/>
        </w:rPr>
        <w:t>7. 5-Minute Examiner / Viva Demonstration Walkthrough</w:t>
      </w:r>
    </w:p>
    <w:p>
      <w:pPr>
        <w:spacing w:after="120"/>
      </w:pPr>
      <w:r>
        <w:t>Follow this chronological 5-minute script when presenting to your Professor / Examiner:</w:t>
      </w:r>
    </w:p>
    <w:tbl>
      <w:tblPr>
        <w:tblW w:type="auto" w:w="0"/>
        <w:jc w:val="center"/>
        <w:tblLook w:firstColumn="1" w:firstRow="1" w:lastColumn="0" w:lastRow="0" w:noHBand="0" w:noVBand="1" w:val="04A0"/>
      </w:tblPr>
      <w:tblGrid>
        <w:gridCol w:w="4680"/>
        <w:gridCol w:w="4680"/>
      </w:tblGrid>
      <w:tr>
        <w:tc>
          <w:tcPr>
            <w:tcW w:type="dxa" w:w="1728"/>
            <w:shd w:fill="0F5132"/>
            <w:tcMar>
              <w:top w:w="120" w:type="dxa"/>
              <w:bottom w:w="120" w:type="dxa"/>
              <w:left w:w="140" w:type="dxa"/>
              <w:right w:w="140" w:type="dxa"/>
            </w:tcMar>
          </w:tcPr>
          <w:p>
            <w:pPr>
              <w:jc w:val="left"/>
            </w:pPr>
            <w:r>
              <w:rPr>
                <w:b/>
                <w:color w:val="FFFFFF"/>
                <w:sz w:val="19"/>
              </w:rPr>
              <w:t>Timeline</w:t>
            </w:r>
          </w:p>
        </w:tc>
        <w:tc>
          <w:tcPr>
            <w:tcW w:type="dxa" w:w="7632"/>
            <w:shd w:fill="0F5132"/>
            <w:tcMar>
              <w:top w:w="120" w:type="dxa"/>
              <w:bottom w:w="120" w:type="dxa"/>
              <w:left w:w="140" w:type="dxa"/>
              <w:right w:w="140" w:type="dxa"/>
            </w:tcMar>
          </w:tcPr>
          <w:p>
            <w:pPr>
              <w:jc w:val="left"/>
            </w:pPr>
            <w:r>
              <w:rPr>
                <w:b/>
                <w:color w:val="FFFFFF"/>
                <w:sz w:val="19"/>
              </w:rPr>
              <w:t>Action &amp; Narrative</w:t>
            </w:r>
          </w:p>
        </w:tc>
      </w:tr>
      <w:tr>
        <w:tc>
          <w:tcPr>
            <w:tcW w:type="dxa" w:w="1728"/>
            <w:shd w:fill="FFFFFF"/>
            <w:tcMar>
              <w:top w:w="100" w:type="dxa"/>
              <w:bottom w:w="100" w:type="dxa"/>
              <w:left w:w="140" w:type="dxa"/>
              <w:right w:w="140" w:type="dxa"/>
            </w:tcMar>
          </w:tcPr>
          <w:p>
            <w:r>
              <w:rPr>
                <w:color w:val="1E293B"/>
                <w:sz w:val="18"/>
              </w:rPr>
              <w:t>0:00 - 0:45</w:t>
            </w:r>
          </w:p>
        </w:tc>
        <w:tc>
          <w:tcPr>
            <w:tcW w:type="dxa" w:w="7632"/>
            <w:shd w:fill="FFFFFF"/>
            <w:tcMar>
              <w:top w:w="100" w:type="dxa"/>
              <w:bottom w:w="100" w:type="dxa"/>
              <w:left w:w="140" w:type="dxa"/>
              <w:right w:w="140" w:type="dxa"/>
            </w:tcMar>
          </w:tcPr>
          <w:p>
            <w:r>
              <w:rPr>
                <w:color w:val="1E293B"/>
                <w:sz w:val="18"/>
              </w:rPr>
              <w:t>Introduction: Introduce RiskGuard Pro as an ISO 31000:2018 compliant quantitative enterprise risk platform. Show the landing page and explain the dual-engine architecture (Supabase PostgreSQL + High-Availability SQLite WAL).</w:t>
            </w:r>
          </w:p>
        </w:tc>
      </w:tr>
      <w:tr>
        <w:tc>
          <w:tcPr>
            <w:tcW w:type="dxa" w:w="1728"/>
            <w:shd w:fill="F8FAFC"/>
            <w:tcMar>
              <w:top w:w="100" w:type="dxa"/>
              <w:bottom w:w="100" w:type="dxa"/>
              <w:left w:w="140" w:type="dxa"/>
              <w:right w:w="140" w:type="dxa"/>
            </w:tcMar>
          </w:tcPr>
          <w:p>
            <w:r>
              <w:rPr>
                <w:color w:val="1E293B"/>
                <w:sz w:val="18"/>
              </w:rPr>
              <w:t>0:45 - 1:45</w:t>
            </w:r>
          </w:p>
        </w:tc>
        <w:tc>
          <w:tcPr>
            <w:tcW w:type="dxa" w:w="7632"/>
            <w:shd w:fill="F8FAFC"/>
            <w:tcMar>
              <w:top w:w="100" w:type="dxa"/>
              <w:bottom w:w="100" w:type="dxa"/>
              <w:left w:w="140" w:type="dxa"/>
              <w:right w:w="140" w:type="dxa"/>
            </w:tcMar>
          </w:tcPr>
          <w:p>
            <w:r>
              <w:rPr>
                <w:color w:val="1E293B"/>
                <w:sz w:val="18"/>
              </w:rPr>
              <w:t>Auth &amp; 3D Spatial Topology: Log in using '👑 Admin Demo Fill'. Show the Executive Overview: Health Score, VaR Exposure, and the Three.js 3D Threat Mesh. Demonstrate Isometric 3D, Top Plan, and Auto-Rotate controls. Point out the '🟢 Database Online [Active WAL]' indicator.</w:t>
            </w:r>
          </w:p>
        </w:tc>
      </w:tr>
      <w:tr>
        <w:tc>
          <w:tcPr>
            <w:tcW w:type="dxa" w:w="1728"/>
            <w:shd w:fill="FFFFFF"/>
            <w:tcMar>
              <w:top w:w="100" w:type="dxa"/>
              <w:bottom w:w="100" w:type="dxa"/>
              <w:left w:w="140" w:type="dxa"/>
              <w:right w:w="140" w:type="dxa"/>
            </w:tcMar>
          </w:tcPr>
          <w:p>
            <w:r>
              <w:rPr>
                <w:color w:val="1E293B"/>
                <w:sz w:val="18"/>
              </w:rPr>
              <w:t>1:45 - 2:45</w:t>
            </w:r>
          </w:p>
        </w:tc>
        <w:tc>
          <w:tcPr>
            <w:tcW w:type="dxa" w:w="7632"/>
            <w:shd w:fill="FFFFFF"/>
            <w:tcMar>
              <w:top w:w="100" w:type="dxa"/>
              <w:bottom w:w="100" w:type="dxa"/>
              <w:left w:w="140" w:type="dxa"/>
              <w:right w:w="140" w:type="dxa"/>
            </w:tcMar>
          </w:tcPr>
          <w:p>
            <w:r>
              <w:rPr>
                <w:color w:val="1E293B"/>
                <w:sz w:val="18"/>
              </w:rPr>
              <w:t>8-Step Wizard &amp; Altman Z-Score: Open the 8-Step Wizard. In Step 3 (Financial Statements), alter balance sheet numbers and showcase the live calculation of 14 ratios, Damodaran benchmark comparison, and the Altman Z-Score Solvency Badge.</w:t>
            </w:r>
          </w:p>
        </w:tc>
      </w:tr>
      <w:tr>
        <w:tc>
          <w:tcPr>
            <w:tcW w:type="dxa" w:w="1728"/>
            <w:shd w:fill="F8FAFC"/>
            <w:tcMar>
              <w:top w:w="100" w:type="dxa"/>
              <w:bottom w:w="100" w:type="dxa"/>
              <w:left w:w="140" w:type="dxa"/>
              <w:right w:w="140" w:type="dxa"/>
            </w:tcMar>
          </w:tcPr>
          <w:p>
            <w:r>
              <w:rPr>
                <w:color w:val="1E293B"/>
                <w:sz w:val="18"/>
              </w:rPr>
              <w:t>2:45 - 3:45</w:t>
            </w:r>
          </w:p>
        </w:tc>
        <w:tc>
          <w:tcPr>
            <w:tcW w:type="dxa" w:w="7632"/>
            <w:shd w:fill="F8FAFC"/>
            <w:tcMar>
              <w:top w:w="100" w:type="dxa"/>
              <w:bottom w:w="100" w:type="dxa"/>
              <w:left w:w="140" w:type="dxa"/>
              <w:right w:w="140" w:type="dxa"/>
            </w:tcMar>
          </w:tcPr>
          <w:p>
            <w:r>
              <w:rPr>
                <w:color w:val="1E293B"/>
                <w:sz w:val="18"/>
              </w:rPr>
              <w:t>Quantitative Monte Carlo Simulation: Go to Analytics Tab. Run 10,000 iterations. Explain why Log-Normal severity captures tail risk and show the mathematical ordering (Mean Loss &lt;= 95% VaR &lt;= Worst Case).</w:t>
            </w:r>
          </w:p>
        </w:tc>
      </w:tr>
      <w:tr>
        <w:tc>
          <w:tcPr>
            <w:tcW w:type="dxa" w:w="1728"/>
            <w:shd w:fill="FFFFFF"/>
            <w:tcMar>
              <w:top w:w="100" w:type="dxa"/>
              <w:bottom w:w="100" w:type="dxa"/>
              <w:left w:w="140" w:type="dxa"/>
              <w:right w:w="140" w:type="dxa"/>
            </w:tcMar>
          </w:tcPr>
          <w:p>
            <w:r>
              <w:rPr>
                <w:color w:val="1E293B"/>
                <w:sz w:val="18"/>
              </w:rPr>
              <w:t>3:45 - 4:30</w:t>
            </w:r>
          </w:p>
        </w:tc>
        <w:tc>
          <w:tcPr>
            <w:tcW w:type="dxa" w:w="7632"/>
            <w:shd w:fill="FFFFFF"/>
            <w:tcMar>
              <w:top w:w="100" w:type="dxa"/>
              <w:bottom w:w="100" w:type="dxa"/>
              <w:left w:w="140" w:type="dxa"/>
              <w:right w:w="140" w:type="dxa"/>
            </w:tcMar>
          </w:tcPr>
          <w:p>
            <w:r>
              <w:rPr>
                <w:color w:val="1E293B"/>
                <w:sz w:val="18"/>
              </w:rPr>
              <w:t>What-If Stress Testing &amp; Waterfall: Trigger the 'Recession' or 'Ransomware' preset to show live shock injection. In Step 8, showcase the Explainable Health Score Waterfall chart decomposing points from 100.</w:t>
            </w:r>
          </w:p>
        </w:tc>
      </w:tr>
      <w:tr>
        <w:tc>
          <w:tcPr>
            <w:tcW w:type="dxa" w:w="1728"/>
            <w:shd w:fill="F8FAFC"/>
            <w:tcMar>
              <w:top w:w="100" w:type="dxa"/>
              <w:bottom w:w="100" w:type="dxa"/>
              <w:left w:w="140" w:type="dxa"/>
              <w:right w:w="140" w:type="dxa"/>
            </w:tcMar>
          </w:tcPr>
          <w:p>
            <w:r>
              <w:rPr>
                <w:color w:val="1E293B"/>
                <w:sz w:val="18"/>
              </w:rPr>
              <w:t>4:30 - 5:00</w:t>
            </w:r>
          </w:p>
        </w:tc>
        <w:tc>
          <w:tcPr>
            <w:tcW w:type="dxa" w:w="7632"/>
            <w:shd w:fill="F8FAFC"/>
            <w:tcMar>
              <w:top w:w="100" w:type="dxa"/>
              <w:bottom w:w="100" w:type="dxa"/>
              <w:left w:w="140" w:type="dxa"/>
              <w:right w:w="140" w:type="dxa"/>
            </w:tcMar>
          </w:tcPr>
          <w:p>
            <w:r>
              <w:rPr>
                <w:color w:val="1E293B"/>
                <w:sz w:val="18"/>
              </w:rPr>
              <w:t>Cryptographic Audit Ledger &amp; Conclusion: Open the Audit Trail tab and explain the SHA-256 hash chaining. Conclude by highlighting the 56/56 automated passing tests.</w:t>
            </w:r>
          </w:p>
        </w:tc>
      </w:tr>
    </w:tbl>
    <w:p>
      <w:pPr>
        <w:spacing w:after="120"/>
      </w:pPr>
    </w:p>
    <w:p>
      <w:pPr>
        <w:keepNext/>
        <w:spacing w:before="280" w:after="80"/>
      </w:pPr>
      <w:r>
        <w:rPr>
          <w:b/>
          <w:color w:val="108C5F"/>
          <w:sz w:val="36"/>
        </w:rPr>
        <w:t>8. Top 10 Likely Viva Questions &amp; Model Answers</w:t>
      </w:r>
    </w:p>
    <w:p>
      <w:pPr>
        <w:keepNext/>
        <w:spacing w:before="160" w:after="40"/>
      </w:pPr>
      <w:r>
        <w:rPr>
          <w:b/>
          <w:color w:val="108C5F"/>
          <w:sz w:val="21"/>
        </w:rPr>
        <w:t>Q1: How does your Monte Carlo simulation model financial risk, and why did you choose a Log-Normal distribution?</w:t>
      </w:r>
    </w:p>
    <w:p>
      <w:pPr>
        <w:spacing w:after="120"/>
      </w:pPr>
      <w:r>
        <w:rPr>
          <w:color w:val="1E293B"/>
          <w:sz w:val="19"/>
        </w:rPr>
        <w:t>Answer: Our engine uses a compound Poisson-LogNormal loss model implemented in vectorized NumPy. For each iteration, event occurrence is modeled using a Bernoulli distribution based on likelihood (p = Likelihood/5.0). If an event occurs, its severity is sampled from a Log-Normal distribution (mu, sigma=1.2). We chose Log-Normal because financial losses are strictly non-negative, bounded at zero, and exhibit heavy positive right-tail skewness—meaning normal distributions would severely underestimate black-swan catastrophic losses.</w:t>
      </w:r>
    </w:p>
    <w:p>
      <w:pPr>
        <w:keepNext/>
        <w:spacing w:before="160" w:after="40"/>
      </w:pPr>
      <w:r>
        <w:rPr>
          <w:b/>
          <w:color w:val="108C5F"/>
          <w:sz w:val="21"/>
        </w:rPr>
        <w:t>Q2: What is the mathematical formulation of Value-at-Risk (VaR), and what does 95% VaR mean here?</w:t>
      </w:r>
    </w:p>
    <w:p>
      <w:pPr>
        <w:spacing w:after="120"/>
      </w:pPr>
      <w:r>
        <w:rPr>
          <w:color w:val="1E293B"/>
          <w:sz w:val="19"/>
        </w:rPr>
        <w:t>Answer: Mathematically, 95% Value-at-Risk is the 95th percentile of the simulated loss distribution: VaR_0.95 = inf { l in R : P(L &gt; l) &lt;= 0.05 }. In our platform, it means that over a 1-year horizon, there is only a 5% statistical probability that portfolio operational losses will exceed this threshold.</w:t>
      </w:r>
    </w:p>
    <w:p>
      <w:pPr>
        <w:keepNext/>
        <w:spacing w:before="160" w:after="40"/>
      </w:pPr>
      <w:r>
        <w:rPr>
          <w:b/>
          <w:color w:val="108C5F"/>
          <w:sz w:val="21"/>
        </w:rPr>
        <w:t>Q3: How is the Altman Z-Score calculated, and how do you prevent division-by-zero errors?</w:t>
      </w:r>
    </w:p>
    <w:p>
      <w:pPr>
        <w:spacing w:after="120"/>
      </w:pPr>
      <w:r>
        <w:rPr>
          <w:color w:val="1E293B"/>
          <w:sz w:val="19"/>
        </w:rPr>
        <w:t>Answer: We implement the 1968 private manufacturing formulation: Z = 1.2(X1) + 1.4(X2) + 3.3(X3) + 0.6(X4) + 0.999(X5). All ratio calculations in server/services/financial_ratios.py pass through a zero-safe helper _safe_div(n, d, fallback=None). If total assets or liabilities are 0 or missing, the calculator safely returns an 'Unknown' classification without raising a ZeroDivisionError.</w:t>
      </w:r>
    </w:p>
    <w:p>
      <w:pPr>
        <w:keepNext/>
        <w:spacing w:before="160" w:after="40"/>
      </w:pPr>
      <w:r>
        <w:rPr>
          <w:b/>
          <w:color w:val="108C5F"/>
          <w:sz w:val="21"/>
        </w:rPr>
        <w:t>Q4: How does your platform ensure dual-engine database resilience?</w:t>
      </w:r>
    </w:p>
    <w:p>
      <w:pPr>
        <w:spacing w:after="120"/>
      </w:pPr>
      <w:r>
        <w:rPr>
          <w:color w:val="1E293B"/>
          <w:sz w:val="19"/>
        </w:rPr>
        <w:t>Answer: In server/database.py, init_db() queries the Supabase cloud PostgreSQL client. If unreachable due to network outage, DNS failure, or unconfigured credentials, the system catches the exception and immediately falls back to local SQLite with identical schema migrations and seeding. The application never crashes on database unavailability.</w:t>
      </w:r>
    </w:p>
    <w:p>
      <w:pPr>
        <w:keepNext/>
        <w:spacing w:before="160" w:after="40"/>
      </w:pPr>
      <w:r>
        <w:rPr>
          <w:b/>
          <w:color w:val="108C5F"/>
          <w:sz w:val="21"/>
        </w:rPr>
        <w:t>Q5: What makes your Audit Trail 'tamper-evident'?</w:t>
      </w:r>
    </w:p>
    <w:p>
      <w:pPr>
        <w:spacing w:after="120"/>
      </w:pPr>
      <w:r>
        <w:rPr>
          <w:color w:val="1E293B"/>
          <w:sz w:val="19"/>
        </w:rPr>
        <w:t>Answer: Our audit log is an append-only cryptographic ledger. Each entry contains a prev_hash pointing to the previous row and a current hash = SHA256(id + action + details + user_id + timestamp + prev_hash). If a malicious party edits a record directly in the database, the cryptographic hash chain breaks, and /api/audit-logs/verify flags the exact row that was altered.</w:t>
      </w:r>
    </w:p>
    <w:p>
      <w:pPr>
        <w:keepNext/>
        <w:spacing w:before="160" w:after="40"/>
      </w:pPr>
      <w:r>
        <w:rPr>
          <w:b/>
          <w:color w:val="108C5F"/>
          <w:sz w:val="21"/>
        </w:rPr>
        <w:t>Q6: How do you enforce Role-Based Access Control (RBAC)?</w:t>
      </w:r>
    </w:p>
    <w:p>
      <w:pPr>
        <w:spacing w:after="120"/>
      </w:pPr>
      <w:r>
        <w:rPr>
          <w:color w:val="1E293B"/>
          <w:sz w:val="19"/>
        </w:rPr>
        <w:t>Answer: RBAC is enforced on the backend via Python decorators @require_auth and @require_role('admin') in server/app.py. When a request arrives, the server extracts the Authorization: Bearer &lt;JWT&gt; header, validates the signature using PyJWT, checks whether is_blocked == 0, and confirms the user's role before executing the route handler.</w:t>
      </w:r>
    </w:p>
    <w:p>
      <w:pPr>
        <w:keepNext/>
        <w:spacing w:before="160" w:after="40"/>
      </w:pPr>
      <w:r>
        <w:rPr>
          <w:b/>
          <w:color w:val="108C5F"/>
          <w:sz w:val="21"/>
        </w:rPr>
        <w:t>Q7: What OWASP security measures have you implemented?</w:t>
      </w:r>
    </w:p>
    <w:p>
      <w:pPr>
        <w:spacing w:after="120"/>
      </w:pPr>
      <w:r>
        <w:rPr>
          <w:color w:val="1E293B"/>
          <w:sz w:val="19"/>
        </w:rPr>
        <w:t>Answer: We implemented five layers of OWASP defense: 1. Strict Security Headers (CSP, X-Frame-Options, X-Content-Type-Options, Referrer-Policy). 2. Rate Limiting via sliding-window IP buckets to stop DoS and brute force. 3. Path Traversal filters blocking access to .env, .git, .py, and riskguard.db. 4. Input sanitization escaping HTML special characters to prevent stored XSS. 5. Parameterized SQL queries preventing SQL Injection.</w:t>
      </w:r>
    </w:p>
    <w:p>
      <w:pPr>
        <w:keepNext/>
        <w:spacing w:before="160" w:after="40"/>
      </w:pPr>
      <w:r>
        <w:rPr>
          <w:b/>
          <w:color w:val="108C5F"/>
          <w:sz w:val="21"/>
        </w:rPr>
        <w:t>Q8: How does the What-If Stress Testing Engine differ from the standard simulation?</w:t>
      </w:r>
    </w:p>
    <w:p>
      <w:pPr>
        <w:spacing w:after="120"/>
      </w:pPr>
      <w:r>
        <w:rPr>
          <w:color w:val="1E293B"/>
          <w:sz w:val="19"/>
        </w:rPr>
        <w:t>Answer: The standard simulation uses static baseline parameters. The Stress Testing engine (server/services/stress_testing.py) applies macroeconomic shocks (revenue collapse %, debt increase %, cost inflation %, and cyber incident multipliers) directly to the financial statements, recalculates the stressed financial ratios and Altman Z-Score, and passes the elevated variance parameters into the Monte Carlo engine.</w:t>
      </w:r>
    </w:p>
    <w:p>
      <w:pPr>
        <w:keepNext/>
        <w:spacing w:before="160" w:after="40"/>
      </w:pPr>
      <w:r>
        <w:rPr>
          <w:b/>
          <w:color w:val="108C5F"/>
          <w:sz w:val="21"/>
        </w:rPr>
        <w:t>Q9: Explain the Explainable Health Score Waterfall feature.</w:t>
      </w:r>
    </w:p>
    <w:p>
      <w:pPr>
        <w:spacing w:after="120"/>
      </w:pPr>
      <w:r>
        <w:rPr>
          <w:color w:val="1E293B"/>
          <w:sz w:val="19"/>
        </w:rPr>
        <w:t>Answer: Instead of treating the Enterprise Health Score as an opaque black box, our engine (server/services/explainability.py) starts at a baseline ideal health score of 100.0 and decomposes the final score into 6 weighted domains (Financial Solvency 25%, Cybersecurity 20%, Operations 18%, Compliance 15%, Market 12%, Human Capital 10%). It calculates exact point deductions and key drivers, visualized as an intuitive waterfall chart in Step 8 of the report.</w:t>
      </w:r>
    </w:p>
    <w:p>
      <w:pPr>
        <w:keepNext/>
        <w:spacing w:before="160" w:after="40"/>
      </w:pPr>
      <w:r>
        <w:rPr>
          <w:b/>
          <w:color w:val="108C5F"/>
          <w:sz w:val="21"/>
        </w:rPr>
        <w:t>Q10: How does the Cybersecurity Module map into the Monte Carlo engine?</w:t>
      </w:r>
    </w:p>
    <w:p>
      <w:pPr>
        <w:spacing w:after="120"/>
      </w:pPr>
      <w:r>
        <w:rPr>
          <w:color w:val="1E293B"/>
          <w:sz w:val="19"/>
        </w:rPr>
        <w:t>Answer: server/services/cyber_engine.py evaluates 5 CVSS-style 0-10 posture metrics (Ransomware, Data Breach, Vulnerability Management, IAM, Backup Posture). It calculates a composite CVSS score, Annual Breach Probability (p), and Single Loss Expectancy (SLE). These parameters are directly mapped into the Monte Carlo engine as equivalent likelihood and financial impact values.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