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b/>
          <w:color w:val="0F766E"/>
          <w:sz w:val="44"/>
        </w:rPr>
        <w:t>RiskGuard Pro: Enterprise Risk Analytics &amp; Quantitative VaR Platform</w:t>
      </w:r>
    </w:p>
    <w:p>
      <w:pPr>
        <w:spacing w:after="280"/>
      </w:pPr>
      <w:r>
        <w:rPr>
          <w:b/>
          <w:color w:val="64748B"/>
          <w:sz w:val="28"/>
        </w:rPr>
        <w:t>Project Presentation Report &amp; Comprehensive Technical Dossier</w:t>
      </w:r>
    </w:p>
    <w:tbl>
      <w:tblPr>
        <w:tblW w:type="auto" w:w="0"/>
        <w:jc w:val="center"/>
        <w:tblLayout w:type="fixed"/>
        <w:tblLook w:firstColumn="1" w:firstRow="1" w:lastColumn="0" w:lastRow="0" w:noHBand="0" w:noVBand="1" w:val="04A0"/>
      </w:tblPr>
      <w:tblGrid>
        <w:gridCol w:w="4680"/>
        <w:gridCol w:w="4680"/>
      </w:tblGrid>
      <w:tr>
        <w:tc>
          <w:tcPr>
            <w:tcW w:type="dxa" w:w="3168"/>
            <w:shd w:fill="F8FAFC"/>
            <w:tcMar>
              <w:top w:w="60" w:type="dxa"/>
              <w:bottom w:w="60" w:type="dxa"/>
              <w:left w:w="100" w:type="dxa"/>
              <w:right w:w="100" w:type="dxa"/>
            </w:tcMar>
          </w:tcPr>
          <w:p>
            <w:pPr>
              <w:spacing w:after="40"/>
            </w:pPr>
            <w:r>
              <w:rPr>
                <w:b/>
                <w:color w:val="0F766E"/>
                <w:sz w:val="19"/>
              </w:rPr>
              <w:t>Project Title:</w:t>
            </w:r>
          </w:p>
        </w:tc>
        <w:tc>
          <w:tcPr>
            <w:tcW w:type="dxa" w:w="6192"/>
            <w:shd w:fill="FFFFFF"/>
            <w:tcMar>
              <w:top w:w="60" w:type="dxa"/>
              <w:bottom w:w="60" w:type="dxa"/>
              <w:left w:w="100" w:type="dxa"/>
              <w:right w:w="100" w:type="dxa"/>
            </w:tcMar>
          </w:tcPr>
          <w:p>
            <w:pPr>
              <w:spacing w:after="40"/>
            </w:pPr>
            <w:r>
              <w:rPr>
                <w:color w:val="1E293B"/>
                <w:sz w:val="19"/>
              </w:rPr>
              <w:t>RiskGuard Pro — Enterprise Business Risk Assessment &amp; Monte Carlo Simulation Dashboard</w:t>
            </w:r>
          </w:p>
        </w:tc>
      </w:tr>
      <w:tr>
        <w:tc>
          <w:tcPr>
            <w:tcW w:type="dxa" w:w="3168"/>
            <w:shd w:fill="F8FAFC"/>
            <w:tcMar>
              <w:top w:w="60" w:type="dxa"/>
              <w:bottom w:w="60" w:type="dxa"/>
              <w:left w:w="100" w:type="dxa"/>
              <w:right w:w="100" w:type="dxa"/>
            </w:tcMar>
          </w:tcPr>
          <w:p>
            <w:pPr>
              <w:spacing w:after="40"/>
            </w:pPr>
            <w:r>
              <w:rPr>
                <w:b/>
                <w:color w:val="0F766E"/>
                <w:sz w:val="19"/>
              </w:rPr>
              <w:t>Standard Frameworks:</w:t>
            </w:r>
          </w:p>
        </w:tc>
        <w:tc>
          <w:tcPr>
            <w:tcW w:type="dxa" w:w="6192"/>
            <w:shd w:fill="FFFFFF"/>
            <w:tcMar>
              <w:top w:w="60" w:type="dxa"/>
              <w:bottom w:w="60" w:type="dxa"/>
              <w:left w:w="100" w:type="dxa"/>
              <w:right w:w="100" w:type="dxa"/>
            </w:tcMar>
          </w:tcPr>
          <w:p>
            <w:pPr>
              <w:spacing w:after="40"/>
            </w:pPr>
            <w:r>
              <w:rPr>
                <w:color w:val="1E293B"/>
                <w:sz w:val="19"/>
              </w:rPr>
              <w:t>Designed in reference to ISO 31000:2018 (ERM) &amp; NIST CSF 2.0 guidelines</w:t>
            </w:r>
          </w:p>
        </w:tc>
      </w:tr>
      <w:tr>
        <w:tc>
          <w:tcPr>
            <w:tcW w:type="dxa" w:w="3168"/>
            <w:shd w:fill="F8FAFC"/>
            <w:tcMar>
              <w:top w:w="60" w:type="dxa"/>
              <w:bottom w:w="60" w:type="dxa"/>
              <w:left w:w="100" w:type="dxa"/>
              <w:right w:w="100" w:type="dxa"/>
            </w:tcMar>
          </w:tcPr>
          <w:p>
            <w:pPr>
              <w:spacing w:after="40"/>
            </w:pPr>
            <w:r>
              <w:rPr>
                <w:b/>
                <w:color w:val="0F766E"/>
                <w:sz w:val="19"/>
              </w:rPr>
              <w:t>Technical Architecture:</w:t>
            </w:r>
          </w:p>
        </w:tc>
        <w:tc>
          <w:tcPr>
            <w:tcW w:type="dxa" w:w="6192"/>
            <w:shd w:fill="FFFFFF"/>
            <w:tcMar>
              <w:top w:w="60" w:type="dxa"/>
              <w:bottom w:w="60" w:type="dxa"/>
              <w:left w:w="100" w:type="dxa"/>
              <w:right w:w="100" w:type="dxa"/>
            </w:tcMar>
          </w:tcPr>
          <w:p>
            <w:pPr>
              <w:spacing w:after="40"/>
            </w:pPr>
            <w:r>
              <w:rPr>
                <w:color w:val="1E293B"/>
                <w:sz w:val="19"/>
              </w:rPr>
              <w:t>Full-Stack Python (Flask REST API), NumPy Vectorized Analytics, Three.js 3D Mesh, SQLite/PostgreSQL</w:t>
            </w:r>
          </w:p>
        </w:tc>
      </w:tr>
      <w:tr>
        <w:tc>
          <w:tcPr>
            <w:tcW w:type="dxa" w:w="3168"/>
            <w:shd w:fill="F8FAFC"/>
            <w:tcMar>
              <w:top w:w="60" w:type="dxa"/>
              <w:bottom w:w="60" w:type="dxa"/>
              <w:left w:w="100" w:type="dxa"/>
              <w:right w:w="100" w:type="dxa"/>
            </w:tcMar>
          </w:tcPr>
          <w:p>
            <w:pPr>
              <w:spacing w:after="40"/>
            </w:pPr>
            <w:r>
              <w:rPr>
                <w:b/>
                <w:color w:val="0F766E"/>
                <w:sz w:val="19"/>
              </w:rPr>
              <w:t>Deployment Status:</w:t>
            </w:r>
          </w:p>
        </w:tc>
        <w:tc>
          <w:tcPr>
            <w:tcW w:type="dxa" w:w="6192"/>
            <w:shd w:fill="FFFFFF"/>
            <w:tcMar>
              <w:top w:w="60" w:type="dxa"/>
              <w:bottom w:w="60" w:type="dxa"/>
              <w:left w:w="100" w:type="dxa"/>
              <w:right w:w="100" w:type="dxa"/>
            </w:tcMar>
          </w:tcPr>
          <w:p>
            <w:pPr>
              <w:spacing w:after="40"/>
            </w:pPr>
            <w:r>
              <w:rPr>
                <w:color w:val="1E293B"/>
                <w:sz w:val="19"/>
              </w:rPr>
              <w:t>Cloud-Hosted Deployed Prototype on Render PaaS (Dual-engine cloud &amp; local fallback)</w:t>
            </w:r>
          </w:p>
        </w:tc>
      </w:tr>
      <w:tr>
        <w:tc>
          <w:tcPr>
            <w:tcW w:type="dxa" w:w="3168"/>
            <w:shd w:fill="F8FAFC"/>
            <w:tcMar>
              <w:top w:w="60" w:type="dxa"/>
              <w:bottom w:w="60" w:type="dxa"/>
              <w:left w:w="100" w:type="dxa"/>
              <w:right w:w="100" w:type="dxa"/>
            </w:tcMar>
          </w:tcPr>
          <w:p>
            <w:pPr>
              <w:spacing w:after="40"/>
            </w:pPr>
            <w:r>
              <w:rPr>
                <w:b/>
                <w:color w:val="0F766E"/>
                <w:sz w:val="19"/>
              </w:rPr>
              <w:t>Live Demonstration URL:</w:t>
            </w:r>
          </w:p>
        </w:tc>
        <w:tc>
          <w:tcPr>
            <w:tcW w:type="dxa" w:w="6192"/>
            <w:shd w:fill="FFFFFF"/>
            <w:tcMar>
              <w:top w:w="60" w:type="dxa"/>
              <w:bottom w:w="60" w:type="dxa"/>
              <w:left w:w="100" w:type="dxa"/>
              <w:right w:w="100" w:type="dxa"/>
            </w:tcMar>
          </w:tcPr>
          <w:p>
            <w:pPr>
              <w:spacing w:after="40"/>
            </w:pPr>
            <w:r>
              <w:rPr>
                <w:color w:val="1E293B"/>
                <w:sz w:val="19"/>
              </w:rPr>
              <w:t>https://monte-carlo-risk-assessment-dashboard.onrender.com</w:t>
            </w:r>
          </w:p>
        </w:tc>
      </w:tr>
    </w:tbl>
    <w:p>
      <w:pPr>
        <w:spacing w:after="240"/>
      </w:pPr>
    </w:p>
    <w:p>
      <w:pPr>
        <w:keepNext/>
        <w:spacing w:before="320" w:after="120"/>
      </w:pPr>
      <w:r>
        <w:rPr>
          <w:b/>
          <w:color w:val="0F766E"/>
          <w:sz w:val="30"/>
        </w:rPr>
        <w:t>1. Project Introduction &amp; Objectives</w:t>
      </w:r>
    </w:p>
    <w:p>
      <w:r>
        <w:t>RiskGuard Pro is an interactive web-based quantitative enterprise risk assessment platform. The application bridges corporate financial accounting with probabilistic risk modeling, enabling organizations to evaluate operational, cybersecurity, financial, regulatory, and market risks in an auditable, data-driven environment.</w:t>
      </w:r>
    </w:p>
    <w:p>
      <w:pPr>
        <w:spacing w:before="80" w:after="160"/>
        <w:ind w:left="288"/>
      </w:pPr>
      <w:r>
        <w:rPr>
          <w:b/>
          <w:color w:val="0F766E"/>
          <w:sz w:val="20"/>
        </w:rPr>
        <w:t xml:space="preserve">CLARIFICATION OF PROJECT SCOPE: </w:t>
      </w:r>
      <w:r>
        <w:rPr>
          <w:i/>
          <w:sz w:val="20"/>
        </w:rPr>
        <w:t>In this project, 'Monte Carlo' refers strictly to the Monte Carlo Mathematical Simulation Method — a well-established computational algorithm that uses repeated random sampling to model probability distributions of risk. It does NOT refer to the commercial clothing brand 'Monte Carlo Fashions Limited'. The empirical data used for demonstration reflects an audited Indian medium-scale manufacturing enterprise (Book1.xlsx).</w:t>
      </w:r>
    </w:p>
    <w:p>
      <w:r>
        <w:t>Primary Academic Objectives:</w:t>
        <w:br/>
        <w:t>1. Automated Financial Telemetry: Extract Balance Sheet and Income Statement line items directly from corporate spreadsheets (Excel/CSV) and calculate standardized financial ratios.</w:t>
        <w:br/>
        <w:t>2. Multi-Domain Risk Assessment: Quantify enterprise risks across 6 distinct business domains according to an auditable weighted scoring model.</w:t>
        <w:br/>
        <w:t>3. Vectorized Monte Carlo VaR: Simulate thousands of potential portfolio loss scenarios to estimate 95% Value-at-Risk (VaR) and Expected Shortfall (CVaR).</w:t>
        <w:br/>
        <w:t>4. Interactive 3D Spatial Visualization: Project active risks onto a Three.js 3D threat mesh for intuitive executive communication.</w:t>
        <w:br/>
        <w:t>5. Auditable Governance &amp; Action Tracking: Maintain a cryptographic tamper-evident audit ledger and ISO 31000 task mitigation tracker.</w:t>
      </w:r>
    </w:p>
    <w:p>
      <w:pPr>
        <w:keepNext/>
        <w:spacing w:before="320" w:after="120"/>
      </w:pPr>
      <w:r>
        <w:rPr>
          <w:b/>
          <w:color w:val="0F766E"/>
          <w:sz w:val="30"/>
        </w:rPr>
        <w:t>2. Problem Statement &amp; Proposed Architecture</w:t>
      </w:r>
    </w:p>
    <w:p>
      <w:r>
        <w:t>Traditional enterprise risk management (ERM) suffers from critical limitations:</w:t>
        <w:br/>
        <w:t>• Subjective 5×5 Heatmaps: Standard risk matrices multiply arbitrary Likelihood (1–5) by Impact (1–5). This discrete multiplication lacks monetary grounding and ignores statistical tail-risk.</w:t>
        <w:br/>
        <w:t>• Disconnected Financial Health: Qualitative risk scores are rarely integrated with audited financial ratios. A business with an apparent low operational risk may actually be on the verge of technical insolvency due to working capital deficits.</w:t>
        <w:br/>
        <w:t>• Static Spreadsheets: Manual risk registers stored in static spreadsheets lack version control, cryptographic auditability, and dynamic what-if simulation capabilities.</w:t>
      </w:r>
    </w:p>
    <w:p>
      <w:r>
        <w:t>Proposed Solution in RiskGuard Pro:</w:t>
        <w:br/>
        <w:t>RiskGuard Pro replaces subjective matrices with a dual-engine architecture: an Institutional Financial Ratio Engine that parses audited statements (Balance Sheet &amp; P&amp;L), integrated with a Vectorized NumPy Monte Carlo Simulator that models monetary loss distributions at specified confidence intervals.</w:t>
      </w:r>
    </w:p>
    <w:p>
      <w:pPr>
        <w:keepNext/>
        <w:spacing w:before="320" w:after="120"/>
      </w:pPr>
      <w:r>
        <w:rPr>
          <w:b/>
          <w:color w:val="0F766E"/>
          <w:sz w:val="30"/>
        </w:rPr>
        <w:t>3. System Architecture &amp; Technologies Used</w:t>
      </w:r>
    </w:p>
    <w:p>
      <w:r>
        <w:t>The application is built on a clean full-stack decoupled architecture designed for rapid cloud deployment, low execution latency, and zero required external software installations for end users.</w:t>
      </w:r>
    </w:p>
    <w:tbl>
      <w:tblPr>
        <w:tblW w:type="auto" w:w="0"/>
        <w:jc w:val="center"/>
        <w:tblLook w:firstColumn="1" w:firstRow="1" w:lastColumn="0" w:lastRow="0" w:noHBand="0" w:noVBand="1" w:val="04A0"/>
      </w:tblPr>
      <w:tblGrid>
        <w:gridCol w:w="3120"/>
        <w:gridCol w:w="3120"/>
        <w:gridCol w:w="3120"/>
      </w:tblGrid>
      <w:tr>
        <w:tc>
          <w:tcPr>
            <w:tcW w:type="dxa" w:w="3120"/>
            <w:shd w:fill="0F766E"/>
            <w:tcMar>
              <w:top w:w="80" w:type="dxa"/>
              <w:bottom w:w="80" w:type="dxa"/>
              <w:left w:w="100" w:type="dxa"/>
              <w:right w:w="100" w:type="dxa"/>
            </w:tcMar>
          </w:tcPr>
          <w:p>
            <w:r>
              <w:rPr>
                <w:b/>
                <w:color w:val="FFFFFF"/>
              </w:rPr>
              <w:t>Layer</w:t>
            </w:r>
          </w:p>
        </w:tc>
        <w:tc>
          <w:tcPr>
            <w:tcW w:type="dxa" w:w="3120"/>
            <w:shd w:fill="0F766E"/>
            <w:tcMar>
              <w:top w:w="80" w:type="dxa"/>
              <w:bottom w:w="80" w:type="dxa"/>
              <w:left w:w="100" w:type="dxa"/>
              <w:right w:w="100" w:type="dxa"/>
            </w:tcMar>
          </w:tcPr>
          <w:p>
            <w:r>
              <w:rPr>
                <w:b/>
                <w:color w:val="FFFFFF"/>
              </w:rPr>
              <w:t>Technology Selected</w:t>
            </w:r>
          </w:p>
        </w:tc>
        <w:tc>
          <w:tcPr>
            <w:tcW w:type="dxa" w:w="3120"/>
            <w:shd w:fill="0F766E"/>
            <w:tcMar>
              <w:top w:w="80" w:type="dxa"/>
              <w:bottom w:w="80" w:type="dxa"/>
              <w:left w:w="100" w:type="dxa"/>
              <w:right w:w="100" w:type="dxa"/>
            </w:tcMar>
          </w:tcPr>
          <w:p>
            <w:r>
              <w:rPr>
                <w:b/>
                <w:color w:val="FFFFFF"/>
              </w:rPr>
              <w:t>Role &amp; Justification</w:t>
            </w:r>
          </w:p>
        </w:tc>
      </w:tr>
      <w:tr>
        <w:tc>
          <w:tcPr>
            <w:tcW w:type="dxa" w:w="3120"/>
            <w:shd w:fill="F8FAFC"/>
            <w:tcMar>
              <w:top w:w="60" w:type="dxa"/>
              <w:bottom w:w="60" w:type="dxa"/>
              <w:left w:w="100" w:type="dxa"/>
              <w:right w:w="100" w:type="dxa"/>
            </w:tcMar>
          </w:tcPr>
          <w:p>
            <w:r>
              <w:rPr>
                <w:sz w:val="19"/>
              </w:rPr>
              <w:t>Backend Application</w:t>
            </w:r>
          </w:p>
        </w:tc>
        <w:tc>
          <w:tcPr>
            <w:tcW w:type="dxa" w:w="3120"/>
            <w:shd w:fill="F8FAFC"/>
            <w:tcMar>
              <w:top w:w="60" w:type="dxa"/>
              <w:bottom w:w="60" w:type="dxa"/>
              <w:left w:w="100" w:type="dxa"/>
              <w:right w:w="100" w:type="dxa"/>
            </w:tcMar>
          </w:tcPr>
          <w:p>
            <w:r>
              <w:rPr>
                <w:sz w:val="19"/>
              </w:rPr>
              <w:t>Python 3.11+ / Flask REST API</w:t>
            </w:r>
          </w:p>
        </w:tc>
        <w:tc>
          <w:tcPr>
            <w:tcW w:type="dxa" w:w="3120"/>
            <w:shd w:fill="F8FAFC"/>
            <w:tcMar>
              <w:top w:w="60" w:type="dxa"/>
              <w:bottom w:w="60" w:type="dxa"/>
              <w:left w:w="100" w:type="dxa"/>
              <w:right w:w="100" w:type="dxa"/>
            </w:tcMar>
          </w:tcPr>
          <w:p>
            <w:r>
              <w:rPr>
                <w:sz w:val="19"/>
              </w:rPr>
              <w:t>Lightweight microframework providing modular RESTful endpoints for statement parsing, ratio calculations, and Monte Carlo runs.</w:t>
            </w:r>
          </w:p>
        </w:tc>
      </w:tr>
      <w:tr>
        <w:tc>
          <w:tcPr>
            <w:tcW w:type="dxa" w:w="3120"/>
            <w:shd w:fill="FFFFFF"/>
            <w:tcMar>
              <w:top w:w="60" w:type="dxa"/>
              <w:bottom w:w="60" w:type="dxa"/>
              <w:left w:w="100" w:type="dxa"/>
              <w:right w:w="100" w:type="dxa"/>
            </w:tcMar>
          </w:tcPr>
          <w:p>
            <w:r>
              <w:rPr>
                <w:sz w:val="19"/>
              </w:rPr>
              <w:t>Scientific Computing</w:t>
            </w:r>
          </w:p>
        </w:tc>
        <w:tc>
          <w:tcPr>
            <w:tcW w:type="dxa" w:w="3120"/>
            <w:shd w:fill="FFFFFF"/>
            <w:tcMar>
              <w:top w:w="60" w:type="dxa"/>
              <w:bottom w:w="60" w:type="dxa"/>
              <w:left w:w="100" w:type="dxa"/>
              <w:right w:w="100" w:type="dxa"/>
            </w:tcMar>
          </w:tcPr>
          <w:p>
            <w:r>
              <w:rPr>
                <w:sz w:val="19"/>
              </w:rPr>
              <w:t>NumPy (Vectorized Arrays)</w:t>
            </w:r>
          </w:p>
        </w:tc>
        <w:tc>
          <w:tcPr>
            <w:tcW w:type="dxa" w:w="3120"/>
            <w:shd w:fill="FFFFFF"/>
            <w:tcMar>
              <w:top w:w="60" w:type="dxa"/>
              <w:bottom w:w="60" w:type="dxa"/>
              <w:left w:w="100" w:type="dxa"/>
              <w:right w:w="100" w:type="dxa"/>
            </w:tcMar>
          </w:tcPr>
          <w:p>
            <w:r>
              <w:rPr>
                <w:sz w:val="19"/>
              </w:rPr>
              <w:t>Executes 1,000 to 10,000 Monte Carlo simulation trials in sub-15ms using pre-allocated vectorized array operations.</w:t>
            </w:r>
          </w:p>
        </w:tc>
      </w:tr>
      <w:tr>
        <w:tc>
          <w:tcPr>
            <w:tcW w:type="dxa" w:w="3120"/>
            <w:shd w:fill="F8FAFC"/>
            <w:tcMar>
              <w:top w:w="60" w:type="dxa"/>
              <w:bottom w:w="60" w:type="dxa"/>
              <w:left w:w="100" w:type="dxa"/>
              <w:right w:w="100" w:type="dxa"/>
            </w:tcMar>
          </w:tcPr>
          <w:p>
            <w:r>
              <w:rPr>
                <w:sz w:val="19"/>
              </w:rPr>
              <w:t>Frontend Client</w:t>
            </w:r>
          </w:p>
        </w:tc>
        <w:tc>
          <w:tcPr>
            <w:tcW w:type="dxa" w:w="3120"/>
            <w:shd w:fill="F8FAFC"/>
            <w:tcMar>
              <w:top w:w="60" w:type="dxa"/>
              <w:bottom w:w="60" w:type="dxa"/>
              <w:left w:w="100" w:type="dxa"/>
              <w:right w:w="100" w:type="dxa"/>
            </w:tcMar>
          </w:tcPr>
          <w:p>
            <w:r>
              <w:rPr>
                <w:sz w:val="19"/>
              </w:rPr>
              <w:t>HTML5, CSS3, Vanilla JavaScript (ES6+)</w:t>
            </w:r>
          </w:p>
        </w:tc>
        <w:tc>
          <w:tcPr>
            <w:tcW w:type="dxa" w:w="3120"/>
            <w:shd w:fill="F8FAFC"/>
            <w:tcMar>
              <w:top w:w="60" w:type="dxa"/>
              <w:bottom w:w="60" w:type="dxa"/>
              <w:left w:w="100" w:type="dxa"/>
              <w:right w:w="100" w:type="dxa"/>
            </w:tcMar>
          </w:tcPr>
          <w:p>
            <w:r>
              <w:rPr>
                <w:sz w:val="19"/>
              </w:rPr>
              <w:t>Zero-dependency single page application (SPA) with responsive CSS grid and emerald-themed executive design.</w:t>
            </w:r>
          </w:p>
        </w:tc>
      </w:tr>
      <w:tr>
        <w:tc>
          <w:tcPr>
            <w:tcW w:type="dxa" w:w="3120"/>
            <w:shd w:fill="FFFFFF"/>
            <w:tcMar>
              <w:top w:w="60" w:type="dxa"/>
              <w:bottom w:w="60" w:type="dxa"/>
              <w:left w:w="100" w:type="dxa"/>
              <w:right w:w="100" w:type="dxa"/>
            </w:tcMar>
          </w:tcPr>
          <w:p>
            <w:r>
              <w:rPr>
                <w:sz w:val="19"/>
              </w:rPr>
              <w:t>3D Spatial Engine</w:t>
            </w:r>
          </w:p>
        </w:tc>
        <w:tc>
          <w:tcPr>
            <w:tcW w:type="dxa" w:w="3120"/>
            <w:shd w:fill="FFFFFF"/>
            <w:tcMar>
              <w:top w:w="60" w:type="dxa"/>
              <w:bottom w:w="60" w:type="dxa"/>
              <w:left w:w="100" w:type="dxa"/>
              <w:right w:w="100" w:type="dxa"/>
            </w:tcMar>
          </w:tcPr>
          <w:p>
            <w:r>
              <w:rPr>
                <w:sz w:val="19"/>
              </w:rPr>
              <w:t>Three.js r128 (WebGL)</w:t>
            </w:r>
          </w:p>
        </w:tc>
        <w:tc>
          <w:tcPr>
            <w:tcW w:type="dxa" w:w="3120"/>
            <w:shd w:fill="FFFFFF"/>
            <w:tcMar>
              <w:top w:w="60" w:type="dxa"/>
              <w:bottom w:w="60" w:type="dxa"/>
              <w:left w:w="100" w:type="dxa"/>
              <w:right w:w="100" w:type="dxa"/>
            </w:tcMar>
          </w:tcPr>
          <w:p>
            <w:r>
              <w:rPr>
                <w:sz w:val="19"/>
              </w:rPr>
              <w:t>Renders interactive 3D risk terrain mesh directly in browser canvas with Raycaster hover dossiers and rotation controls.</w:t>
            </w:r>
          </w:p>
        </w:tc>
      </w:tr>
      <w:tr>
        <w:tc>
          <w:tcPr>
            <w:tcW w:type="dxa" w:w="3120"/>
            <w:shd w:fill="F8FAFC"/>
            <w:tcMar>
              <w:top w:w="60" w:type="dxa"/>
              <w:bottom w:w="60" w:type="dxa"/>
              <w:left w:w="100" w:type="dxa"/>
              <w:right w:w="100" w:type="dxa"/>
            </w:tcMar>
          </w:tcPr>
          <w:p>
            <w:r>
              <w:rPr>
                <w:sz w:val="19"/>
              </w:rPr>
              <w:t>Database &amp; Persistence</w:t>
            </w:r>
          </w:p>
        </w:tc>
        <w:tc>
          <w:tcPr>
            <w:tcW w:type="dxa" w:w="3120"/>
            <w:shd w:fill="F8FAFC"/>
            <w:tcMar>
              <w:top w:w="60" w:type="dxa"/>
              <w:bottom w:w="60" w:type="dxa"/>
              <w:left w:w="100" w:type="dxa"/>
              <w:right w:w="100" w:type="dxa"/>
            </w:tcMar>
          </w:tcPr>
          <w:p>
            <w:r>
              <w:rPr>
                <w:sz w:val="19"/>
              </w:rPr>
              <w:t>Dual Engine: Supabase Cloud PostgreSQL + Local SQLite Fallback</w:t>
            </w:r>
          </w:p>
        </w:tc>
        <w:tc>
          <w:tcPr>
            <w:tcW w:type="dxa" w:w="3120"/>
            <w:shd w:fill="F8FAFC"/>
            <w:tcMar>
              <w:top w:w="60" w:type="dxa"/>
              <w:bottom w:w="60" w:type="dxa"/>
              <w:left w:w="100" w:type="dxa"/>
              <w:right w:w="100" w:type="dxa"/>
            </w:tcMar>
          </w:tcPr>
          <w:p>
            <w:r>
              <w:rPr>
                <w:sz w:val="19"/>
              </w:rPr>
              <w:t>Provides automatic cloud synchronization with transparent local SQLite fallback to guarantee prototype resilience.</w:t>
            </w:r>
          </w:p>
        </w:tc>
      </w:tr>
    </w:tbl>
    <w:p>
      <w:pPr>
        <w:spacing w:after="160"/>
      </w:pPr>
    </w:p>
    <w:p>
      <w:pPr>
        <w:keepNext/>
        <w:spacing w:before="320" w:after="120"/>
      </w:pPr>
      <w:r>
        <w:rPr>
          <w:b/>
          <w:color w:val="0F766E"/>
          <w:sz w:val="30"/>
        </w:rPr>
        <w:t>4. Core Dashboard Modules &amp; Capabilities</w:t>
      </w:r>
    </w:p>
    <w:p>
      <w:r>
        <w:t>RiskGuard Pro integrates seven coordinated modules accessible via top-level tab navigation:</w:t>
        <w:br/>
        <w:t>1. Executive Overview &amp; 3D Threat Terrain: Displays top-level KPI metrics (Enterprise Health Score, Total Monitored VaR, Active Threat Count) alongside the interactive Three.js 3D threat mesh.</w:t>
        <w:br/>
        <w:t>2. Direct Financial Statement Upload &amp; Analysis: Accepts audited Balance Sheet and P&amp;L files (.xlsx, .csv, .pdf), automatically extracting line items and calculating the 8 Essential Financial Ratios.</w:t>
        <w:br/>
        <w:t>3. Enterprise Risk Register (13 Active Risks): Live table tracking 13 active organizational risks across 6 business domains, categorized by severity (3 Critical, 5 High, 5 Medium).</w:t>
        <w:br/>
        <w:t>4. Monte Carlo Value-at-Risk Simulator: Parametric simulation engine executing repeated stochastic trials to generate empirical loss distributions, 95% VaR, and 10-bucket frequency histograms.</w:t>
        <w:br/>
        <w:t>5. Macroeconomic What-If Stress Testing: Real-time slider engine allowing management to model external shocks (e.g. -25% Revenue contraction, +300 bps Interest rate surge, Supply Chain disruption).</w:t>
        <w:br/>
        <w:t>6. ISO 31000 Mitigation Action Tracker: Task management table assigning remediation actions to risk owners with live status tracking (In Progress, Monitoring, Completed).</w:t>
        <w:br/>
        <w:t>7. Cryptographic Tamper-Evident Audit Ledger: SHA-256 hash-chained log recording every risk addition, edit, or assessment event with previous-hash validation.</w:t>
      </w:r>
    </w:p>
    <w:p>
      <w:pPr>
        <w:keepNext/>
        <w:spacing w:before="320" w:after="120"/>
      </w:pPr>
      <w:r>
        <w:rPr>
          <w:b/>
          <w:color w:val="0F766E"/>
          <w:sz w:val="30"/>
        </w:rPr>
        <w:t>5. Audited Financial Statement &amp; Ratio Analysis</w:t>
      </w:r>
    </w:p>
    <w:p>
      <w:r>
        <w:t>The financial ratio engine implements standardized corporate accounting formulations. When an audited financial statement is uploaded, the parser resolves accounting subtotals, converts deductions (such as interest and depreciation) to positive absolute magnitudes, and derives missing identities.</w:t>
      </w:r>
    </w:p>
    <w:p>
      <w:pPr>
        <w:keepNext/>
        <w:spacing w:before="240" w:after="80"/>
      </w:pPr>
      <w:r>
        <w:rPr>
          <w:b/>
          <w:color w:val="1E293B"/>
          <w:sz w:val="25"/>
        </w:rPr>
        <w:t>The 8 Main Essential Financial Ratios (Standard Formulations)</w:t>
      </w:r>
    </w:p>
    <w:tbl>
      <w:tblPr>
        <w:tblW w:type="auto" w:w="0"/>
        <w:jc w:val="center"/>
        <w:tblLook w:firstColumn="1" w:firstRow="1" w:lastColumn="0" w:lastRow="0" w:noHBand="0" w:noVBand="1" w:val="04A0"/>
      </w:tblPr>
      <w:tblGrid>
        <w:gridCol w:w="2340"/>
        <w:gridCol w:w="2340"/>
        <w:gridCol w:w="2340"/>
        <w:gridCol w:w="2340"/>
      </w:tblGrid>
      <w:tr>
        <w:tc>
          <w:tcPr>
            <w:tcW w:type="dxa" w:w="2340"/>
            <w:shd w:fill="0F766E"/>
            <w:tcMar>
              <w:top w:w="80" w:type="dxa"/>
              <w:bottom w:w="80" w:type="dxa"/>
              <w:left w:w="100" w:type="dxa"/>
              <w:right w:w="100" w:type="dxa"/>
            </w:tcMar>
          </w:tcPr>
          <w:p>
            <w:r>
              <w:rPr>
                <w:b/>
                <w:color w:val="FFFFFF"/>
              </w:rPr>
              <w:t>Category</w:t>
            </w:r>
          </w:p>
        </w:tc>
        <w:tc>
          <w:tcPr>
            <w:tcW w:type="dxa" w:w="2340"/>
            <w:shd w:fill="0F766E"/>
            <w:tcMar>
              <w:top w:w="80" w:type="dxa"/>
              <w:bottom w:w="80" w:type="dxa"/>
              <w:left w:w="100" w:type="dxa"/>
              <w:right w:w="100" w:type="dxa"/>
            </w:tcMar>
          </w:tcPr>
          <w:p>
            <w:r>
              <w:rPr>
                <w:b/>
                <w:color w:val="FFFFFF"/>
              </w:rPr>
              <w:t>Ratio Name</w:t>
            </w:r>
          </w:p>
        </w:tc>
        <w:tc>
          <w:tcPr>
            <w:tcW w:type="dxa" w:w="2340"/>
            <w:shd w:fill="0F766E"/>
            <w:tcMar>
              <w:top w:w="80" w:type="dxa"/>
              <w:bottom w:w="80" w:type="dxa"/>
              <w:left w:w="100" w:type="dxa"/>
              <w:right w:w="100" w:type="dxa"/>
            </w:tcMar>
          </w:tcPr>
          <w:p>
            <w:r>
              <w:rPr>
                <w:b/>
                <w:color w:val="FFFFFF"/>
              </w:rPr>
              <w:t>Standard Formula</w:t>
            </w:r>
          </w:p>
        </w:tc>
        <w:tc>
          <w:tcPr>
            <w:tcW w:type="dxa" w:w="2340"/>
            <w:shd w:fill="0F766E"/>
            <w:tcMar>
              <w:top w:w="80" w:type="dxa"/>
              <w:bottom w:w="80" w:type="dxa"/>
              <w:left w:w="100" w:type="dxa"/>
              <w:right w:w="100" w:type="dxa"/>
            </w:tcMar>
          </w:tcPr>
          <w:p>
            <w:r>
              <w:rPr>
                <w:b/>
                <w:color w:val="FFFFFF"/>
              </w:rPr>
              <w:t>Benchmark / Interpretation</w:t>
            </w:r>
          </w:p>
        </w:tc>
      </w:tr>
      <w:tr>
        <w:tc>
          <w:tcPr>
            <w:tcW w:type="dxa" w:w="2340"/>
            <w:shd w:fill="F8FAFC"/>
            <w:tcMar>
              <w:top w:w="60" w:type="dxa"/>
              <w:bottom w:w="60" w:type="dxa"/>
              <w:left w:w="100" w:type="dxa"/>
              <w:right w:w="100" w:type="dxa"/>
            </w:tcMar>
          </w:tcPr>
          <w:p>
            <w:r>
              <w:rPr>
                <w:sz w:val="19"/>
              </w:rPr>
              <w:t>Liquidity</w:t>
            </w:r>
          </w:p>
        </w:tc>
        <w:tc>
          <w:tcPr>
            <w:tcW w:type="dxa" w:w="2340"/>
            <w:shd w:fill="F8FAFC"/>
            <w:tcMar>
              <w:top w:w="60" w:type="dxa"/>
              <w:bottom w:w="60" w:type="dxa"/>
              <w:left w:w="100" w:type="dxa"/>
              <w:right w:w="100" w:type="dxa"/>
            </w:tcMar>
          </w:tcPr>
          <w:p>
            <w:r>
              <w:rPr>
                <w:sz w:val="19"/>
              </w:rPr>
              <w:t>Current Ratio (CR)</w:t>
            </w:r>
          </w:p>
        </w:tc>
        <w:tc>
          <w:tcPr>
            <w:tcW w:type="dxa" w:w="2340"/>
            <w:shd w:fill="F8FAFC"/>
            <w:tcMar>
              <w:top w:w="60" w:type="dxa"/>
              <w:bottom w:w="60" w:type="dxa"/>
              <w:left w:w="100" w:type="dxa"/>
              <w:right w:w="100" w:type="dxa"/>
            </w:tcMar>
          </w:tcPr>
          <w:p>
            <w:r>
              <w:rPr>
                <w:sz w:val="19"/>
              </w:rPr>
              <w:t>Current Assets ÷ Current Liabilities</w:t>
            </w:r>
          </w:p>
        </w:tc>
        <w:tc>
          <w:tcPr>
            <w:tcW w:type="dxa" w:w="2340"/>
            <w:shd w:fill="F8FAFC"/>
            <w:tcMar>
              <w:top w:w="60" w:type="dxa"/>
              <w:bottom w:w="60" w:type="dxa"/>
              <w:left w:w="100" w:type="dxa"/>
              <w:right w:w="100" w:type="dxa"/>
            </w:tcMar>
          </w:tcPr>
          <w:p>
            <w:r>
              <w:rPr>
                <w:sz w:val="19"/>
              </w:rPr>
              <w:t>Ideal: 1.50x – 2.00x. Measures ability to settle short-term obligations.</w:t>
            </w:r>
          </w:p>
        </w:tc>
      </w:tr>
      <w:tr>
        <w:tc>
          <w:tcPr>
            <w:tcW w:type="dxa" w:w="2340"/>
            <w:shd w:fill="FFFFFF"/>
            <w:tcMar>
              <w:top w:w="60" w:type="dxa"/>
              <w:bottom w:w="60" w:type="dxa"/>
              <w:left w:w="100" w:type="dxa"/>
              <w:right w:w="100" w:type="dxa"/>
            </w:tcMar>
          </w:tcPr>
          <w:p>
            <w:r>
              <w:rPr>
                <w:sz w:val="19"/>
              </w:rPr>
              <w:t>Liquidity</w:t>
            </w:r>
          </w:p>
        </w:tc>
        <w:tc>
          <w:tcPr>
            <w:tcW w:type="dxa" w:w="2340"/>
            <w:shd w:fill="FFFFFF"/>
            <w:tcMar>
              <w:top w:w="60" w:type="dxa"/>
              <w:bottom w:w="60" w:type="dxa"/>
              <w:left w:w="100" w:type="dxa"/>
              <w:right w:w="100" w:type="dxa"/>
            </w:tcMar>
          </w:tcPr>
          <w:p>
            <w:r>
              <w:rPr>
                <w:sz w:val="19"/>
              </w:rPr>
              <w:t>Quick Ratio (QR)</w:t>
            </w:r>
          </w:p>
        </w:tc>
        <w:tc>
          <w:tcPr>
            <w:tcW w:type="dxa" w:w="2340"/>
            <w:shd w:fill="FFFFFF"/>
            <w:tcMar>
              <w:top w:w="60" w:type="dxa"/>
              <w:bottom w:w="60" w:type="dxa"/>
              <w:left w:w="100" w:type="dxa"/>
              <w:right w:w="100" w:type="dxa"/>
            </w:tcMar>
          </w:tcPr>
          <w:p>
            <w:r>
              <w:rPr>
                <w:sz w:val="19"/>
              </w:rPr>
              <w:t>(Current Assets − Inventory − Prepaid) ÷ Current Liabilities</w:t>
            </w:r>
          </w:p>
        </w:tc>
        <w:tc>
          <w:tcPr>
            <w:tcW w:type="dxa" w:w="2340"/>
            <w:shd w:fill="FFFFFF"/>
            <w:tcMar>
              <w:top w:w="60" w:type="dxa"/>
              <w:bottom w:w="60" w:type="dxa"/>
              <w:left w:w="100" w:type="dxa"/>
              <w:right w:w="100" w:type="dxa"/>
            </w:tcMar>
          </w:tcPr>
          <w:p>
            <w:r>
              <w:rPr>
                <w:sz w:val="19"/>
              </w:rPr>
              <w:t>Ideal: ≥ 1.00x. Acid-test liquidity excluding illiquid inventory.</w:t>
            </w:r>
          </w:p>
        </w:tc>
      </w:tr>
      <w:tr>
        <w:tc>
          <w:tcPr>
            <w:tcW w:type="dxa" w:w="2340"/>
            <w:shd w:fill="F8FAFC"/>
            <w:tcMar>
              <w:top w:w="60" w:type="dxa"/>
              <w:bottom w:w="60" w:type="dxa"/>
              <w:left w:w="100" w:type="dxa"/>
              <w:right w:w="100" w:type="dxa"/>
            </w:tcMar>
          </w:tcPr>
          <w:p>
            <w:r>
              <w:rPr>
                <w:sz w:val="19"/>
              </w:rPr>
              <w:t>Solvency</w:t>
            </w:r>
          </w:p>
        </w:tc>
        <w:tc>
          <w:tcPr>
            <w:tcW w:type="dxa" w:w="2340"/>
            <w:shd w:fill="F8FAFC"/>
            <w:tcMar>
              <w:top w:w="60" w:type="dxa"/>
              <w:bottom w:w="60" w:type="dxa"/>
              <w:left w:w="100" w:type="dxa"/>
              <w:right w:w="100" w:type="dxa"/>
            </w:tcMar>
          </w:tcPr>
          <w:p>
            <w:r>
              <w:rPr>
                <w:sz w:val="19"/>
              </w:rPr>
              <w:t>Debt-to-Equity (D/E)</w:t>
            </w:r>
          </w:p>
        </w:tc>
        <w:tc>
          <w:tcPr>
            <w:tcW w:type="dxa" w:w="2340"/>
            <w:shd w:fill="F8FAFC"/>
            <w:tcMar>
              <w:top w:w="60" w:type="dxa"/>
              <w:bottom w:w="60" w:type="dxa"/>
              <w:left w:w="100" w:type="dxa"/>
              <w:right w:w="100" w:type="dxa"/>
            </w:tcMar>
          </w:tcPr>
          <w:p>
            <w:r>
              <w:rPr>
                <w:sz w:val="19"/>
              </w:rPr>
              <w:t>Total Debt ÷ Shareholders' Equity</w:t>
            </w:r>
          </w:p>
        </w:tc>
        <w:tc>
          <w:tcPr>
            <w:tcW w:type="dxa" w:w="2340"/>
            <w:shd w:fill="F8FAFC"/>
            <w:tcMar>
              <w:top w:w="60" w:type="dxa"/>
              <w:bottom w:w="60" w:type="dxa"/>
              <w:left w:w="100" w:type="dxa"/>
              <w:right w:w="100" w:type="dxa"/>
            </w:tcMar>
          </w:tcPr>
          <w:p>
            <w:r>
              <w:rPr>
                <w:sz w:val="19"/>
              </w:rPr>
              <w:t>Ideal: ≤ 1.50x. Capital leverage; &gt; 2.0x indicates heavy creditor reliance.</w:t>
            </w:r>
          </w:p>
        </w:tc>
      </w:tr>
      <w:tr>
        <w:tc>
          <w:tcPr>
            <w:tcW w:type="dxa" w:w="2340"/>
            <w:shd w:fill="FFFFFF"/>
            <w:tcMar>
              <w:top w:w="60" w:type="dxa"/>
              <w:bottom w:w="60" w:type="dxa"/>
              <w:left w:w="100" w:type="dxa"/>
              <w:right w:w="100" w:type="dxa"/>
            </w:tcMar>
          </w:tcPr>
          <w:p>
            <w:r>
              <w:rPr>
                <w:sz w:val="19"/>
              </w:rPr>
              <w:t>Profitability</w:t>
            </w:r>
          </w:p>
        </w:tc>
        <w:tc>
          <w:tcPr>
            <w:tcW w:type="dxa" w:w="2340"/>
            <w:shd w:fill="FFFFFF"/>
            <w:tcMar>
              <w:top w:w="60" w:type="dxa"/>
              <w:bottom w:w="60" w:type="dxa"/>
              <w:left w:w="100" w:type="dxa"/>
              <w:right w:w="100" w:type="dxa"/>
            </w:tcMar>
          </w:tcPr>
          <w:p>
            <w:r>
              <w:rPr>
                <w:sz w:val="19"/>
              </w:rPr>
              <w:t>Net Profit Margin (NPM)</w:t>
            </w:r>
          </w:p>
        </w:tc>
        <w:tc>
          <w:tcPr>
            <w:tcW w:type="dxa" w:w="2340"/>
            <w:shd w:fill="FFFFFF"/>
            <w:tcMar>
              <w:top w:w="60" w:type="dxa"/>
              <w:bottom w:w="60" w:type="dxa"/>
              <w:left w:w="100" w:type="dxa"/>
              <w:right w:w="100" w:type="dxa"/>
            </w:tcMar>
          </w:tcPr>
          <w:p>
            <w:r>
              <w:rPr>
                <w:sz w:val="19"/>
              </w:rPr>
              <w:t>(Net Profit After Tax ÷ Net Sales) × 100</w:t>
            </w:r>
          </w:p>
        </w:tc>
        <w:tc>
          <w:tcPr>
            <w:tcW w:type="dxa" w:w="2340"/>
            <w:shd w:fill="FFFFFF"/>
            <w:tcMar>
              <w:top w:w="60" w:type="dxa"/>
              <w:bottom w:w="60" w:type="dxa"/>
              <w:left w:w="100" w:type="dxa"/>
              <w:right w:w="100" w:type="dxa"/>
            </w:tcMar>
          </w:tcPr>
          <w:p>
            <w:r>
              <w:rPr>
                <w:sz w:val="19"/>
              </w:rPr>
              <w:t>Higher is better. Percentage of top-line revenue converted to net income.</w:t>
            </w:r>
          </w:p>
        </w:tc>
      </w:tr>
      <w:tr>
        <w:tc>
          <w:tcPr>
            <w:tcW w:type="dxa" w:w="2340"/>
            <w:shd w:fill="F8FAFC"/>
            <w:tcMar>
              <w:top w:w="60" w:type="dxa"/>
              <w:bottom w:w="60" w:type="dxa"/>
              <w:left w:w="100" w:type="dxa"/>
              <w:right w:w="100" w:type="dxa"/>
            </w:tcMar>
          </w:tcPr>
          <w:p>
            <w:r>
              <w:rPr>
                <w:sz w:val="19"/>
              </w:rPr>
              <w:t>Profitability</w:t>
            </w:r>
          </w:p>
        </w:tc>
        <w:tc>
          <w:tcPr>
            <w:tcW w:type="dxa" w:w="2340"/>
            <w:shd w:fill="F8FAFC"/>
            <w:tcMar>
              <w:top w:w="60" w:type="dxa"/>
              <w:bottom w:w="60" w:type="dxa"/>
              <w:left w:w="100" w:type="dxa"/>
              <w:right w:w="100" w:type="dxa"/>
            </w:tcMar>
          </w:tcPr>
          <w:p>
            <w:r>
              <w:rPr>
                <w:sz w:val="19"/>
              </w:rPr>
              <w:t>Operating Margin (OPM)</w:t>
            </w:r>
          </w:p>
        </w:tc>
        <w:tc>
          <w:tcPr>
            <w:tcW w:type="dxa" w:w="2340"/>
            <w:shd w:fill="F8FAFC"/>
            <w:tcMar>
              <w:top w:w="60" w:type="dxa"/>
              <w:bottom w:w="60" w:type="dxa"/>
              <w:left w:w="100" w:type="dxa"/>
              <w:right w:w="100" w:type="dxa"/>
            </w:tcMar>
          </w:tcPr>
          <w:p>
            <w:r>
              <w:rPr>
                <w:sz w:val="19"/>
              </w:rPr>
              <w:t>(EBIT ÷ Net Sales) × 100</w:t>
            </w:r>
          </w:p>
        </w:tc>
        <w:tc>
          <w:tcPr>
            <w:tcW w:type="dxa" w:w="2340"/>
            <w:shd w:fill="F8FAFC"/>
            <w:tcMar>
              <w:top w:w="60" w:type="dxa"/>
              <w:bottom w:w="60" w:type="dxa"/>
              <w:left w:w="100" w:type="dxa"/>
              <w:right w:w="100" w:type="dxa"/>
            </w:tcMar>
          </w:tcPr>
          <w:p>
            <w:r>
              <w:rPr>
                <w:sz w:val="19"/>
              </w:rPr>
              <w:t>Measures core operational profitability before interest and taxes.</w:t>
            </w:r>
          </w:p>
        </w:tc>
      </w:tr>
      <w:tr>
        <w:tc>
          <w:tcPr>
            <w:tcW w:type="dxa" w:w="2340"/>
            <w:shd w:fill="FFFFFF"/>
            <w:tcMar>
              <w:top w:w="60" w:type="dxa"/>
              <w:bottom w:w="60" w:type="dxa"/>
              <w:left w:w="100" w:type="dxa"/>
              <w:right w:w="100" w:type="dxa"/>
            </w:tcMar>
          </w:tcPr>
          <w:p>
            <w:r>
              <w:rPr>
                <w:sz w:val="19"/>
              </w:rPr>
              <w:t>Debt Servicing</w:t>
            </w:r>
          </w:p>
        </w:tc>
        <w:tc>
          <w:tcPr>
            <w:tcW w:type="dxa" w:w="2340"/>
            <w:shd w:fill="FFFFFF"/>
            <w:tcMar>
              <w:top w:w="60" w:type="dxa"/>
              <w:bottom w:w="60" w:type="dxa"/>
              <w:left w:w="100" w:type="dxa"/>
              <w:right w:w="100" w:type="dxa"/>
            </w:tcMar>
          </w:tcPr>
          <w:p>
            <w:r>
              <w:rPr>
                <w:sz w:val="19"/>
              </w:rPr>
              <w:t>Interest Coverage (ICR)</w:t>
            </w:r>
          </w:p>
        </w:tc>
        <w:tc>
          <w:tcPr>
            <w:tcW w:type="dxa" w:w="2340"/>
            <w:shd w:fill="FFFFFF"/>
            <w:tcMar>
              <w:top w:w="60" w:type="dxa"/>
              <w:bottom w:w="60" w:type="dxa"/>
              <w:left w:w="100" w:type="dxa"/>
              <w:right w:w="100" w:type="dxa"/>
            </w:tcMar>
          </w:tcPr>
          <w:p>
            <w:r>
              <w:rPr>
                <w:sz w:val="19"/>
              </w:rPr>
              <w:t>EBIT ÷ Interest Expense</w:t>
            </w:r>
          </w:p>
        </w:tc>
        <w:tc>
          <w:tcPr>
            <w:tcW w:type="dxa" w:w="2340"/>
            <w:shd w:fill="FFFFFF"/>
            <w:tcMar>
              <w:top w:w="60" w:type="dxa"/>
              <w:bottom w:w="60" w:type="dxa"/>
              <w:left w:w="100" w:type="dxa"/>
              <w:right w:w="100" w:type="dxa"/>
            </w:tcMar>
          </w:tcPr>
          <w:p>
            <w:r>
              <w:rPr>
                <w:sz w:val="19"/>
              </w:rPr>
              <w:t>Safe: ≥ 3.0x. Capacity to service ongoing interest charges from operations.</w:t>
            </w:r>
          </w:p>
        </w:tc>
      </w:tr>
      <w:tr>
        <w:tc>
          <w:tcPr>
            <w:tcW w:type="dxa" w:w="2340"/>
            <w:shd w:fill="F8FAFC"/>
            <w:tcMar>
              <w:top w:w="60" w:type="dxa"/>
              <w:bottom w:w="60" w:type="dxa"/>
              <w:left w:w="100" w:type="dxa"/>
              <w:right w:w="100" w:type="dxa"/>
            </w:tcMar>
          </w:tcPr>
          <w:p>
            <w:r>
              <w:rPr>
                <w:sz w:val="19"/>
              </w:rPr>
              <w:t>Efficiency</w:t>
            </w:r>
          </w:p>
        </w:tc>
        <w:tc>
          <w:tcPr>
            <w:tcW w:type="dxa" w:w="2340"/>
            <w:shd w:fill="F8FAFC"/>
            <w:tcMar>
              <w:top w:w="60" w:type="dxa"/>
              <w:bottom w:w="60" w:type="dxa"/>
              <w:left w:w="100" w:type="dxa"/>
              <w:right w:w="100" w:type="dxa"/>
            </w:tcMar>
          </w:tcPr>
          <w:p>
            <w:r>
              <w:rPr>
                <w:sz w:val="19"/>
              </w:rPr>
              <w:t>Inventory Turnover (IT)</w:t>
            </w:r>
          </w:p>
        </w:tc>
        <w:tc>
          <w:tcPr>
            <w:tcW w:type="dxa" w:w="2340"/>
            <w:shd w:fill="F8FAFC"/>
            <w:tcMar>
              <w:top w:w="60" w:type="dxa"/>
              <w:bottom w:w="60" w:type="dxa"/>
              <w:left w:w="100" w:type="dxa"/>
              <w:right w:w="100" w:type="dxa"/>
            </w:tcMar>
          </w:tcPr>
          <w:p>
            <w:r>
              <w:rPr>
                <w:sz w:val="19"/>
              </w:rPr>
              <w:t>Cost of Goods Sold ÷ Average Inventory</w:t>
            </w:r>
          </w:p>
        </w:tc>
        <w:tc>
          <w:tcPr>
            <w:tcW w:type="dxa" w:w="2340"/>
            <w:shd w:fill="F8FAFC"/>
            <w:tcMar>
              <w:top w:w="60" w:type="dxa"/>
              <w:bottom w:w="60" w:type="dxa"/>
              <w:left w:w="100" w:type="dxa"/>
              <w:right w:w="100" w:type="dxa"/>
            </w:tcMar>
          </w:tcPr>
          <w:p>
            <w:r>
              <w:rPr>
                <w:sz w:val="19"/>
              </w:rPr>
              <w:t>Measures inventory conversion velocity; higher indicates rapid movement.</w:t>
            </w:r>
          </w:p>
        </w:tc>
      </w:tr>
      <w:tr>
        <w:tc>
          <w:tcPr>
            <w:tcW w:type="dxa" w:w="2340"/>
            <w:shd w:fill="FFFFFF"/>
            <w:tcMar>
              <w:top w:w="60" w:type="dxa"/>
              <w:bottom w:w="60" w:type="dxa"/>
              <w:left w:w="100" w:type="dxa"/>
              <w:right w:w="100" w:type="dxa"/>
            </w:tcMar>
          </w:tcPr>
          <w:p>
            <w:r>
              <w:rPr>
                <w:sz w:val="19"/>
              </w:rPr>
              <w:t>Efficiency</w:t>
            </w:r>
          </w:p>
        </w:tc>
        <w:tc>
          <w:tcPr>
            <w:tcW w:type="dxa" w:w="2340"/>
            <w:shd w:fill="FFFFFF"/>
            <w:tcMar>
              <w:top w:w="60" w:type="dxa"/>
              <w:bottom w:w="60" w:type="dxa"/>
              <w:left w:w="100" w:type="dxa"/>
              <w:right w:w="100" w:type="dxa"/>
            </w:tcMar>
          </w:tcPr>
          <w:p>
            <w:r>
              <w:rPr>
                <w:sz w:val="19"/>
              </w:rPr>
              <w:t>Receivable Days (DSO)</w:t>
            </w:r>
          </w:p>
        </w:tc>
        <w:tc>
          <w:tcPr>
            <w:tcW w:type="dxa" w:w="2340"/>
            <w:shd w:fill="FFFFFF"/>
            <w:tcMar>
              <w:top w:w="60" w:type="dxa"/>
              <w:bottom w:w="60" w:type="dxa"/>
              <w:left w:w="100" w:type="dxa"/>
              <w:right w:w="100" w:type="dxa"/>
            </w:tcMar>
          </w:tcPr>
          <w:p>
            <w:r>
              <w:rPr>
                <w:sz w:val="19"/>
              </w:rPr>
              <w:t>(Average Receivables ÷ Credit Sales) × 365</w:t>
            </w:r>
          </w:p>
        </w:tc>
        <w:tc>
          <w:tcPr>
            <w:tcW w:type="dxa" w:w="2340"/>
            <w:shd w:fill="FFFFFF"/>
            <w:tcMar>
              <w:top w:w="60" w:type="dxa"/>
              <w:bottom w:w="60" w:type="dxa"/>
              <w:left w:w="100" w:type="dxa"/>
              <w:right w:w="100" w:type="dxa"/>
            </w:tcMar>
          </w:tcPr>
          <w:p>
            <w:r>
              <w:rPr>
                <w:sz w:val="19"/>
              </w:rPr>
              <w:t>Average collection duration; &lt; 60 days represents healthy cash conversion.</w:t>
            </w:r>
          </w:p>
        </w:tc>
      </w:tr>
    </w:tbl>
    <w:p>
      <w:pPr>
        <w:spacing w:after="160"/>
      </w:pPr>
    </w:p>
    <w:p>
      <w:pPr>
        <w:keepNext/>
        <w:spacing w:before="240" w:after="80"/>
      </w:pPr>
      <w:r>
        <w:rPr>
          <w:b/>
          <w:color w:val="1E293B"/>
          <w:sz w:val="25"/>
        </w:rPr>
        <w:t>Empirical Financial Statement Case Study (Book1.xlsx)</w:t>
      </w:r>
    </w:p>
    <w:p>
      <w:r>
        <w:t>To verify system accuracy, the platform was tested against an audited corporate statement from an Indian manufacturing firm (Book1.xlsx). The parser extracted the following figures and computed exact matching textbook ratios:</w:t>
      </w:r>
    </w:p>
    <w:tbl>
      <w:tblPr>
        <w:tblW w:type="auto" w:w="0"/>
        <w:jc w:val="center"/>
        <w:tblLook w:firstColumn="1" w:firstRow="1" w:lastColumn="0" w:lastRow="0" w:noHBand="0" w:noVBand="1" w:val="04A0"/>
      </w:tblPr>
      <w:tblGrid>
        <w:gridCol w:w="3120"/>
        <w:gridCol w:w="3120"/>
        <w:gridCol w:w="3120"/>
      </w:tblGrid>
      <w:tr>
        <w:tc>
          <w:tcPr>
            <w:tcW w:type="dxa" w:w="3120"/>
            <w:shd w:fill="1E293B"/>
            <w:tcMar>
              <w:top w:w="60" w:type="dxa"/>
              <w:bottom w:w="60" w:type="dxa"/>
              <w:left w:w="100" w:type="dxa"/>
              <w:right w:w="100" w:type="dxa"/>
            </w:tcMar>
          </w:tcPr>
          <w:p>
            <w:r>
              <w:rPr>
                <w:b/>
                <w:color w:val="FFFFFF"/>
              </w:rPr>
              <w:t>Audited Line Item</w:t>
            </w:r>
          </w:p>
        </w:tc>
        <w:tc>
          <w:tcPr>
            <w:tcW w:type="dxa" w:w="3120"/>
            <w:shd w:fill="1E293B"/>
            <w:tcMar>
              <w:top w:w="60" w:type="dxa"/>
              <w:bottom w:w="60" w:type="dxa"/>
              <w:left w:w="100" w:type="dxa"/>
              <w:right w:w="100" w:type="dxa"/>
            </w:tcMar>
          </w:tcPr>
          <w:p>
            <w:r>
              <w:rPr>
                <w:b/>
                <w:color w:val="FFFFFF"/>
              </w:rPr>
              <w:t>Reported Amount (₹)</w:t>
            </w:r>
          </w:p>
        </w:tc>
        <w:tc>
          <w:tcPr>
            <w:tcW w:type="dxa" w:w="3120"/>
            <w:shd w:fill="1E293B"/>
            <w:tcMar>
              <w:top w:w="60" w:type="dxa"/>
              <w:bottom w:w="60" w:type="dxa"/>
              <w:left w:w="100" w:type="dxa"/>
              <w:right w:w="100" w:type="dxa"/>
            </w:tcMar>
          </w:tcPr>
          <w:p>
            <w:r>
              <w:rPr>
                <w:b/>
                <w:color w:val="FFFFFF"/>
              </w:rPr>
              <w:t>Resulting Computed Ratio</w:t>
            </w:r>
          </w:p>
        </w:tc>
      </w:tr>
      <w:tr>
        <w:tc>
          <w:tcPr>
            <w:tcW w:type="dxa" w:w="3120"/>
            <w:shd w:fill="F8FAFC"/>
            <w:tcMar>
              <w:top w:w="60" w:type="dxa"/>
              <w:bottom w:w="60" w:type="dxa"/>
              <w:left w:w="100" w:type="dxa"/>
              <w:right w:w="100" w:type="dxa"/>
            </w:tcMar>
          </w:tcPr>
          <w:p>
            <w:r>
              <w:rPr>
                <w:sz w:val="19"/>
              </w:rPr>
              <w:t>Gross Sales: ₹80,00,000 | Sales Returns: -₹2,00,000 → Net Sales</w:t>
            </w:r>
          </w:p>
        </w:tc>
        <w:tc>
          <w:tcPr>
            <w:tcW w:type="dxa" w:w="3120"/>
            <w:shd w:fill="F8FAFC"/>
            <w:tcMar>
              <w:top w:w="60" w:type="dxa"/>
              <w:bottom w:w="60" w:type="dxa"/>
              <w:left w:w="100" w:type="dxa"/>
              <w:right w:w="100" w:type="dxa"/>
            </w:tcMar>
          </w:tcPr>
          <w:p>
            <w:r>
              <w:rPr>
                <w:sz w:val="19"/>
              </w:rPr>
              <w:t>₹78,00,000</w:t>
            </w:r>
          </w:p>
        </w:tc>
        <w:tc>
          <w:tcPr>
            <w:tcW w:type="dxa" w:w="3120"/>
            <w:shd w:fill="F8FAFC"/>
            <w:tcMar>
              <w:top w:w="60" w:type="dxa"/>
              <w:bottom w:w="60" w:type="dxa"/>
              <w:left w:w="100" w:type="dxa"/>
              <w:right w:w="100" w:type="dxa"/>
            </w:tcMar>
          </w:tcPr>
          <w:p>
            <w:r>
              <w:rPr>
                <w:sz w:val="19"/>
              </w:rPr>
              <w:t>Baseline Net Revenue from Operations</w:t>
            </w:r>
          </w:p>
        </w:tc>
      </w:tr>
      <w:tr>
        <w:tc>
          <w:tcPr>
            <w:tcW w:type="dxa" w:w="3120"/>
            <w:shd w:fill="FFFFFF"/>
            <w:tcMar>
              <w:top w:w="60" w:type="dxa"/>
              <w:bottom w:w="60" w:type="dxa"/>
              <w:left w:w="100" w:type="dxa"/>
              <w:right w:w="100" w:type="dxa"/>
            </w:tcMar>
          </w:tcPr>
          <w:p>
            <w:r>
              <w:rPr>
                <w:sz w:val="19"/>
              </w:rPr>
              <w:t>Cost of Goods Sold (COGS)</w:t>
            </w:r>
          </w:p>
        </w:tc>
        <w:tc>
          <w:tcPr>
            <w:tcW w:type="dxa" w:w="3120"/>
            <w:shd w:fill="FFFFFF"/>
            <w:tcMar>
              <w:top w:w="60" w:type="dxa"/>
              <w:bottom w:w="60" w:type="dxa"/>
              <w:left w:w="100" w:type="dxa"/>
              <w:right w:w="100" w:type="dxa"/>
            </w:tcMar>
          </w:tcPr>
          <w:p>
            <w:r>
              <w:rPr>
                <w:sz w:val="19"/>
              </w:rPr>
              <w:t>₹49,00,000</w:t>
            </w:r>
          </w:p>
        </w:tc>
        <w:tc>
          <w:tcPr>
            <w:tcW w:type="dxa" w:w="3120"/>
            <w:shd w:fill="FFFFFF"/>
            <w:tcMar>
              <w:top w:w="60" w:type="dxa"/>
              <w:bottom w:w="60" w:type="dxa"/>
              <w:left w:w="100" w:type="dxa"/>
              <w:right w:w="100" w:type="dxa"/>
            </w:tcMar>
          </w:tcPr>
          <w:p>
            <w:r>
              <w:rPr>
                <w:sz w:val="19"/>
              </w:rPr>
              <w:t>Gross Profit = ₹29,00,000 (37.18% Margin)</w:t>
            </w:r>
          </w:p>
        </w:tc>
      </w:tr>
      <w:tr>
        <w:tc>
          <w:tcPr>
            <w:tcW w:type="dxa" w:w="3120"/>
            <w:shd w:fill="F8FAFC"/>
            <w:tcMar>
              <w:top w:w="60" w:type="dxa"/>
              <w:bottom w:w="60" w:type="dxa"/>
              <w:left w:w="100" w:type="dxa"/>
              <w:right w:w="100" w:type="dxa"/>
            </w:tcMar>
          </w:tcPr>
          <w:p>
            <w:r>
              <w:rPr>
                <w:sz w:val="19"/>
              </w:rPr>
              <w:t>Operating Profit (EBIT)</w:t>
            </w:r>
          </w:p>
        </w:tc>
        <w:tc>
          <w:tcPr>
            <w:tcW w:type="dxa" w:w="3120"/>
            <w:shd w:fill="F8FAFC"/>
            <w:tcMar>
              <w:top w:w="60" w:type="dxa"/>
              <w:bottom w:w="60" w:type="dxa"/>
              <w:left w:w="100" w:type="dxa"/>
              <w:right w:w="100" w:type="dxa"/>
            </w:tcMar>
          </w:tcPr>
          <w:p>
            <w:r>
              <w:rPr>
                <w:sz w:val="19"/>
              </w:rPr>
              <w:t>₹11,00,000</w:t>
            </w:r>
          </w:p>
        </w:tc>
        <w:tc>
          <w:tcPr>
            <w:tcW w:type="dxa" w:w="3120"/>
            <w:shd w:fill="F8FAFC"/>
            <w:tcMar>
              <w:top w:w="60" w:type="dxa"/>
              <w:bottom w:w="60" w:type="dxa"/>
              <w:left w:w="100" w:type="dxa"/>
              <w:right w:w="100" w:type="dxa"/>
            </w:tcMar>
          </w:tcPr>
          <w:p>
            <w:r>
              <w:rPr>
                <w:sz w:val="19"/>
              </w:rPr>
              <w:t>Operating Profit Margin = 14.10%</w:t>
            </w:r>
          </w:p>
        </w:tc>
      </w:tr>
      <w:tr>
        <w:tc>
          <w:tcPr>
            <w:tcW w:type="dxa" w:w="3120"/>
            <w:shd w:fill="FFFFFF"/>
            <w:tcMar>
              <w:top w:w="60" w:type="dxa"/>
              <w:bottom w:w="60" w:type="dxa"/>
              <w:left w:w="100" w:type="dxa"/>
              <w:right w:w="100" w:type="dxa"/>
            </w:tcMar>
          </w:tcPr>
          <w:p>
            <w:r>
              <w:rPr>
                <w:sz w:val="19"/>
              </w:rPr>
              <w:t>Interest Expense (on Long-Term Bank Loan)</w:t>
            </w:r>
          </w:p>
        </w:tc>
        <w:tc>
          <w:tcPr>
            <w:tcW w:type="dxa" w:w="3120"/>
            <w:shd w:fill="FFFFFF"/>
            <w:tcMar>
              <w:top w:w="60" w:type="dxa"/>
              <w:bottom w:w="60" w:type="dxa"/>
              <w:left w:w="100" w:type="dxa"/>
              <w:right w:w="100" w:type="dxa"/>
            </w:tcMar>
          </w:tcPr>
          <w:p>
            <w:r>
              <w:rPr>
                <w:sz w:val="19"/>
              </w:rPr>
              <w:t>₹1,00,000</w:t>
            </w:r>
          </w:p>
        </w:tc>
        <w:tc>
          <w:tcPr>
            <w:tcW w:type="dxa" w:w="3120"/>
            <w:shd w:fill="FFFFFF"/>
            <w:tcMar>
              <w:top w:w="60" w:type="dxa"/>
              <w:bottom w:w="60" w:type="dxa"/>
              <w:left w:w="100" w:type="dxa"/>
              <w:right w:w="100" w:type="dxa"/>
            </w:tcMar>
          </w:tcPr>
          <w:p>
            <w:r>
              <w:rPr>
                <w:sz w:val="19"/>
              </w:rPr>
              <w:t>Interest Coverage Ratio (ICR) = 11.0x (11L ÷ 1L)</w:t>
            </w:r>
          </w:p>
        </w:tc>
      </w:tr>
      <w:tr>
        <w:tc>
          <w:tcPr>
            <w:tcW w:type="dxa" w:w="3120"/>
            <w:shd w:fill="F8FAFC"/>
            <w:tcMar>
              <w:top w:w="60" w:type="dxa"/>
              <w:bottom w:w="60" w:type="dxa"/>
              <w:left w:w="100" w:type="dxa"/>
              <w:right w:w="100" w:type="dxa"/>
            </w:tcMar>
          </w:tcPr>
          <w:p>
            <w:r>
              <w:rPr>
                <w:sz w:val="19"/>
              </w:rPr>
              <w:t>Net Profit After Tax (PAT)</w:t>
            </w:r>
          </w:p>
        </w:tc>
        <w:tc>
          <w:tcPr>
            <w:tcW w:type="dxa" w:w="3120"/>
            <w:shd w:fill="F8FAFC"/>
            <w:tcMar>
              <w:top w:w="60" w:type="dxa"/>
              <w:bottom w:w="60" w:type="dxa"/>
              <w:left w:w="100" w:type="dxa"/>
              <w:right w:w="100" w:type="dxa"/>
            </w:tcMar>
          </w:tcPr>
          <w:p>
            <w:r>
              <w:rPr>
                <w:sz w:val="19"/>
              </w:rPr>
              <w:t>₹7,50,000</w:t>
            </w:r>
          </w:p>
        </w:tc>
        <w:tc>
          <w:tcPr>
            <w:tcW w:type="dxa" w:w="3120"/>
            <w:shd w:fill="F8FAFC"/>
            <w:tcMar>
              <w:top w:w="60" w:type="dxa"/>
              <w:bottom w:w="60" w:type="dxa"/>
              <w:left w:w="100" w:type="dxa"/>
              <w:right w:w="100" w:type="dxa"/>
            </w:tcMar>
          </w:tcPr>
          <w:p>
            <w:r>
              <w:rPr>
                <w:sz w:val="19"/>
              </w:rPr>
              <w:t>Net Profit Margin (NPM) = 9.62%</w:t>
            </w:r>
          </w:p>
        </w:tc>
      </w:tr>
      <w:tr>
        <w:tc>
          <w:tcPr>
            <w:tcW w:type="dxa" w:w="3120"/>
            <w:shd w:fill="FFFFFF"/>
            <w:tcMar>
              <w:top w:w="60" w:type="dxa"/>
              <w:bottom w:w="60" w:type="dxa"/>
              <w:left w:w="100" w:type="dxa"/>
              <w:right w:w="100" w:type="dxa"/>
            </w:tcMar>
          </w:tcPr>
          <w:p>
            <w:r>
              <w:rPr>
                <w:sz w:val="19"/>
              </w:rPr>
              <w:t>Total Current Assets</w:t>
            </w:r>
          </w:p>
        </w:tc>
        <w:tc>
          <w:tcPr>
            <w:tcW w:type="dxa" w:w="3120"/>
            <w:shd w:fill="FFFFFF"/>
            <w:tcMar>
              <w:top w:w="60" w:type="dxa"/>
              <w:bottom w:w="60" w:type="dxa"/>
              <w:left w:w="100" w:type="dxa"/>
              <w:right w:w="100" w:type="dxa"/>
            </w:tcMar>
          </w:tcPr>
          <w:p>
            <w:r>
              <w:rPr>
                <w:sz w:val="19"/>
              </w:rPr>
              <w:t>₹30,00,000</w:t>
            </w:r>
          </w:p>
        </w:tc>
        <w:tc>
          <w:tcPr>
            <w:tcW w:type="dxa" w:w="3120"/>
            <w:shd w:fill="FFFFFF"/>
            <w:tcMar>
              <w:top w:w="60" w:type="dxa"/>
              <w:bottom w:w="60" w:type="dxa"/>
              <w:left w:w="100" w:type="dxa"/>
              <w:right w:w="100" w:type="dxa"/>
            </w:tcMar>
          </w:tcPr>
          <w:p>
            <w:r>
              <w:rPr>
                <w:sz w:val="19"/>
              </w:rPr>
              <w:t>Current Ratio = 1.50x (30L ÷ 20L)</w:t>
            </w:r>
          </w:p>
        </w:tc>
      </w:tr>
      <w:tr>
        <w:tc>
          <w:tcPr>
            <w:tcW w:type="dxa" w:w="3120"/>
            <w:shd w:fill="F8FAFC"/>
            <w:tcMar>
              <w:top w:w="60" w:type="dxa"/>
              <w:bottom w:w="60" w:type="dxa"/>
              <w:left w:w="100" w:type="dxa"/>
              <w:right w:w="100" w:type="dxa"/>
            </w:tcMar>
          </w:tcPr>
          <w:p>
            <w:r>
              <w:rPr>
                <w:sz w:val="19"/>
              </w:rPr>
              <w:t>Closing Inventory &amp; Stock</w:t>
            </w:r>
          </w:p>
        </w:tc>
        <w:tc>
          <w:tcPr>
            <w:tcW w:type="dxa" w:w="3120"/>
            <w:shd w:fill="F8FAFC"/>
            <w:tcMar>
              <w:top w:w="60" w:type="dxa"/>
              <w:bottom w:w="60" w:type="dxa"/>
              <w:left w:w="100" w:type="dxa"/>
              <w:right w:w="100" w:type="dxa"/>
            </w:tcMar>
          </w:tcPr>
          <w:p>
            <w:r>
              <w:rPr>
                <w:sz w:val="19"/>
              </w:rPr>
              <w:t>₹11,00,000</w:t>
            </w:r>
          </w:p>
        </w:tc>
        <w:tc>
          <w:tcPr>
            <w:tcW w:type="dxa" w:w="3120"/>
            <w:shd w:fill="F8FAFC"/>
            <w:tcMar>
              <w:top w:w="60" w:type="dxa"/>
              <w:bottom w:w="60" w:type="dxa"/>
              <w:left w:w="100" w:type="dxa"/>
              <w:right w:w="100" w:type="dxa"/>
            </w:tcMar>
          </w:tcPr>
          <w:p>
            <w:r>
              <w:rPr>
                <w:sz w:val="19"/>
              </w:rPr>
              <w:t>Quick Ratio = 0.95x ((30L − 11L) ÷ 20L)</w:t>
            </w:r>
          </w:p>
        </w:tc>
      </w:tr>
      <w:tr>
        <w:tc>
          <w:tcPr>
            <w:tcW w:type="dxa" w:w="3120"/>
            <w:shd w:fill="FFFFFF"/>
            <w:tcMar>
              <w:top w:w="60" w:type="dxa"/>
              <w:bottom w:w="60" w:type="dxa"/>
              <w:left w:w="100" w:type="dxa"/>
              <w:right w:w="100" w:type="dxa"/>
            </w:tcMar>
          </w:tcPr>
          <w:p>
            <w:r>
              <w:rPr>
                <w:sz w:val="19"/>
              </w:rPr>
              <w:t>Total Current Liabilities</w:t>
            </w:r>
          </w:p>
        </w:tc>
        <w:tc>
          <w:tcPr>
            <w:tcW w:type="dxa" w:w="3120"/>
            <w:shd w:fill="FFFFFF"/>
            <w:tcMar>
              <w:top w:w="60" w:type="dxa"/>
              <w:bottom w:w="60" w:type="dxa"/>
              <w:left w:w="100" w:type="dxa"/>
              <w:right w:w="100" w:type="dxa"/>
            </w:tcMar>
          </w:tcPr>
          <w:p>
            <w:r>
              <w:rPr>
                <w:sz w:val="19"/>
              </w:rPr>
              <w:t>₹20,00,000</w:t>
            </w:r>
          </w:p>
        </w:tc>
        <w:tc>
          <w:tcPr>
            <w:tcW w:type="dxa" w:w="3120"/>
            <w:shd w:fill="FFFFFF"/>
            <w:tcMar>
              <w:top w:w="60" w:type="dxa"/>
              <w:bottom w:w="60" w:type="dxa"/>
              <w:left w:w="100" w:type="dxa"/>
              <w:right w:w="100" w:type="dxa"/>
            </w:tcMar>
          </w:tcPr>
          <w:p>
            <w:r>
              <w:rPr>
                <w:sz w:val="19"/>
              </w:rPr>
              <w:t>Working Capital = ₹10,00,000</w:t>
            </w:r>
          </w:p>
        </w:tc>
      </w:tr>
      <w:tr>
        <w:tc>
          <w:tcPr>
            <w:tcW w:type="dxa" w:w="3120"/>
            <w:shd w:fill="F8FAFC"/>
            <w:tcMar>
              <w:top w:w="60" w:type="dxa"/>
              <w:bottom w:w="60" w:type="dxa"/>
              <w:left w:w="100" w:type="dxa"/>
              <w:right w:w="100" w:type="dxa"/>
            </w:tcMar>
          </w:tcPr>
          <w:p>
            <w:r>
              <w:rPr>
                <w:sz w:val="19"/>
              </w:rPr>
              <w:t>Long-Term Bank Loan (Total Debt)</w:t>
            </w:r>
          </w:p>
        </w:tc>
        <w:tc>
          <w:tcPr>
            <w:tcW w:type="dxa" w:w="3120"/>
            <w:shd w:fill="F8FAFC"/>
            <w:tcMar>
              <w:top w:w="60" w:type="dxa"/>
              <w:bottom w:w="60" w:type="dxa"/>
              <w:left w:w="100" w:type="dxa"/>
              <w:right w:w="100" w:type="dxa"/>
            </w:tcMar>
          </w:tcPr>
          <w:p>
            <w:r>
              <w:rPr>
                <w:sz w:val="19"/>
              </w:rPr>
              <w:t>₹15,00,000</w:t>
            </w:r>
          </w:p>
        </w:tc>
        <w:tc>
          <w:tcPr>
            <w:tcW w:type="dxa" w:w="3120"/>
            <w:shd w:fill="F8FAFC"/>
            <w:tcMar>
              <w:top w:w="60" w:type="dxa"/>
              <w:bottom w:w="60" w:type="dxa"/>
              <w:left w:w="100" w:type="dxa"/>
              <w:right w:w="100" w:type="dxa"/>
            </w:tcMar>
          </w:tcPr>
          <w:p>
            <w:r>
              <w:rPr>
                <w:sz w:val="19"/>
              </w:rPr>
              <w:t>Debt-to-Equity (D/E) = 0.75x (15L ÷ 20L)</w:t>
            </w:r>
          </w:p>
        </w:tc>
      </w:tr>
    </w:tbl>
    <w:p>
      <w:pPr>
        <w:spacing w:after="160"/>
      </w:pPr>
    </w:p>
    <w:p>
      <w:pPr>
        <w:keepNext/>
        <w:spacing w:before="240" w:after="80"/>
      </w:pPr>
      <w:r>
        <w:rPr>
          <w:b/>
          <w:color w:val="1E293B"/>
          <w:sz w:val="25"/>
        </w:rPr>
        <w:t>Altman Z-Score Distress Formulation</w:t>
      </w:r>
    </w:p>
    <w:p>
      <w:r>
        <w:t>RiskGuard Pro implements the 1968 Altman Z-Score formulation for private manufacturing and non-financial entities:</w:t>
        <w:br/>
        <w:t>Z = 1.2(X1) + 1.4(X2) + 3.3(X3) + 0.6(X4) + 0.999(X5)</w:t>
        <w:br/>
        <w:t>• X1 = Working Capital ÷ Total Assets (Liquidity cushion)</w:t>
        <w:br/>
        <w:t>• X2 = Retained Earnings ÷ Total Assets (Cumulative profitability)</w:t>
        <w:br/>
        <w:t>• X3 = EBIT ÷ Total Assets (Asset operational productivity)</w:t>
        <w:br/>
        <w:t>• X4 = Book Equity ÷ Total Debt (Capital leverage buffer)</w:t>
        <w:br/>
        <w:t>• X5 = Net Sales ÷ Total Assets (Asset turnover efficiency)</w:t>
        <w:br/>
        <w:t>Zones: Safe Zone (Z &gt; 2.99, Green), Grey Zone (1.81 ≤ Z ≤ 2.99, Amber), Distress Zone (Z &lt; 1.81, Red).</w:t>
      </w:r>
    </w:p>
    <w:p>
      <w:pPr>
        <w:pStyle w:val="Heading2"/>
      </w:pPr>
      <w:r>
        <w:rPr>
          <w:b/>
          <w:color w:val="065F46"/>
          <w:sz w:val="26"/>
        </w:rPr>
        <w:t>The 5-Pillar Financial Diagnostic &amp; Advisory Framework</w:t>
      </w:r>
    </w:p>
    <w:p>
      <w:r>
        <w:rPr>
          <w:sz w:val="20"/>
        </w:rPr>
        <w:t>Beyond calculating raw quantitative values, RiskGuard Pro implements an automated 4-part financial advisory engine across 5 core corporate finance pillars. Rather than presenting generic warning badges, every calculated metric dynamically generates: (1) An ISO 31000 Risk Classification, (2) A Plain-Language Interpretation of what the result indicates, (3) Concrete Possible Business Impacts (e.g., supplier payment freezes, cash flow bottlenecks), and (4) An Actionable Mitigation Plan that can be converted directly into an assigned ISO 31000 Action Tracker task.</w:t>
      </w:r>
    </w:p>
    <w:tbl>
      <w:tblPr>
        <w:tblW w:type="auto" w:w="0"/>
        <w:jc w:val="center"/>
        <w:tblLook w:firstColumn="1" w:firstRow="1" w:lastColumn="0" w:lastRow="0" w:noHBand="0" w:noVBand="1" w:val="04A0"/>
      </w:tblPr>
      <w:tblGrid>
        <w:gridCol w:w="1872"/>
        <w:gridCol w:w="1872"/>
        <w:gridCol w:w="1872"/>
        <w:gridCol w:w="1872"/>
        <w:gridCol w:w="1872"/>
      </w:tblGrid>
      <w:tr>
        <w:tc>
          <w:tcPr>
            <w:tcW w:type="dxa" w:w="1296"/>
            <w:tcMar>
              <w:top w:w="70" w:type="dxa"/>
              <w:bottom w:w="70" w:type="dxa"/>
              <w:left w:w="100" w:type="dxa"/>
              <w:right w:w="100" w:type="dxa"/>
            </w:tcMar>
            <w:shd w:val="clear" w:color="auto" w:fill="064E3B"/>
          </w:tcPr>
          <w:p>
            <w:pPr>
              <w:spacing w:line="264" w:lineRule="auto" w:after="40"/>
            </w:pPr>
            <w:r>
              <w:rPr>
                <w:b/>
                <w:color w:val="FFFFFF"/>
                <w:sz w:val="17"/>
              </w:rPr>
              <w:t>Pillar</w:t>
            </w:r>
          </w:p>
        </w:tc>
        <w:tc>
          <w:tcPr>
            <w:tcW w:type="dxa" w:w="1872"/>
            <w:tcMar>
              <w:top w:w="70" w:type="dxa"/>
              <w:bottom w:w="70" w:type="dxa"/>
              <w:left w:w="100" w:type="dxa"/>
              <w:right w:w="100" w:type="dxa"/>
            </w:tcMar>
            <w:shd w:val="clear" w:color="auto" w:fill="064E3B"/>
          </w:tcPr>
          <w:p>
            <w:pPr>
              <w:spacing w:line="264" w:lineRule="auto" w:after="40"/>
            </w:pPr>
            <w:r>
              <w:rPr>
                <w:b/>
                <w:color w:val="FFFFFF"/>
                <w:sz w:val="17"/>
              </w:rPr>
              <w:t>Financial Ratio</w:t>
            </w:r>
          </w:p>
        </w:tc>
        <w:tc>
          <w:tcPr>
            <w:tcW w:type="dxa" w:w="1728"/>
            <w:tcMar>
              <w:top w:w="70" w:type="dxa"/>
              <w:bottom w:w="70" w:type="dxa"/>
              <w:left w:w="100" w:type="dxa"/>
              <w:right w:w="100" w:type="dxa"/>
            </w:tcMar>
            <w:shd w:val="clear" w:color="auto" w:fill="064E3B"/>
          </w:tcPr>
          <w:p>
            <w:pPr>
              <w:spacing w:line="264" w:lineRule="auto" w:after="40"/>
            </w:pPr>
            <w:r>
              <w:rPr>
                <w:b/>
                <w:color w:val="FFFFFF"/>
                <w:sz w:val="17"/>
              </w:rPr>
              <w:t>Risk Thresholds</w:t>
            </w:r>
          </w:p>
        </w:tc>
        <w:tc>
          <w:tcPr>
            <w:tcW w:type="dxa" w:w="3168"/>
            <w:tcMar>
              <w:top w:w="70" w:type="dxa"/>
              <w:bottom w:w="70" w:type="dxa"/>
              <w:left w:w="100" w:type="dxa"/>
              <w:right w:w="100" w:type="dxa"/>
            </w:tcMar>
            <w:shd w:val="clear" w:color="auto" w:fill="064E3B"/>
          </w:tcPr>
          <w:p>
            <w:pPr>
              <w:spacing w:line="264" w:lineRule="auto" w:after="40"/>
            </w:pPr>
            <w:r>
              <w:rPr>
                <w:b/>
                <w:color w:val="FFFFFF"/>
                <w:sz w:val="17"/>
              </w:rPr>
              <w:t>Clinical Interpretation &amp; Possible Impact</w:t>
            </w:r>
          </w:p>
        </w:tc>
        <w:tc>
          <w:tcPr>
            <w:tcW w:type="dxa" w:w="2592"/>
            <w:tcMar>
              <w:top w:w="70" w:type="dxa"/>
              <w:bottom w:w="70" w:type="dxa"/>
              <w:left w:w="100" w:type="dxa"/>
              <w:right w:w="100" w:type="dxa"/>
            </w:tcMar>
            <w:shd w:val="clear" w:color="auto" w:fill="064E3B"/>
          </w:tcPr>
          <w:p>
            <w:pPr>
              <w:spacing w:line="264" w:lineRule="auto" w:after="40"/>
            </w:pPr>
            <w:r>
              <w:rPr>
                <w:b/>
                <w:color w:val="FFFFFF"/>
                <w:sz w:val="17"/>
              </w:rPr>
              <w:t>Actionable Mitigation Plan</w:t>
            </w:r>
          </w:p>
        </w:tc>
      </w:tr>
      <w:tr>
        <w:tc>
          <w:tcPr>
            <w:tcW w:type="dxa" w:w="1296"/>
            <w:tcMar>
              <w:top w:w="70" w:type="dxa"/>
              <w:bottom w:w="70" w:type="dxa"/>
              <w:left w:w="100" w:type="dxa"/>
              <w:right w:w="100" w:type="dxa"/>
            </w:tcMar>
            <w:shd w:val="clear" w:color="auto" w:fill="F0FDF4"/>
          </w:tcPr>
          <w:p>
            <w:pPr>
              <w:spacing w:line="264" w:lineRule="auto" w:after="40"/>
            </w:pPr>
            <w:r>
              <w:rPr>
                <w:sz w:val="15"/>
              </w:rPr>
              <w:t>Liquidity</w:t>
            </w:r>
          </w:p>
        </w:tc>
        <w:tc>
          <w:tcPr>
            <w:tcW w:type="dxa" w:w="1872"/>
            <w:tcMar>
              <w:top w:w="70" w:type="dxa"/>
              <w:bottom w:w="70" w:type="dxa"/>
              <w:left w:w="100" w:type="dxa"/>
              <w:right w:w="100" w:type="dxa"/>
            </w:tcMar>
            <w:shd w:val="clear" w:color="auto" w:fill="F0FDF4"/>
          </w:tcPr>
          <w:p>
            <w:pPr>
              <w:spacing w:line="264" w:lineRule="auto" w:after="40"/>
            </w:pPr>
            <w:r>
              <w:rPr>
                <w:sz w:val="15"/>
              </w:rPr>
              <w:t>Current Ratio (CA ÷ CL)</w:t>
            </w:r>
          </w:p>
        </w:tc>
        <w:tc>
          <w:tcPr>
            <w:tcW w:type="dxa" w:w="1728"/>
            <w:tcMar>
              <w:top w:w="70" w:type="dxa"/>
              <w:bottom w:w="70" w:type="dxa"/>
              <w:left w:w="100" w:type="dxa"/>
              <w:right w:w="100" w:type="dxa"/>
            </w:tcMar>
            <w:shd w:val="clear" w:color="auto" w:fill="F0FDF4"/>
          </w:tcPr>
          <w:p>
            <w:pPr>
              <w:spacing w:line="264" w:lineRule="auto" w:after="40"/>
            </w:pPr>
            <w:r>
              <w:rPr>
                <w:sz w:val="15"/>
              </w:rPr>
              <w:t>Low: ≥1.8x</w:t>
              <w:br/>
              <w:t>Mod: 1.2–1.8x</w:t>
              <w:br/>
              <w:t>High: &lt;1.2x</w:t>
            </w:r>
          </w:p>
        </w:tc>
        <w:tc>
          <w:tcPr>
            <w:tcW w:type="dxa" w:w="3168"/>
            <w:tcMar>
              <w:top w:w="70" w:type="dxa"/>
              <w:bottom w:w="70" w:type="dxa"/>
              <w:left w:w="100" w:type="dxa"/>
              <w:right w:w="100" w:type="dxa"/>
            </w:tcMar>
            <w:shd w:val="clear" w:color="auto" w:fill="F0FDF4"/>
          </w:tcPr>
          <w:p>
            <w:pPr>
              <w:spacing w:line="264" w:lineRule="auto" w:after="40"/>
            </w:pPr>
            <w:r>
              <w:rPr>
                <w:sz w:val="15"/>
              </w:rPr>
              <w:t>Low: Ample short-term assets to pay obligations without strain.</w:t>
              <w:br/>
              <w:t>Moderate: Slim safety buffer; vulnerable to customer payment delays.</w:t>
              <w:br/>
              <w:t>High: Current liabilities exceed assets; acute risk of supplier defaults.</w:t>
            </w:r>
          </w:p>
        </w:tc>
        <w:tc>
          <w:tcPr>
            <w:tcW w:type="dxa" w:w="2592"/>
            <w:tcMar>
              <w:top w:w="70" w:type="dxa"/>
              <w:bottom w:w="70" w:type="dxa"/>
              <w:left w:w="100" w:type="dxa"/>
              <w:right w:w="100" w:type="dxa"/>
            </w:tcMar>
            <w:shd w:val="clear" w:color="auto" w:fill="F0FDF4"/>
          </w:tcPr>
          <w:p>
            <w:pPr>
              <w:spacing w:line="264" w:lineRule="auto" w:after="40"/>
            </w:pPr>
            <w:r>
              <w:rPr>
                <w:sz w:val="15"/>
              </w:rPr>
              <w:t>Accelerate debtor collections, eliminate surplus slow-moving stock, negotiate vendor credit extensions, and avoid hoarding idle cash.</w:t>
            </w:r>
          </w:p>
        </w:tc>
      </w:tr>
      <w:tr>
        <w:tc>
          <w:tcPr>
            <w:tcW w:type="dxa" w:w="1296"/>
            <w:tcMar>
              <w:top w:w="70" w:type="dxa"/>
              <w:bottom w:w="70" w:type="dxa"/>
              <w:left w:w="100" w:type="dxa"/>
              <w:right w:w="100" w:type="dxa"/>
            </w:tcMar>
            <w:shd w:val="clear" w:color="auto" w:fill="FFFFFF"/>
          </w:tcPr>
          <w:p>
            <w:pPr>
              <w:spacing w:line="264" w:lineRule="auto" w:after="40"/>
            </w:pPr>
            <w:r>
              <w:rPr>
                <w:sz w:val="15"/>
              </w:rPr>
              <w:t>Liquidity</w:t>
            </w:r>
          </w:p>
        </w:tc>
        <w:tc>
          <w:tcPr>
            <w:tcW w:type="dxa" w:w="1872"/>
            <w:tcMar>
              <w:top w:w="70" w:type="dxa"/>
              <w:bottom w:w="70" w:type="dxa"/>
              <w:left w:w="100" w:type="dxa"/>
              <w:right w:w="100" w:type="dxa"/>
            </w:tcMar>
            <w:shd w:val="clear" w:color="auto" w:fill="FFFFFF"/>
          </w:tcPr>
          <w:p>
            <w:pPr>
              <w:spacing w:line="264" w:lineRule="auto" w:after="40"/>
            </w:pPr>
            <w:r>
              <w:rPr>
                <w:sz w:val="15"/>
              </w:rPr>
              <w:t>Quick Ratio ((CA−Inv) ÷ CL)</w:t>
            </w:r>
          </w:p>
        </w:tc>
        <w:tc>
          <w:tcPr>
            <w:tcW w:type="dxa" w:w="1728"/>
            <w:tcMar>
              <w:top w:w="70" w:type="dxa"/>
              <w:bottom w:w="70" w:type="dxa"/>
              <w:left w:w="100" w:type="dxa"/>
              <w:right w:w="100" w:type="dxa"/>
            </w:tcMar>
            <w:shd w:val="clear" w:color="auto" w:fill="FFFFFF"/>
          </w:tcPr>
          <w:p>
            <w:pPr>
              <w:spacing w:line="264" w:lineRule="auto" w:after="40"/>
            </w:pPr>
            <w:r>
              <w:rPr>
                <w:sz w:val="15"/>
              </w:rPr>
              <w:t>Low: ≥1.0x</w:t>
              <w:br/>
              <w:t>Mod: 0.8–1.0x</w:t>
              <w:br/>
              <w:t>High: &lt;0.8x</w:t>
            </w:r>
          </w:p>
        </w:tc>
        <w:tc>
          <w:tcPr>
            <w:tcW w:type="dxa" w:w="3168"/>
            <w:tcMar>
              <w:top w:w="70" w:type="dxa"/>
              <w:bottom w:w="70" w:type="dxa"/>
              <w:left w:w="100" w:type="dxa"/>
              <w:right w:w="100" w:type="dxa"/>
            </w:tcMar>
            <w:shd w:val="clear" w:color="auto" w:fill="FFFFFF"/>
          </w:tcPr>
          <w:p>
            <w:pPr>
              <w:spacing w:line="264" w:lineRule="auto" w:after="40"/>
            </w:pPr>
            <w:r>
              <w:rPr>
                <w:sz w:val="15"/>
              </w:rPr>
              <w:t>Low: Instant settlement capacity without relying on inventory liquidation.</w:t>
              <w:br/>
              <w:t>Moderate: Slight immediate payment pressure if receivables lag.</w:t>
              <w:br/>
              <w:t>High: Critically dependent on future sales to cover immediate debt obligations.</w:t>
            </w:r>
          </w:p>
        </w:tc>
        <w:tc>
          <w:tcPr>
            <w:tcW w:type="dxa" w:w="2592"/>
            <w:tcMar>
              <w:top w:w="70" w:type="dxa"/>
              <w:bottom w:w="70" w:type="dxa"/>
              <w:left w:w="100" w:type="dxa"/>
              <w:right w:w="100" w:type="dxa"/>
            </w:tcMar>
            <w:shd w:val="clear" w:color="auto" w:fill="FFFFFF"/>
          </w:tcPr>
          <w:p>
            <w:pPr>
              <w:spacing w:line="264" w:lineRule="auto" w:after="40"/>
            </w:pPr>
            <w:r>
              <w:rPr>
                <w:sz w:val="15"/>
              </w:rPr>
              <w:t>Deploy automated invoice factoring for accounts receivable and establish emergency overdraft credit lines.</w:t>
            </w:r>
          </w:p>
        </w:tc>
      </w:tr>
      <w:tr>
        <w:tc>
          <w:tcPr>
            <w:tcW w:type="dxa" w:w="1296"/>
            <w:tcMar>
              <w:top w:w="70" w:type="dxa"/>
              <w:bottom w:w="70" w:type="dxa"/>
              <w:left w:w="100" w:type="dxa"/>
              <w:right w:w="100" w:type="dxa"/>
            </w:tcMar>
            <w:shd w:val="clear" w:color="auto" w:fill="F0FDF4"/>
          </w:tcPr>
          <w:p>
            <w:pPr>
              <w:spacing w:line="264" w:lineRule="auto" w:after="40"/>
            </w:pPr>
            <w:r>
              <w:rPr>
                <w:sz w:val="15"/>
              </w:rPr>
              <w:t>Profitability</w:t>
            </w:r>
          </w:p>
        </w:tc>
        <w:tc>
          <w:tcPr>
            <w:tcW w:type="dxa" w:w="1872"/>
            <w:tcMar>
              <w:top w:w="70" w:type="dxa"/>
              <w:bottom w:w="70" w:type="dxa"/>
              <w:left w:w="100" w:type="dxa"/>
              <w:right w:w="100" w:type="dxa"/>
            </w:tcMar>
            <w:shd w:val="clear" w:color="auto" w:fill="F0FDF4"/>
          </w:tcPr>
          <w:p>
            <w:pPr>
              <w:spacing w:line="264" w:lineRule="auto" w:after="40"/>
            </w:pPr>
            <w:r>
              <w:rPr>
                <w:sz w:val="15"/>
              </w:rPr>
              <w:t>Net Profit Margin ((PAT ÷ Rev) × 100)</w:t>
            </w:r>
          </w:p>
        </w:tc>
        <w:tc>
          <w:tcPr>
            <w:tcW w:type="dxa" w:w="1728"/>
            <w:tcMar>
              <w:top w:w="70" w:type="dxa"/>
              <w:bottom w:w="70" w:type="dxa"/>
              <w:left w:w="100" w:type="dxa"/>
              <w:right w:w="100" w:type="dxa"/>
            </w:tcMar>
            <w:shd w:val="clear" w:color="auto" w:fill="F0FDF4"/>
          </w:tcPr>
          <w:p>
            <w:pPr>
              <w:spacing w:line="264" w:lineRule="auto" w:after="40"/>
            </w:pPr>
            <w:r>
              <w:rPr>
                <w:sz w:val="15"/>
              </w:rPr>
              <w:t>Low: ≥8.0%</w:t>
              <w:br/>
              <w:t>Mod: 3.0–8.0%</w:t>
              <w:br/>
              <w:t>High: &lt;3.0% / Negative</w:t>
            </w:r>
          </w:p>
        </w:tc>
        <w:tc>
          <w:tcPr>
            <w:tcW w:type="dxa" w:w="3168"/>
            <w:tcMar>
              <w:top w:w="70" w:type="dxa"/>
              <w:bottom w:w="70" w:type="dxa"/>
              <w:left w:w="100" w:type="dxa"/>
              <w:right w:w="100" w:type="dxa"/>
            </w:tcMar>
            <w:shd w:val="clear" w:color="auto" w:fill="F0FDF4"/>
          </w:tcPr>
          <w:p>
            <w:pPr>
              <w:spacing w:line="264" w:lineRule="auto" w:after="40"/>
            </w:pPr>
            <w:r>
              <w:rPr>
                <w:sz w:val="15"/>
              </w:rPr>
              <w:t>Low: Strong net earnings retained after all expenses, taxes, and finance costs.</w:t>
              <w:br/>
              <w:t>Moderate: Margin compression from direct costs or overheads.</w:t>
              <w:br/>
              <w:t>High: Operating losses eroding shareholder net worth and retained reserves.</w:t>
            </w:r>
          </w:p>
        </w:tc>
        <w:tc>
          <w:tcPr>
            <w:tcW w:type="dxa" w:w="2592"/>
            <w:tcMar>
              <w:top w:w="70" w:type="dxa"/>
              <w:bottom w:w="70" w:type="dxa"/>
              <w:left w:w="100" w:type="dxa"/>
              <w:right w:w="100" w:type="dxa"/>
            </w:tcMar>
            <w:shd w:val="clear" w:color="auto" w:fill="F0FDF4"/>
          </w:tcPr>
          <w:p>
            <w:pPr>
              <w:spacing w:line="264" w:lineRule="auto" w:after="40"/>
            </w:pPr>
            <w:r>
              <w:rPr>
                <w:sz w:val="15"/>
              </w:rPr>
              <w:t>Implement operational cost restructuring, discontinue low-margin product lines, and renegotiate major supplier contracts.</w:t>
            </w:r>
          </w:p>
        </w:tc>
      </w:tr>
      <w:tr>
        <w:tc>
          <w:tcPr>
            <w:tcW w:type="dxa" w:w="1296"/>
            <w:tcMar>
              <w:top w:w="70" w:type="dxa"/>
              <w:bottom w:w="70" w:type="dxa"/>
              <w:left w:w="100" w:type="dxa"/>
              <w:right w:w="100" w:type="dxa"/>
            </w:tcMar>
            <w:shd w:val="clear" w:color="auto" w:fill="FFFFFF"/>
          </w:tcPr>
          <w:p>
            <w:pPr>
              <w:spacing w:line="264" w:lineRule="auto" w:after="40"/>
            </w:pPr>
            <w:r>
              <w:rPr>
                <w:sz w:val="15"/>
              </w:rPr>
              <w:t>Profitability</w:t>
            </w:r>
          </w:p>
        </w:tc>
        <w:tc>
          <w:tcPr>
            <w:tcW w:type="dxa" w:w="1872"/>
            <w:tcMar>
              <w:top w:w="70" w:type="dxa"/>
              <w:bottom w:w="70" w:type="dxa"/>
              <w:left w:w="100" w:type="dxa"/>
              <w:right w:w="100" w:type="dxa"/>
            </w:tcMar>
            <w:shd w:val="clear" w:color="auto" w:fill="FFFFFF"/>
          </w:tcPr>
          <w:p>
            <w:pPr>
              <w:spacing w:line="264" w:lineRule="auto" w:after="40"/>
            </w:pPr>
            <w:r>
              <w:rPr>
                <w:sz w:val="15"/>
              </w:rPr>
              <w:t>Operating Margin ((EBIT ÷ Rev) × 100)</w:t>
            </w:r>
          </w:p>
        </w:tc>
        <w:tc>
          <w:tcPr>
            <w:tcW w:type="dxa" w:w="1728"/>
            <w:tcMar>
              <w:top w:w="70" w:type="dxa"/>
              <w:bottom w:w="70" w:type="dxa"/>
              <w:left w:w="100" w:type="dxa"/>
              <w:right w:w="100" w:type="dxa"/>
            </w:tcMar>
            <w:shd w:val="clear" w:color="auto" w:fill="FFFFFF"/>
          </w:tcPr>
          <w:p>
            <w:pPr>
              <w:spacing w:line="264" w:lineRule="auto" w:after="40"/>
            </w:pPr>
            <w:r>
              <w:rPr>
                <w:sz w:val="15"/>
              </w:rPr>
              <w:t>Low: ≥12.0%</w:t>
              <w:br/>
              <w:t>Mod: 6.0–12.0%</w:t>
              <w:br/>
              <w:t>High: &lt;6.0%</w:t>
            </w:r>
          </w:p>
        </w:tc>
        <w:tc>
          <w:tcPr>
            <w:tcW w:type="dxa" w:w="3168"/>
            <w:tcMar>
              <w:top w:w="70" w:type="dxa"/>
              <w:bottom w:w="70" w:type="dxa"/>
              <w:left w:w="100" w:type="dxa"/>
              <w:right w:w="100" w:type="dxa"/>
            </w:tcMar>
            <w:shd w:val="clear" w:color="auto" w:fill="FFFFFF"/>
          </w:tcPr>
          <w:p>
            <w:pPr>
              <w:spacing w:line="264" w:lineRule="auto" w:after="40"/>
            </w:pPr>
            <w:r>
              <w:rPr>
                <w:sz w:val="15"/>
              </w:rPr>
              <w:t>Low: High core operational profitability and pricing power.</w:t>
              <w:br/>
              <w:t>Moderate: Vulnerable to raw material or utility cost spikes.</w:t>
              <w:br/>
              <w:t>High: Core business failing to generate sufficient operating cash before interest.</w:t>
            </w:r>
          </w:p>
        </w:tc>
        <w:tc>
          <w:tcPr>
            <w:tcW w:type="dxa" w:w="2592"/>
            <w:tcMar>
              <w:top w:w="70" w:type="dxa"/>
              <w:bottom w:w="70" w:type="dxa"/>
              <w:left w:w="100" w:type="dxa"/>
              <w:right w:w="100" w:type="dxa"/>
            </w:tcMar>
            <w:shd w:val="clear" w:color="auto" w:fill="FFFFFF"/>
          </w:tcPr>
          <w:p>
            <w:pPr>
              <w:spacing w:line="264" w:lineRule="auto" w:after="40"/>
            </w:pPr>
            <w:r>
              <w:rPr>
                <w:sz w:val="15"/>
              </w:rPr>
              <w:t>Audit direct production costs, implement lean manufacturing, and automate SG&amp;A administrative processes.</w:t>
            </w:r>
          </w:p>
        </w:tc>
      </w:tr>
      <w:tr>
        <w:tc>
          <w:tcPr>
            <w:tcW w:type="dxa" w:w="1296"/>
            <w:tcMar>
              <w:top w:w="70" w:type="dxa"/>
              <w:bottom w:w="70" w:type="dxa"/>
              <w:left w:w="100" w:type="dxa"/>
              <w:right w:w="100" w:type="dxa"/>
            </w:tcMar>
            <w:shd w:val="clear" w:color="auto" w:fill="F0FDF4"/>
          </w:tcPr>
          <w:p>
            <w:pPr>
              <w:spacing w:line="264" w:lineRule="auto" w:after="40"/>
            </w:pPr>
            <w:r>
              <w:rPr>
                <w:sz w:val="15"/>
              </w:rPr>
              <w:t>Solvency</w:t>
            </w:r>
          </w:p>
        </w:tc>
        <w:tc>
          <w:tcPr>
            <w:tcW w:type="dxa" w:w="1872"/>
            <w:tcMar>
              <w:top w:w="70" w:type="dxa"/>
              <w:bottom w:w="70" w:type="dxa"/>
              <w:left w:w="100" w:type="dxa"/>
              <w:right w:w="100" w:type="dxa"/>
            </w:tcMar>
            <w:shd w:val="clear" w:color="auto" w:fill="F0FDF4"/>
          </w:tcPr>
          <w:p>
            <w:pPr>
              <w:spacing w:line="264" w:lineRule="auto" w:after="40"/>
            </w:pPr>
            <w:r>
              <w:rPr>
                <w:sz w:val="15"/>
              </w:rPr>
              <w:t>Debt-to-Equity (Total Debt ÷ Equity)</w:t>
            </w:r>
          </w:p>
        </w:tc>
        <w:tc>
          <w:tcPr>
            <w:tcW w:type="dxa" w:w="1728"/>
            <w:tcMar>
              <w:top w:w="70" w:type="dxa"/>
              <w:bottom w:w="70" w:type="dxa"/>
              <w:left w:w="100" w:type="dxa"/>
              <w:right w:w="100" w:type="dxa"/>
            </w:tcMar>
            <w:shd w:val="clear" w:color="auto" w:fill="F0FDF4"/>
          </w:tcPr>
          <w:p>
            <w:pPr>
              <w:spacing w:line="264" w:lineRule="auto" w:after="40"/>
            </w:pPr>
            <w:r>
              <w:rPr>
                <w:sz w:val="15"/>
              </w:rPr>
              <w:t>Low: ≤0.8x</w:t>
              <w:br/>
              <w:t>Mod: 0.8–1.8x</w:t>
              <w:br/>
              <w:t>High: &gt;1.8x</w:t>
            </w:r>
          </w:p>
        </w:tc>
        <w:tc>
          <w:tcPr>
            <w:tcW w:type="dxa" w:w="3168"/>
            <w:tcMar>
              <w:top w:w="70" w:type="dxa"/>
              <w:bottom w:w="70" w:type="dxa"/>
              <w:left w:w="100" w:type="dxa"/>
              <w:right w:w="100" w:type="dxa"/>
            </w:tcMar>
            <w:shd w:val="clear" w:color="auto" w:fill="F0FDF4"/>
          </w:tcPr>
          <w:p>
            <w:pPr>
              <w:spacing w:line="264" w:lineRule="auto" w:after="40"/>
            </w:pPr>
            <w:r>
              <w:rPr>
                <w:sz w:val="15"/>
              </w:rPr>
              <w:t>Low: Conservative leverage; robust owner equity buffer against creditors.</w:t>
              <w:br/>
              <w:t>Moderate: Substantial leverage; higher periodic finance charge burden.</w:t>
              <w:br/>
              <w:t>High: Dangerously over-leveraged; high probability of debt covenant breach.</w:t>
            </w:r>
          </w:p>
        </w:tc>
        <w:tc>
          <w:tcPr>
            <w:tcW w:type="dxa" w:w="2592"/>
            <w:tcMar>
              <w:top w:w="70" w:type="dxa"/>
              <w:bottom w:w="70" w:type="dxa"/>
              <w:left w:w="100" w:type="dxa"/>
              <w:right w:w="100" w:type="dxa"/>
            </w:tcMar>
            <w:shd w:val="clear" w:color="auto" w:fill="F0FDF4"/>
          </w:tcPr>
          <w:p>
            <w:pPr>
              <w:spacing w:line="264" w:lineRule="auto" w:after="40"/>
            </w:pPr>
            <w:r>
              <w:rPr>
                <w:sz w:val="15"/>
              </w:rPr>
              <w:t>Cap further long-term debt drawdowns, establish debt amortisation sinking funds, and retain annual net earnings.</w:t>
            </w:r>
          </w:p>
        </w:tc>
      </w:tr>
      <w:tr>
        <w:tc>
          <w:tcPr>
            <w:tcW w:type="dxa" w:w="1296"/>
            <w:tcMar>
              <w:top w:w="70" w:type="dxa"/>
              <w:bottom w:w="70" w:type="dxa"/>
              <w:left w:w="100" w:type="dxa"/>
              <w:right w:w="100" w:type="dxa"/>
            </w:tcMar>
            <w:shd w:val="clear" w:color="auto" w:fill="FFFFFF"/>
          </w:tcPr>
          <w:p>
            <w:pPr>
              <w:spacing w:line="264" w:lineRule="auto" w:after="40"/>
            </w:pPr>
            <w:r>
              <w:rPr>
                <w:sz w:val="15"/>
              </w:rPr>
              <w:t>Solvency</w:t>
            </w:r>
          </w:p>
        </w:tc>
        <w:tc>
          <w:tcPr>
            <w:tcW w:type="dxa" w:w="1872"/>
            <w:tcMar>
              <w:top w:w="70" w:type="dxa"/>
              <w:bottom w:w="70" w:type="dxa"/>
              <w:left w:w="100" w:type="dxa"/>
              <w:right w:w="100" w:type="dxa"/>
            </w:tcMar>
            <w:shd w:val="clear" w:color="auto" w:fill="FFFFFF"/>
          </w:tcPr>
          <w:p>
            <w:pPr>
              <w:spacing w:line="264" w:lineRule="auto" w:after="40"/>
            </w:pPr>
            <w:r>
              <w:rPr>
                <w:sz w:val="15"/>
              </w:rPr>
              <w:t>Interest Coverage (EBIT ÷ Interest)</w:t>
            </w:r>
          </w:p>
        </w:tc>
        <w:tc>
          <w:tcPr>
            <w:tcW w:type="dxa" w:w="1728"/>
            <w:tcMar>
              <w:top w:w="70" w:type="dxa"/>
              <w:bottom w:w="70" w:type="dxa"/>
              <w:left w:w="100" w:type="dxa"/>
              <w:right w:w="100" w:type="dxa"/>
            </w:tcMar>
            <w:shd w:val="clear" w:color="auto" w:fill="FFFFFF"/>
          </w:tcPr>
          <w:p>
            <w:pPr>
              <w:spacing w:line="264" w:lineRule="auto" w:after="40"/>
            </w:pPr>
            <w:r>
              <w:rPr>
                <w:sz w:val="15"/>
              </w:rPr>
              <w:t>Low: ≥3.5x</w:t>
              <w:br/>
              <w:t>Mod: 1.5–3.5x</w:t>
              <w:br/>
              <w:t>High: &lt;1.5x</w:t>
            </w:r>
          </w:p>
        </w:tc>
        <w:tc>
          <w:tcPr>
            <w:tcW w:type="dxa" w:w="3168"/>
            <w:tcMar>
              <w:top w:w="70" w:type="dxa"/>
              <w:bottom w:w="70" w:type="dxa"/>
              <w:left w:w="100" w:type="dxa"/>
              <w:right w:w="100" w:type="dxa"/>
            </w:tcMar>
            <w:shd w:val="clear" w:color="auto" w:fill="FFFFFF"/>
          </w:tcPr>
          <w:p>
            <w:pPr>
              <w:spacing w:line="264" w:lineRule="auto" w:after="40"/>
            </w:pPr>
            <w:r>
              <w:rPr>
                <w:sz w:val="15"/>
              </w:rPr>
              <w:t>Low: Operating earnings comfortably cover loan finance charges multiple times.</w:t>
              <w:br/>
              <w:t>Moderate: Tight servicing buffer; vulnerable to revenue drop.</w:t>
              <w:br/>
              <w:t>High: Operating income insufficient to service interest; imminent default risk.</w:t>
            </w:r>
          </w:p>
        </w:tc>
        <w:tc>
          <w:tcPr>
            <w:tcW w:type="dxa" w:w="2592"/>
            <w:tcMar>
              <w:top w:w="70" w:type="dxa"/>
              <w:bottom w:w="70" w:type="dxa"/>
              <w:left w:w="100" w:type="dxa"/>
              <w:right w:w="100" w:type="dxa"/>
            </w:tcMar>
            <w:shd w:val="clear" w:color="auto" w:fill="FFFFFF"/>
          </w:tcPr>
          <w:p>
            <w:pPr>
              <w:spacing w:line="264" w:lineRule="auto" w:after="40"/>
            </w:pPr>
            <w:r>
              <w:rPr>
                <w:sz w:val="15"/>
              </w:rPr>
              <w:t>Refinance expensive short-term debt, negotiate lender rate reductions, and explore debt-to-equity conversion.</w:t>
            </w:r>
          </w:p>
        </w:tc>
      </w:tr>
      <w:tr>
        <w:tc>
          <w:tcPr>
            <w:tcW w:type="dxa" w:w="1296"/>
            <w:tcMar>
              <w:top w:w="70" w:type="dxa"/>
              <w:bottom w:w="70" w:type="dxa"/>
              <w:left w:w="100" w:type="dxa"/>
              <w:right w:w="100" w:type="dxa"/>
            </w:tcMar>
            <w:shd w:val="clear" w:color="auto" w:fill="F0FDF4"/>
          </w:tcPr>
          <w:p>
            <w:pPr>
              <w:spacing w:line="264" w:lineRule="auto" w:after="40"/>
            </w:pPr>
            <w:r>
              <w:rPr>
                <w:sz w:val="15"/>
              </w:rPr>
              <w:t>Efficiency</w:t>
            </w:r>
          </w:p>
        </w:tc>
        <w:tc>
          <w:tcPr>
            <w:tcW w:type="dxa" w:w="1872"/>
            <w:tcMar>
              <w:top w:w="70" w:type="dxa"/>
              <w:bottom w:w="70" w:type="dxa"/>
              <w:left w:w="100" w:type="dxa"/>
              <w:right w:w="100" w:type="dxa"/>
            </w:tcMar>
            <w:shd w:val="clear" w:color="auto" w:fill="F0FDF4"/>
          </w:tcPr>
          <w:p>
            <w:pPr>
              <w:spacing w:line="264" w:lineRule="auto" w:after="40"/>
            </w:pPr>
            <w:r>
              <w:rPr>
                <w:sz w:val="15"/>
              </w:rPr>
              <w:t>Inventory Turnover (COGS ÷ Avg Inv)</w:t>
            </w:r>
          </w:p>
        </w:tc>
        <w:tc>
          <w:tcPr>
            <w:tcW w:type="dxa" w:w="1728"/>
            <w:tcMar>
              <w:top w:w="70" w:type="dxa"/>
              <w:bottom w:w="70" w:type="dxa"/>
              <w:left w:w="100" w:type="dxa"/>
              <w:right w:w="100" w:type="dxa"/>
            </w:tcMar>
            <w:shd w:val="clear" w:color="auto" w:fill="F0FDF4"/>
          </w:tcPr>
          <w:p>
            <w:pPr>
              <w:spacing w:line="264" w:lineRule="auto" w:after="40"/>
            </w:pPr>
            <w:r>
              <w:rPr>
                <w:sz w:val="15"/>
              </w:rPr>
              <w:t>Low: 4.0–10.0x</w:t>
              <w:br/>
              <w:t>Mod: 2.0–4.0x</w:t>
              <w:br/>
              <w:t>High: &lt;2.0x / &gt;14.0x</w:t>
            </w:r>
          </w:p>
        </w:tc>
        <w:tc>
          <w:tcPr>
            <w:tcW w:type="dxa" w:w="3168"/>
            <w:tcMar>
              <w:top w:w="70" w:type="dxa"/>
              <w:bottom w:w="70" w:type="dxa"/>
              <w:left w:w="100" w:type="dxa"/>
              <w:right w:w="100" w:type="dxa"/>
            </w:tcMar>
            <w:shd w:val="clear" w:color="auto" w:fill="F0FDF4"/>
          </w:tcPr>
          <w:p>
            <w:pPr>
              <w:spacing w:line="264" w:lineRule="auto" w:after="40"/>
            </w:pPr>
            <w:r>
              <w:rPr>
                <w:sz w:val="15"/>
              </w:rPr>
              <w:t>Low: Balanced stock rotation; low obsolescence and minimal holding costs.</w:t>
              <w:br/>
              <w:t>Moderate: Sluggish stock rotation; working capital locked in warehouse.</w:t>
              <w:br/>
              <w:t>High (&lt;2x): Dead inventory write-off risk; High (&gt;14x): Stockout risk.</w:t>
            </w:r>
          </w:p>
        </w:tc>
        <w:tc>
          <w:tcPr>
            <w:tcW w:type="dxa" w:w="2592"/>
            <w:tcMar>
              <w:top w:w="70" w:type="dxa"/>
              <w:bottom w:w="70" w:type="dxa"/>
              <w:left w:w="100" w:type="dxa"/>
              <w:right w:w="100" w:type="dxa"/>
            </w:tcMar>
            <w:shd w:val="clear" w:color="auto" w:fill="F0FDF4"/>
          </w:tcPr>
          <w:p>
            <w:pPr>
              <w:spacing w:line="264" w:lineRule="auto" w:after="40"/>
            </w:pPr>
            <w:r>
              <w:rPr>
                <w:sz w:val="15"/>
              </w:rPr>
              <w:t>Conduct SKU rationalization, calibrate production batch sizes, and liquidate slow-moving inventory via discount promotions.</w:t>
            </w:r>
          </w:p>
        </w:tc>
      </w:tr>
      <w:tr>
        <w:tc>
          <w:tcPr>
            <w:tcW w:type="dxa" w:w="1296"/>
            <w:tcMar>
              <w:top w:w="70" w:type="dxa"/>
              <w:bottom w:w="70" w:type="dxa"/>
              <w:left w:w="100" w:type="dxa"/>
              <w:right w:w="100" w:type="dxa"/>
            </w:tcMar>
            <w:shd w:val="clear" w:color="auto" w:fill="FFFFFF"/>
          </w:tcPr>
          <w:p>
            <w:pPr>
              <w:spacing w:line="264" w:lineRule="auto" w:after="40"/>
            </w:pPr>
            <w:r>
              <w:rPr>
                <w:sz w:val="15"/>
              </w:rPr>
              <w:t>Efficiency</w:t>
            </w:r>
          </w:p>
        </w:tc>
        <w:tc>
          <w:tcPr>
            <w:tcW w:type="dxa" w:w="1872"/>
            <w:tcMar>
              <w:top w:w="70" w:type="dxa"/>
              <w:bottom w:w="70" w:type="dxa"/>
              <w:left w:w="100" w:type="dxa"/>
              <w:right w:w="100" w:type="dxa"/>
            </w:tcMar>
            <w:shd w:val="clear" w:color="auto" w:fill="FFFFFF"/>
          </w:tcPr>
          <w:p>
            <w:pPr>
              <w:spacing w:line="264" w:lineRule="auto" w:after="40"/>
            </w:pPr>
            <w:r>
              <w:rPr>
                <w:sz w:val="15"/>
              </w:rPr>
              <w:t>Debtor Collection Days ((Rec × 365) ÷ Sales)</w:t>
            </w:r>
          </w:p>
        </w:tc>
        <w:tc>
          <w:tcPr>
            <w:tcW w:type="dxa" w:w="1728"/>
            <w:tcMar>
              <w:top w:w="70" w:type="dxa"/>
              <w:bottom w:w="70" w:type="dxa"/>
              <w:left w:w="100" w:type="dxa"/>
              <w:right w:w="100" w:type="dxa"/>
            </w:tcMar>
            <w:shd w:val="clear" w:color="auto" w:fill="FFFFFF"/>
          </w:tcPr>
          <w:p>
            <w:pPr>
              <w:spacing w:line="264" w:lineRule="auto" w:after="40"/>
            </w:pPr>
            <w:r>
              <w:rPr>
                <w:sz w:val="15"/>
              </w:rPr>
              <w:t>Low: ≤45 days</w:t>
              <w:br/>
              <w:t>Mod: 45–75 days</w:t>
              <w:br/>
              <w:t>High: &gt;75 days</w:t>
            </w:r>
          </w:p>
        </w:tc>
        <w:tc>
          <w:tcPr>
            <w:tcW w:type="dxa" w:w="3168"/>
            <w:tcMar>
              <w:top w:w="70" w:type="dxa"/>
              <w:bottom w:w="70" w:type="dxa"/>
              <w:left w:w="100" w:type="dxa"/>
              <w:right w:w="100" w:type="dxa"/>
            </w:tcMar>
            <w:shd w:val="clear" w:color="auto" w:fill="FFFFFF"/>
          </w:tcPr>
          <w:p>
            <w:pPr>
              <w:spacing w:line="264" w:lineRule="auto" w:after="40"/>
            </w:pPr>
            <w:r>
              <w:rPr>
                <w:sz w:val="15"/>
              </w:rPr>
              <w:t>Low: Debtors pay on time; healthy cash conversion cycle.</w:t>
              <w:br/>
              <w:t>Moderate: Collection cycle widening; working capital trapped.</w:t>
              <w:br/>
              <w:t>High: Severe customer payment delays; acute risk of distributor bad debt.</w:t>
            </w:r>
          </w:p>
        </w:tc>
        <w:tc>
          <w:tcPr>
            <w:tcW w:type="dxa" w:w="2592"/>
            <w:tcMar>
              <w:top w:w="70" w:type="dxa"/>
              <w:bottom w:w="70" w:type="dxa"/>
              <w:left w:w="100" w:type="dxa"/>
              <w:right w:w="100" w:type="dxa"/>
            </w:tcMar>
            <w:shd w:val="clear" w:color="auto" w:fill="FFFFFF"/>
          </w:tcPr>
          <w:p>
            <w:pPr>
              <w:spacing w:line="264" w:lineRule="auto" w:after="40"/>
            </w:pPr>
            <w:r>
              <w:rPr>
                <w:sz w:val="15"/>
              </w:rPr>
              <w:t>Enforce prompt payment settlement discounts (e.g. 2/10 net 30), impose late payment interest, and freeze delinquent accounts.</w:t>
            </w:r>
          </w:p>
        </w:tc>
      </w:tr>
      <w:tr>
        <w:tc>
          <w:tcPr>
            <w:tcW w:type="dxa" w:w="1296"/>
            <w:tcMar>
              <w:top w:w="70" w:type="dxa"/>
              <w:bottom w:w="70" w:type="dxa"/>
              <w:left w:w="100" w:type="dxa"/>
              <w:right w:w="100" w:type="dxa"/>
            </w:tcMar>
            <w:shd w:val="clear" w:color="auto" w:fill="F0FDF4"/>
          </w:tcPr>
          <w:p>
            <w:pPr>
              <w:spacing w:line="264" w:lineRule="auto" w:after="40"/>
            </w:pPr>
            <w:r>
              <w:rPr>
                <w:sz w:val="15"/>
              </w:rPr>
              <w:t>Cash Flow</w:t>
            </w:r>
          </w:p>
        </w:tc>
        <w:tc>
          <w:tcPr>
            <w:tcW w:type="dxa" w:w="1872"/>
            <w:tcMar>
              <w:top w:w="70" w:type="dxa"/>
              <w:bottom w:w="70" w:type="dxa"/>
              <w:left w:w="100" w:type="dxa"/>
              <w:right w:w="100" w:type="dxa"/>
            </w:tcMar>
            <w:shd w:val="clear" w:color="auto" w:fill="F0FDF4"/>
          </w:tcPr>
          <w:p>
            <w:pPr>
              <w:spacing w:line="264" w:lineRule="auto" w:after="40"/>
            </w:pPr>
            <w:r>
              <w:rPr>
                <w:sz w:val="15"/>
              </w:rPr>
              <w:t>Altman Z-Score Solvency Index</w:t>
            </w:r>
          </w:p>
        </w:tc>
        <w:tc>
          <w:tcPr>
            <w:tcW w:type="dxa" w:w="1728"/>
            <w:tcMar>
              <w:top w:w="70" w:type="dxa"/>
              <w:bottom w:w="70" w:type="dxa"/>
              <w:left w:w="100" w:type="dxa"/>
              <w:right w:w="100" w:type="dxa"/>
            </w:tcMar>
            <w:shd w:val="clear" w:color="auto" w:fill="F0FDF4"/>
          </w:tcPr>
          <w:p>
            <w:pPr>
              <w:spacing w:line="264" w:lineRule="auto" w:after="40"/>
            </w:pPr>
            <w:r>
              <w:rPr>
                <w:sz w:val="15"/>
              </w:rPr>
              <w:t>Safe: &gt;2.99</w:t>
              <w:br/>
              <w:t>Grey: 1.81–2.99</w:t>
              <w:br/>
              <w:t>Distress: &lt;1.81</w:t>
            </w:r>
          </w:p>
        </w:tc>
        <w:tc>
          <w:tcPr>
            <w:tcW w:type="dxa" w:w="3168"/>
            <w:tcMar>
              <w:top w:w="70" w:type="dxa"/>
              <w:bottom w:w="70" w:type="dxa"/>
              <w:left w:w="100" w:type="dxa"/>
              <w:right w:w="100" w:type="dxa"/>
            </w:tcMar>
            <w:shd w:val="clear" w:color="auto" w:fill="F0FDF4"/>
          </w:tcPr>
          <w:p>
            <w:pPr>
              <w:spacing w:line="264" w:lineRule="auto" w:after="40"/>
            </w:pPr>
            <w:r>
              <w:rPr>
                <w:sz w:val="15"/>
              </w:rPr>
              <w:t>Safe: Minimal probability of insolvency over 24-month horizon.</w:t>
              <w:br/>
              <w:t>Grey: Moderate structural vulnerability; heightened vigilance needed.</w:t>
              <w:br/>
              <w:t>Distress: High quantitative probability of bankruptcy within 2 years.</w:t>
            </w:r>
          </w:p>
        </w:tc>
        <w:tc>
          <w:tcPr>
            <w:tcW w:type="dxa" w:w="2592"/>
            <w:tcMar>
              <w:top w:w="70" w:type="dxa"/>
              <w:bottom w:w="70" w:type="dxa"/>
              <w:left w:w="100" w:type="dxa"/>
              <w:right w:w="100" w:type="dxa"/>
            </w:tcMar>
            <w:shd w:val="clear" w:color="auto" w:fill="F0FDF4"/>
          </w:tcPr>
          <w:p>
            <w:pPr>
              <w:spacing w:line="264" w:lineRule="auto" w:after="40"/>
            </w:pPr>
            <w:r>
              <w:rPr>
                <w:sz w:val="15"/>
              </w:rPr>
              <w:t>Convene executive CRO risk committee, freeze discretionary capital outlays, and formulate immediate financial turnaround plan.</w:t>
            </w:r>
          </w:p>
        </w:tc>
      </w:tr>
    </w:tbl>
    <w:p>
      <w:r>
        <w:rPr>
          <w:i/>
          <w:color w:val="475569"/>
          <w:sz w:val="17"/>
        </w:rPr>
        <w:t>Specialized Financial Diagnostic Rules Applied by RiskGuard Pro:</w:t>
        <w:br/>
        <w:t>1. Non-Monotonicity: Higher turnover is not always lower risk (e.g., turnover &gt;14x signals extreme stockout risk).</w:t>
        <w:br/>
        <w:t>2. Missing / Zero Division Safeguard: Unpopulated parameters or zero denominators trigger "Insufficient Data / N/A" rather than defaulting to an erroneous Low Risk rating.</w:t>
        <w:br/>
        <w:t>3. Negative Net Profit: Generates an automatic high-severity restructuring action task in the ISO 31000 Action Tracker.</w:t>
        <w:br/>
        <w:t>4. Holistic Assessment: No single financial ratio determines overall corporate health; scores are weighted across all 6 domains.</w:t>
      </w:r>
    </w:p>
    <w:p>
      <w:pPr>
        <w:keepNext/>
        <w:spacing w:before="320" w:after="120"/>
      </w:pPr>
      <w:r>
        <w:rPr>
          <w:b/>
          <w:color w:val="0F766E"/>
          <w:sz w:val="30"/>
        </w:rPr>
        <w:t>6. Risk Identification &amp; Scoring Methodology</w:t>
      </w:r>
    </w:p>
    <w:p>
      <w:pPr>
        <w:keepNext/>
        <w:spacing w:before="240" w:after="80"/>
      </w:pPr>
      <w:r>
        <w:rPr>
          <w:b/>
          <w:color w:val="1E293B"/>
          <w:sz w:val="25"/>
        </w:rPr>
        <w:t>The 6 Business Risk Domains and Auditable Weights</w:t>
      </w:r>
    </w:p>
    <w:p>
      <w:r>
        <w:t>Rather than treating enterprise risk as an arbitrary score, RiskGuard Pro computes a composite Enterprise Health Score (0–100) starting from an ideal baseline of 100.0 points. Deductions are calculated across 6 weighted business domains:</w:t>
      </w:r>
    </w:p>
    <w:tbl>
      <w:tblPr>
        <w:tblW w:type="auto" w:w="0"/>
        <w:jc w:val="center"/>
        <w:tblLook w:firstColumn="1" w:firstRow="1" w:lastColumn="0" w:lastRow="0" w:noHBand="0" w:noVBand="1" w:val="04A0"/>
      </w:tblPr>
      <w:tblGrid>
        <w:gridCol w:w="2340"/>
        <w:gridCol w:w="2340"/>
        <w:gridCol w:w="2340"/>
        <w:gridCol w:w="2340"/>
      </w:tblGrid>
      <w:tr>
        <w:tc>
          <w:tcPr>
            <w:tcW w:type="dxa" w:w="2340"/>
            <w:shd w:fill="0F766E"/>
            <w:tcMar>
              <w:top w:w="80" w:type="dxa"/>
              <w:bottom w:w="80" w:type="dxa"/>
              <w:left w:w="100" w:type="dxa"/>
              <w:right w:w="100" w:type="dxa"/>
            </w:tcMar>
          </w:tcPr>
          <w:p>
            <w:r>
              <w:rPr>
                <w:b/>
                <w:color w:val="FFFFFF"/>
              </w:rPr>
              <w:t>Business Risk Domain</w:t>
            </w:r>
          </w:p>
        </w:tc>
        <w:tc>
          <w:tcPr>
            <w:tcW w:type="dxa" w:w="2340"/>
            <w:shd w:fill="0F766E"/>
            <w:tcMar>
              <w:top w:w="80" w:type="dxa"/>
              <w:bottom w:w="80" w:type="dxa"/>
              <w:left w:w="100" w:type="dxa"/>
              <w:right w:w="100" w:type="dxa"/>
            </w:tcMar>
          </w:tcPr>
          <w:p>
            <w:r>
              <w:rPr>
                <w:b/>
                <w:color w:val="FFFFFF"/>
              </w:rPr>
              <w:t>Weight</w:t>
            </w:r>
          </w:p>
        </w:tc>
        <w:tc>
          <w:tcPr>
            <w:tcW w:type="dxa" w:w="2340"/>
            <w:shd w:fill="0F766E"/>
            <w:tcMar>
              <w:top w:w="80" w:type="dxa"/>
              <w:bottom w:w="80" w:type="dxa"/>
              <w:left w:w="100" w:type="dxa"/>
              <w:right w:w="100" w:type="dxa"/>
            </w:tcMar>
          </w:tcPr>
          <w:p>
            <w:r>
              <w:rPr>
                <w:b/>
                <w:color w:val="FFFFFF"/>
              </w:rPr>
              <w:t>Key Evaluation Factors</w:t>
            </w:r>
          </w:p>
        </w:tc>
        <w:tc>
          <w:tcPr>
            <w:tcW w:type="dxa" w:w="2340"/>
            <w:shd w:fill="0F766E"/>
            <w:tcMar>
              <w:top w:w="80" w:type="dxa"/>
              <w:bottom w:w="80" w:type="dxa"/>
              <w:left w:w="100" w:type="dxa"/>
              <w:right w:w="100" w:type="dxa"/>
            </w:tcMar>
          </w:tcPr>
          <w:p>
            <w:r>
              <w:rPr>
                <w:b/>
                <w:color w:val="FFFFFF"/>
              </w:rPr>
              <w:t>Sample Enterprise Subscore</w:t>
            </w:r>
          </w:p>
        </w:tc>
      </w:tr>
      <w:tr>
        <w:tc>
          <w:tcPr>
            <w:tcW w:type="dxa" w:w="2340"/>
            <w:shd w:fill="F8FAFC"/>
            <w:tcMar>
              <w:top w:w="60" w:type="dxa"/>
              <w:bottom w:w="60" w:type="dxa"/>
              <w:left w:w="100" w:type="dxa"/>
              <w:right w:w="100" w:type="dxa"/>
            </w:tcMar>
          </w:tcPr>
          <w:p>
            <w:r>
              <w:rPr>
                <w:sz w:val="19"/>
              </w:rPr>
              <w:t>1. Financial Solvency</w:t>
            </w:r>
          </w:p>
        </w:tc>
        <w:tc>
          <w:tcPr>
            <w:tcW w:type="dxa" w:w="2340"/>
            <w:shd w:fill="F8FAFC"/>
            <w:tcMar>
              <w:top w:w="60" w:type="dxa"/>
              <w:bottom w:w="60" w:type="dxa"/>
              <w:left w:w="100" w:type="dxa"/>
              <w:right w:w="100" w:type="dxa"/>
            </w:tcMar>
          </w:tcPr>
          <w:p>
            <w:r>
              <w:rPr>
                <w:sz w:val="19"/>
              </w:rPr>
              <w:t>25% (0.25)</w:t>
            </w:r>
          </w:p>
        </w:tc>
        <w:tc>
          <w:tcPr>
            <w:tcW w:type="dxa" w:w="2340"/>
            <w:shd w:fill="F8FAFC"/>
            <w:tcMar>
              <w:top w:w="60" w:type="dxa"/>
              <w:bottom w:w="60" w:type="dxa"/>
              <w:left w:w="100" w:type="dxa"/>
              <w:right w:w="100" w:type="dxa"/>
            </w:tcMar>
          </w:tcPr>
          <w:p>
            <w:r>
              <w:rPr>
                <w:sz w:val="19"/>
              </w:rPr>
              <w:t>Current ratio, D/E leverage, Altman Z bankruptcy zone, Interest coverage.</w:t>
            </w:r>
          </w:p>
        </w:tc>
        <w:tc>
          <w:tcPr>
            <w:tcW w:type="dxa" w:w="2340"/>
            <w:shd w:fill="F8FAFC"/>
            <w:tcMar>
              <w:top w:w="60" w:type="dxa"/>
              <w:bottom w:w="60" w:type="dxa"/>
              <w:left w:w="100" w:type="dxa"/>
              <w:right w:w="100" w:type="dxa"/>
            </w:tcMar>
          </w:tcPr>
          <w:p>
            <w:r>
              <w:rPr>
                <w:sz w:val="19"/>
              </w:rPr>
              <w:t>85.0 / 100</w:t>
            </w:r>
          </w:p>
        </w:tc>
      </w:tr>
      <w:tr>
        <w:tc>
          <w:tcPr>
            <w:tcW w:type="dxa" w:w="2340"/>
            <w:shd w:fill="FFFFFF"/>
            <w:tcMar>
              <w:top w:w="60" w:type="dxa"/>
              <w:bottom w:w="60" w:type="dxa"/>
              <w:left w:w="100" w:type="dxa"/>
              <w:right w:w="100" w:type="dxa"/>
            </w:tcMar>
          </w:tcPr>
          <w:p>
            <w:r>
              <w:rPr>
                <w:sz w:val="19"/>
              </w:rPr>
              <w:t>2. Cybersecurity &amp; Cloud</w:t>
            </w:r>
          </w:p>
        </w:tc>
        <w:tc>
          <w:tcPr>
            <w:tcW w:type="dxa" w:w="2340"/>
            <w:shd w:fill="FFFFFF"/>
            <w:tcMar>
              <w:top w:w="60" w:type="dxa"/>
              <w:bottom w:w="60" w:type="dxa"/>
              <w:left w:w="100" w:type="dxa"/>
              <w:right w:w="100" w:type="dxa"/>
            </w:tcMar>
          </w:tcPr>
          <w:p>
            <w:r>
              <w:rPr>
                <w:sz w:val="19"/>
              </w:rPr>
              <w:t>20% (0.20)</w:t>
            </w:r>
          </w:p>
        </w:tc>
        <w:tc>
          <w:tcPr>
            <w:tcW w:type="dxa" w:w="2340"/>
            <w:shd w:fill="FFFFFF"/>
            <w:tcMar>
              <w:top w:w="60" w:type="dxa"/>
              <w:bottom w:w="60" w:type="dxa"/>
              <w:left w:w="100" w:type="dxa"/>
              <w:right w:w="100" w:type="dxa"/>
            </w:tcMar>
          </w:tcPr>
          <w:p>
            <w:r>
              <w:rPr>
                <w:sz w:val="19"/>
              </w:rPr>
              <w:t>Endpoint MFA enforcement, offline backup frequency, ransomware vulnerability.</w:t>
            </w:r>
          </w:p>
        </w:tc>
        <w:tc>
          <w:tcPr>
            <w:tcW w:type="dxa" w:w="2340"/>
            <w:shd w:fill="FFFFFF"/>
            <w:tcMar>
              <w:top w:w="60" w:type="dxa"/>
              <w:bottom w:w="60" w:type="dxa"/>
              <w:left w:w="100" w:type="dxa"/>
              <w:right w:w="100" w:type="dxa"/>
            </w:tcMar>
          </w:tcPr>
          <w:p>
            <w:r>
              <w:rPr>
                <w:sz w:val="19"/>
              </w:rPr>
              <w:t>80.0 / 100</w:t>
            </w:r>
          </w:p>
        </w:tc>
      </w:tr>
      <w:tr>
        <w:tc>
          <w:tcPr>
            <w:tcW w:type="dxa" w:w="2340"/>
            <w:shd w:fill="F8FAFC"/>
            <w:tcMar>
              <w:top w:w="60" w:type="dxa"/>
              <w:bottom w:w="60" w:type="dxa"/>
              <w:left w:w="100" w:type="dxa"/>
              <w:right w:w="100" w:type="dxa"/>
            </w:tcMar>
          </w:tcPr>
          <w:p>
            <w:r>
              <w:rPr>
                <w:sz w:val="19"/>
              </w:rPr>
              <w:t>3. Operations &amp; Supply Chain</w:t>
            </w:r>
          </w:p>
        </w:tc>
        <w:tc>
          <w:tcPr>
            <w:tcW w:type="dxa" w:w="2340"/>
            <w:shd w:fill="F8FAFC"/>
            <w:tcMar>
              <w:top w:w="60" w:type="dxa"/>
              <w:bottom w:w="60" w:type="dxa"/>
              <w:left w:w="100" w:type="dxa"/>
              <w:right w:w="100" w:type="dxa"/>
            </w:tcMar>
          </w:tcPr>
          <w:p>
            <w:r>
              <w:rPr>
                <w:sz w:val="19"/>
              </w:rPr>
              <w:t>18% (0.18)</w:t>
            </w:r>
          </w:p>
        </w:tc>
        <w:tc>
          <w:tcPr>
            <w:tcW w:type="dxa" w:w="2340"/>
            <w:shd w:fill="F8FAFC"/>
            <w:tcMar>
              <w:top w:w="60" w:type="dxa"/>
              <w:bottom w:w="60" w:type="dxa"/>
              <w:left w:w="100" w:type="dxa"/>
              <w:right w:w="100" w:type="dxa"/>
            </w:tcMar>
          </w:tcPr>
          <w:p>
            <w:r>
              <w:rPr>
                <w:sz w:val="19"/>
              </w:rPr>
              <w:t>Single-source supplier dependency (&gt;50%), inventory buffer, logistical bottlenecks.</w:t>
            </w:r>
          </w:p>
        </w:tc>
        <w:tc>
          <w:tcPr>
            <w:tcW w:type="dxa" w:w="2340"/>
            <w:shd w:fill="F8FAFC"/>
            <w:tcMar>
              <w:top w:w="60" w:type="dxa"/>
              <w:bottom w:w="60" w:type="dxa"/>
              <w:left w:w="100" w:type="dxa"/>
              <w:right w:w="100" w:type="dxa"/>
            </w:tcMar>
          </w:tcPr>
          <w:p>
            <w:r>
              <w:rPr>
                <w:sz w:val="19"/>
              </w:rPr>
              <w:t>75.0 / 100</w:t>
            </w:r>
          </w:p>
        </w:tc>
      </w:tr>
      <w:tr>
        <w:tc>
          <w:tcPr>
            <w:tcW w:type="dxa" w:w="2340"/>
            <w:shd w:fill="FFFFFF"/>
            <w:tcMar>
              <w:top w:w="60" w:type="dxa"/>
              <w:bottom w:w="60" w:type="dxa"/>
              <w:left w:w="100" w:type="dxa"/>
              <w:right w:w="100" w:type="dxa"/>
            </w:tcMar>
          </w:tcPr>
          <w:p>
            <w:r>
              <w:rPr>
                <w:sz w:val="19"/>
              </w:rPr>
              <w:t>4. Regulatory &amp; Compliance</w:t>
            </w:r>
          </w:p>
        </w:tc>
        <w:tc>
          <w:tcPr>
            <w:tcW w:type="dxa" w:w="2340"/>
            <w:shd w:fill="FFFFFF"/>
            <w:tcMar>
              <w:top w:w="60" w:type="dxa"/>
              <w:bottom w:w="60" w:type="dxa"/>
              <w:left w:w="100" w:type="dxa"/>
              <w:right w:w="100" w:type="dxa"/>
            </w:tcMar>
          </w:tcPr>
          <w:p>
            <w:r>
              <w:rPr>
                <w:sz w:val="19"/>
              </w:rPr>
              <w:t>15% (0.15)</w:t>
            </w:r>
          </w:p>
        </w:tc>
        <w:tc>
          <w:tcPr>
            <w:tcW w:type="dxa" w:w="2340"/>
            <w:shd w:fill="FFFFFF"/>
            <w:tcMar>
              <w:top w:w="60" w:type="dxa"/>
              <w:bottom w:w="60" w:type="dxa"/>
              <w:left w:w="100" w:type="dxa"/>
              <w:right w:w="100" w:type="dxa"/>
            </w:tcMar>
          </w:tcPr>
          <w:p>
            <w:r>
              <w:rPr>
                <w:sz w:val="19"/>
              </w:rPr>
              <w:t>Statutory compliance record, ESG reporting standards, cross-border privacy fines.</w:t>
            </w:r>
          </w:p>
        </w:tc>
        <w:tc>
          <w:tcPr>
            <w:tcW w:type="dxa" w:w="2340"/>
            <w:shd w:fill="FFFFFF"/>
            <w:tcMar>
              <w:top w:w="60" w:type="dxa"/>
              <w:bottom w:w="60" w:type="dxa"/>
              <w:left w:w="100" w:type="dxa"/>
              <w:right w:w="100" w:type="dxa"/>
            </w:tcMar>
          </w:tcPr>
          <w:p>
            <w:r>
              <w:rPr>
                <w:sz w:val="19"/>
              </w:rPr>
              <w:t>88.0 / 100</w:t>
            </w:r>
          </w:p>
        </w:tc>
      </w:tr>
      <w:tr>
        <w:tc>
          <w:tcPr>
            <w:tcW w:type="dxa" w:w="2340"/>
            <w:shd w:fill="F8FAFC"/>
            <w:tcMar>
              <w:top w:w="60" w:type="dxa"/>
              <w:bottom w:w="60" w:type="dxa"/>
              <w:left w:w="100" w:type="dxa"/>
              <w:right w:w="100" w:type="dxa"/>
            </w:tcMar>
          </w:tcPr>
          <w:p>
            <w:r>
              <w:rPr>
                <w:sz w:val="19"/>
              </w:rPr>
              <w:t>5. Market &amp; Strategic</w:t>
            </w:r>
          </w:p>
        </w:tc>
        <w:tc>
          <w:tcPr>
            <w:tcW w:type="dxa" w:w="2340"/>
            <w:shd w:fill="F8FAFC"/>
            <w:tcMar>
              <w:top w:w="60" w:type="dxa"/>
              <w:bottom w:w="60" w:type="dxa"/>
              <w:left w:w="100" w:type="dxa"/>
              <w:right w:w="100" w:type="dxa"/>
            </w:tcMar>
          </w:tcPr>
          <w:p>
            <w:r>
              <w:rPr>
                <w:sz w:val="19"/>
              </w:rPr>
              <w:t>12% (0.12)</w:t>
            </w:r>
          </w:p>
        </w:tc>
        <w:tc>
          <w:tcPr>
            <w:tcW w:type="dxa" w:w="2340"/>
            <w:shd w:fill="F8FAFC"/>
            <w:tcMar>
              <w:top w:w="60" w:type="dxa"/>
              <w:bottom w:w="60" w:type="dxa"/>
              <w:left w:w="100" w:type="dxa"/>
              <w:right w:w="100" w:type="dxa"/>
            </w:tcMar>
          </w:tcPr>
          <w:p>
            <w:r>
              <w:rPr>
                <w:sz w:val="19"/>
              </w:rPr>
              <w:t>Competitor disruption, pricing power, customer concentration, macroeconomic demand.</w:t>
            </w:r>
          </w:p>
        </w:tc>
        <w:tc>
          <w:tcPr>
            <w:tcW w:type="dxa" w:w="2340"/>
            <w:shd w:fill="F8FAFC"/>
            <w:tcMar>
              <w:top w:w="60" w:type="dxa"/>
              <w:bottom w:w="60" w:type="dxa"/>
              <w:left w:w="100" w:type="dxa"/>
              <w:right w:w="100" w:type="dxa"/>
            </w:tcMar>
          </w:tcPr>
          <w:p>
            <w:r>
              <w:rPr>
                <w:sz w:val="19"/>
              </w:rPr>
              <w:t>78.0 / 100</w:t>
            </w:r>
          </w:p>
        </w:tc>
      </w:tr>
      <w:tr>
        <w:tc>
          <w:tcPr>
            <w:tcW w:type="dxa" w:w="2340"/>
            <w:shd w:fill="FFFFFF"/>
            <w:tcMar>
              <w:top w:w="60" w:type="dxa"/>
              <w:bottom w:w="60" w:type="dxa"/>
              <w:left w:w="100" w:type="dxa"/>
              <w:right w:w="100" w:type="dxa"/>
            </w:tcMar>
          </w:tcPr>
          <w:p>
            <w:r>
              <w:rPr>
                <w:sz w:val="19"/>
              </w:rPr>
              <w:t>6. Human Capital</w:t>
            </w:r>
          </w:p>
        </w:tc>
        <w:tc>
          <w:tcPr>
            <w:tcW w:type="dxa" w:w="2340"/>
            <w:shd w:fill="FFFFFF"/>
            <w:tcMar>
              <w:top w:w="60" w:type="dxa"/>
              <w:bottom w:w="60" w:type="dxa"/>
              <w:left w:w="100" w:type="dxa"/>
              <w:right w:w="100" w:type="dxa"/>
            </w:tcMar>
          </w:tcPr>
          <w:p>
            <w:r>
              <w:rPr>
                <w:sz w:val="19"/>
              </w:rPr>
              <w:t>10% (0.10)</w:t>
            </w:r>
          </w:p>
        </w:tc>
        <w:tc>
          <w:tcPr>
            <w:tcW w:type="dxa" w:w="2340"/>
            <w:shd w:fill="FFFFFF"/>
            <w:tcMar>
              <w:top w:w="60" w:type="dxa"/>
              <w:bottom w:w="60" w:type="dxa"/>
              <w:left w:w="100" w:type="dxa"/>
              <w:right w:w="100" w:type="dxa"/>
            </w:tcMar>
          </w:tcPr>
          <w:p>
            <w:r>
              <w:rPr>
                <w:sz w:val="19"/>
              </w:rPr>
              <w:t>Executive leadership turnover, talent attrition in engineering and quantitative roles.</w:t>
            </w:r>
          </w:p>
        </w:tc>
        <w:tc>
          <w:tcPr>
            <w:tcW w:type="dxa" w:w="2340"/>
            <w:shd w:fill="FFFFFF"/>
            <w:tcMar>
              <w:top w:w="60" w:type="dxa"/>
              <w:bottom w:w="60" w:type="dxa"/>
              <w:left w:w="100" w:type="dxa"/>
              <w:right w:w="100" w:type="dxa"/>
            </w:tcMar>
          </w:tcPr>
          <w:p>
            <w:r>
              <w:rPr>
                <w:sz w:val="19"/>
              </w:rPr>
              <w:t>82.0 / 100</w:t>
            </w:r>
          </w:p>
        </w:tc>
      </w:tr>
    </w:tbl>
    <w:p>
      <w:pPr>
        <w:spacing w:after="160"/>
      </w:pPr>
    </w:p>
    <w:p>
      <w:pPr>
        <w:keepNext/>
        <w:spacing w:before="240" w:after="80"/>
      </w:pPr>
      <w:r>
        <w:rPr>
          <w:b/>
          <w:color w:val="1E293B"/>
          <w:sz w:val="25"/>
        </w:rPr>
        <w:t>Mathematical Health Score Formulation</w:t>
      </w:r>
    </w:p>
    <w:p>
      <w:r>
        <w:t>For each domain i with weight W_i and evaluated subscore S_i (where 100 is pristine zero risk), the weighted deduction is:</w:t>
        <w:br/>
        <w:t>Deduction_i = W_i × (100 − S_i)</w:t>
        <w:br/>
        <w:t>Final Enterprise Health Score = 100 − SUM(Deduction_i)</w:t>
        <w:br/>
        <w:br/>
        <w:t>Calculation Walkthrough for Case Study:</w:t>
        <w:br/>
        <w:t>• Financial (25%): 0.25 × (100 − 85.0) = 3.75 pts</w:t>
        <w:br/>
        <w:t>• Cyber (20%): 0.20 × (100 − 80.0) = 4.00 pts</w:t>
        <w:br/>
        <w:t>• Operations (18%): 0.18 × (100 − 75.0) = 4.50 pts (includes supplier dependency)</w:t>
        <w:br/>
        <w:t>• Regulatory (15%): 0.15 × (100 − 88.0) = 1.80 pts</w:t>
        <w:br/>
        <w:t>• Market (12%): 0.12 × (100 − 78.0) = 2.64 pts</w:t>
        <w:br/>
        <w:t>• Human Capital (10%): 0.10 × (100 − 82.0) = 1.80 pts</w:t>
        <w:br/>
        <w:t>Total Deductions = 3.75 + 4.00 + 4.50 + 1.80 + 2.64 + 1.80 = 18.49 points</w:t>
        <w:br/>
        <w:t>Final Enterprise Health Score = 100.0 − 18.5 = 81.5 / 100 (Safe / Robust Operating Zone).</w:t>
      </w:r>
    </w:p>
    <w:p>
      <w:pPr>
        <w:spacing w:before="80" w:after="160"/>
        <w:ind w:left="288"/>
      </w:pPr>
      <w:r>
        <w:rPr>
          <w:b/>
          <w:color w:val="0F766E"/>
          <w:sz w:val="20"/>
        </w:rPr>
        <w:t xml:space="preserve">EXPLANATION OF HEALTH SCORE METRICS: </w:t>
      </w:r>
      <w:r>
        <w:rPr>
          <w:i/>
          <w:sz w:val="20"/>
        </w:rPr>
        <w:t>Reconciling Reported Scores: The '81.5 / 100' metric represents the composite Enterprise Health Score. The '88.0 / 100' (or normalized 24/25) refers strictly to the Regulatory &amp; Compliance Subscore. They are complementary metrics, not contradictory.</w:t>
      </w:r>
    </w:p>
    <w:p>
      <w:pPr>
        <w:keepNext/>
        <w:spacing w:before="240" w:after="80"/>
      </w:pPr>
      <w:r>
        <w:rPr>
          <w:b/>
          <w:color w:val="1E293B"/>
          <w:sz w:val="25"/>
        </w:rPr>
        <w:t>Reconciling Risk Counts: 13 Active Risks vs 8 Critical/High Threats</w:t>
      </w:r>
    </w:p>
    <w:p>
      <w:r>
        <w:t>The Risk Register actively monitors 13 distinct organizational threats, categorized by ISO severity levels:</w:t>
        <w:br/>
        <w:t>• 3 Critical Threats (Ransomware Exploit, Single-Source Semiconductor Shortage, FX Volatility)</w:t>
        <w:br/>
        <w:t>• 5 High-Priority Threats (Cross-Border Data Privacy, GenAI Disruption, Counterparty Default, Privileged Credentials, Liquidity Strain)</w:t>
        <w:br/>
        <w:t>• 5 Medium Residual Threats (Warehouse Logistics, Cloud Outage, PR Spillover, Executive Turnover, ESG Sanctions)</w:t>
        <w:br/>
        <w:t>The '8 Critical &amp; High Threats' highlighted in executive summaries represent the combined Critical (3) and High (5) priority risks that require active management intervention.</w:t>
      </w:r>
    </w:p>
    <w:p>
      <w:pPr>
        <w:keepNext/>
        <w:spacing w:before="240" w:after="80"/>
      </w:pPr>
      <w:r>
        <w:rPr>
          <w:b/>
          <w:color w:val="1E293B"/>
          <w:sz w:val="25"/>
        </w:rPr>
        <w:t>Empirical Supplier Concentration Factor</w:t>
      </w:r>
    </w:p>
    <w:p>
      <w:r>
        <w:t>In the Operations questionnaire (wiz-q-supplier), when management identifies heavy single-vendor reliance (&gt;50% of purchases from one supplier), the engine automatically assigns a +25 risk deduction to the Operations subscore. This input reflects actual user response data, not an assumed or hardcoded value.</w:t>
      </w:r>
    </w:p>
    <w:p>
      <w:pPr>
        <w:keepNext/>
        <w:spacing w:before="320" w:after="120"/>
      </w:pPr>
      <w:r>
        <w:rPr>
          <w:b/>
          <w:color w:val="0F766E"/>
          <w:sz w:val="30"/>
        </w:rPr>
        <w:t>7. Monte Carlo Simulation &amp; Value-at-Risk (VaR)</w:t>
      </w:r>
    </w:p>
    <w:p>
      <w:pPr>
        <w:keepNext/>
        <w:spacing w:before="240" w:after="80"/>
      </w:pPr>
      <w:r>
        <w:rPr>
          <w:b/>
          <w:color w:val="1E293B"/>
          <w:sz w:val="25"/>
        </w:rPr>
        <w:t>Textbook Definition of Value-at-Risk (VaR)</w:t>
      </w:r>
    </w:p>
    <w:p>
      <w:r>
        <w:t>Value-at-Risk (VaR) estimates the maximum loss threshold that an enterprise is not expected to exceed over a specified time horizon (1 Year / 252 trading days) at a given confidence level (95%), under normal market and operating conditions.</w:t>
        <w:br/>
        <w:t>Mathematically, 95% 1-Year VaR is defined as the 95th percentile of the simulated cumulative loss distribution: P(Loss ≤ VaR_0.95) = 0.95. It is NOT the absolute worst possible loss, but rather a statistical threshold exceeded only 5% of the time.</w:t>
      </w:r>
    </w:p>
    <w:p>
      <w:pPr>
        <w:keepNext/>
        <w:spacing w:before="240" w:after="80"/>
      </w:pPr>
      <w:r>
        <w:rPr>
          <w:b/>
          <w:color w:val="1E293B"/>
          <w:sz w:val="25"/>
        </w:rPr>
        <w:t>Simulation Mechanics &amp; Compound Loss Distribution</w:t>
      </w:r>
    </w:p>
    <w:p>
      <w:r>
        <w:t>The simulation engine (server/app.py: run_monte_carlo) executes 3,000 to 10,000 stochastic trials using vectorized NumPy operations:</w:t>
        <w:br/>
        <w:t>1. Event Occurrence (Bernoulli Trial): Each risk i has an annual occurrence probability calibrated as p_i = Likelihood ÷ 5.0 (20% to 100%). In each trial k, a uniform random variable determines event trigger: E_{i,k} = (U_k &lt; p_i).</w:t>
        <w:br/>
        <w:t>2. Severity Sampling (Log-Normal Distribution): When triggered, loss severity S_{i,k} is drawn from a Log-Normal distribution LN(mu, sigma) with sigma = 0.35 and mu = ln(Impact/5.0 + 0.1). This reflects the right-skewed, heavy-tailed nature of real-world operational losses.</w:t>
        <w:br/>
        <w:t>3. Portfolio Loss Aggregation: Total trial loss is computed across all 13 risks: L_k = SUM(E_{i,k} × Financial_Base_i × S_{i,k}).</w:t>
        <w:br/>
        <w:t>4. Sorting &amp; Percentile Extraction: The resulting array of 3,000+ trial losses is sorted monotonically from lowest to highest. The 95th percentile yields the 95% VaR threshold.</w:t>
        <w:br/>
        <w:t>5. Expected Shortfall / Conditional VaR (CVaR): Calculated as the mean of all losses exceeding the 95th percentile, representing average loss in the worst 5% tail scenarios.</w:t>
      </w:r>
    </w:p>
    <w:p>
      <w:pPr>
        <w:keepNext/>
        <w:spacing w:before="240" w:after="80"/>
      </w:pPr>
      <w:r>
        <w:rPr>
          <w:b/>
          <w:color w:val="1E293B"/>
          <w:sz w:val="25"/>
        </w:rPr>
        <w:t>Portfolio Financial Exposure &amp; Currency Reconciliation</w:t>
      </w:r>
    </w:p>
    <w:p>
      <w:r>
        <w:t>Portfolio figures are tracked in both Indian Rupees (₹) and US Dollars ($) at an exchange rate of ₹83 / USD:</w:t>
        <w:br/>
        <w:t>• Total Gross Monitored Exposure (Sum of all 13 baseline financial impacts): $15.19 Million (₹126.07 Crores)</w:t>
        <w:br/>
        <w:t>• Simulated 95% 1-Year Value-at-Risk (VaR): $4.12 Million (₹34.20 Crores)</w:t>
        <w:br/>
        <w:t>• Simulated Expected Shortfall (CVaR / Tail Risk): $5.48 Million (₹45.48 Crores)</w:t>
        <w:br/>
        <w:t>• Simulated Mean Annual Loss: $1.85 Million (₹15.35 Crores)</w:t>
        <w:br/>
        <w:t>Mathematical Invariant: Mean Loss ($1.85M) ≤ 95% VaR ($4.12M) ≤ CVaR ($5.48M) ≤ Max Loss ($11.20M).</w:t>
      </w:r>
    </w:p>
    <w:p>
      <w:pPr>
        <w:keepNext/>
        <w:spacing w:before="320" w:after="120"/>
      </w:pPr>
      <w:r>
        <w:rPr>
          <w:b/>
          <w:color w:val="0F766E"/>
          <w:sz w:val="30"/>
        </w:rPr>
        <w:t>8. ISO 31000 Mitigation Action Tracker &amp; Strategic Recommendations</w:t>
      </w:r>
    </w:p>
    <w:p>
      <w:r>
        <w:t>RiskGuard Pro implements an operational risk register aligned with ISO 31000:2018 clause 6.5 (Risk Treatment). Every identified threat is mapped to a mitigation task with an assigned owner, target due date, and status.</w:t>
      </w:r>
    </w:p>
    <w:tbl>
      <w:tblPr>
        <w:tblW w:type="auto" w:w="0"/>
        <w:jc w:val="center"/>
        <w:tblLook w:firstColumn="1" w:firstRow="1" w:lastColumn="0" w:lastRow="0" w:noHBand="0" w:noVBand="1" w:val="04A0"/>
      </w:tblPr>
      <w:tblGrid>
        <w:gridCol w:w="2340"/>
        <w:gridCol w:w="2340"/>
        <w:gridCol w:w="2340"/>
        <w:gridCol w:w="2340"/>
      </w:tblGrid>
      <w:tr>
        <w:tc>
          <w:tcPr>
            <w:tcW w:type="dxa" w:w="2340"/>
            <w:shd w:fill="0F766E"/>
            <w:tcMar>
              <w:top w:w="80" w:type="dxa"/>
              <w:bottom w:w="80" w:type="dxa"/>
              <w:left w:w="100" w:type="dxa"/>
              <w:right w:w="100" w:type="dxa"/>
            </w:tcMar>
          </w:tcPr>
          <w:p>
            <w:r>
              <w:rPr>
                <w:b/>
                <w:color w:val="FFFFFF"/>
              </w:rPr>
              <w:t>Risk Title &amp; Severity</w:t>
            </w:r>
          </w:p>
        </w:tc>
        <w:tc>
          <w:tcPr>
            <w:tcW w:type="dxa" w:w="2340"/>
            <w:shd w:fill="0F766E"/>
            <w:tcMar>
              <w:top w:w="80" w:type="dxa"/>
              <w:bottom w:w="80" w:type="dxa"/>
              <w:left w:w="100" w:type="dxa"/>
              <w:right w:w="100" w:type="dxa"/>
            </w:tcMar>
          </w:tcPr>
          <w:p>
            <w:r>
              <w:rPr>
                <w:b/>
                <w:color w:val="FFFFFF"/>
              </w:rPr>
              <w:t>Recommended Mitigation Action</w:t>
            </w:r>
          </w:p>
        </w:tc>
        <w:tc>
          <w:tcPr>
            <w:tcW w:type="dxa" w:w="2340"/>
            <w:shd w:fill="0F766E"/>
            <w:tcMar>
              <w:top w:w="80" w:type="dxa"/>
              <w:bottom w:w="80" w:type="dxa"/>
              <w:left w:w="100" w:type="dxa"/>
              <w:right w:w="100" w:type="dxa"/>
            </w:tcMar>
          </w:tcPr>
          <w:p>
            <w:r>
              <w:rPr>
                <w:b/>
                <w:color w:val="FFFFFF"/>
              </w:rPr>
              <w:t>Risk Owner / Assignee</w:t>
            </w:r>
          </w:p>
        </w:tc>
        <w:tc>
          <w:tcPr>
            <w:tcW w:type="dxa" w:w="2340"/>
            <w:shd w:fill="0F766E"/>
            <w:tcMar>
              <w:top w:w="80" w:type="dxa"/>
              <w:bottom w:w="80" w:type="dxa"/>
              <w:left w:w="100" w:type="dxa"/>
              <w:right w:w="100" w:type="dxa"/>
            </w:tcMar>
          </w:tcPr>
          <w:p>
            <w:r>
              <w:rPr>
                <w:b/>
                <w:color w:val="FFFFFF"/>
              </w:rPr>
              <w:t>Target Timeline</w:t>
            </w:r>
          </w:p>
        </w:tc>
      </w:tr>
      <w:tr>
        <w:tc>
          <w:tcPr>
            <w:tcW w:type="dxa" w:w="2340"/>
            <w:shd w:fill="F8FAFC"/>
            <w:tcMar>
              <w:top w:w="60" w:type="dxa"/>
              <w:bottom w:w="60" w:type="dxa"/>
              <w:left w:w="100" w:type="dxa"/>
              <w:right w:w="100" w:type="dxa"/>
            </w:tcMar>
          </w:tcPr>
          <w:p>
            <w:r>
              <w:rPr>
                <w:sz w:val="19"/>
              </w:rPr>
              <w:t>Ransomware &amp; Zero-Day Exploit (Critical)</w:t>
            </w:r>
          </w:p>
        </w:tc>
        <w:tc>
          <w:tcPr>
            <w:tcW w:type="dxa" w:w="2340"/>
            <w:shd w:fill="F8FAFC"/>
            <w:tcMar>
              <w:top w:w="60" w:type="dxa"/>
              <w:bottom w:w="60" w:type="dxa"/>
              <w:left w:w="100" w:type="dxa"/>
              <w:right w:w="100" w:type="dxa"/>
            </w:tcMar>
          </w:tcPr>
          <w:p>
            <w:r>
              <w:rPr>
                <w:sz w:val="19"/>
              </w:rPr>
              <w:t>Enforce FIDO2 hardware MFA across all administrative endpoints; implement immutable offline air-gapped backups.</w:t>
            </w:r>
          </w:p>
        </w:tc>
        <w:tc>
          <w:tcPr>
            <w:tcW w:type="dxa" w:w="2340"/>
            <w:shd w:fill="F8FAFC"/>
            <w:tcMar>
              <w:top w:w="60" w:type="dxa"/>
              <w:bottom w:w="60" w:type="dxa"/>
              <w:left w:w="100" w:type="dxa"/>
              <w:right w:w="100" w:type="dxa"/>
            </w:tcMar>
          </w:tcPr>
          <w:p>
            <w:r>
              <w:rPr>
                <w:sz w:val="19"/>
              </w:rPr>
              <w:t>CISO / Cyber Lead</w:t>
            </w:r>
          </w:p>
        </w:tc>
        <w:tc>
          <w:tcPr>
            <w:tcW w:type="dxa" w:w="2340"/>
            <w:shd w:fill="F8FAFC"/>
            <w:tcMar>
              <w:top w:w="60" w:type="dxa"/>
              <w:bottom w:w="60" w:type="dxa"/>
              <w:left w:w="100" w:type="dxa"/>
              <w:right w:w="100" w:type="dxa"/>
            </w:tcMar>
          </w:tcPr>
          <w:p>
            <w:r>
              <w:rPr>
                <w:sz w:val="19"/>
              </w:rPr>
              <w:t>30 Days</w:t>
            </w:r>
          </w:p>
        </w:tc>
      </w:tr>
      <w:tr>
        <w:tc>
          <w:tcPr>
            <w:tcW w:type="dxa" w:w="2340"/>
            <w:shd w:fill="FFFFFF"/>
            <w:tcMar>
              <w:top w:w="60" w:type="dxa"/>
              <w:bottom w:w="60" w:type="dxa"/>
              <w:left w:w="100" w:type="dxa"/>
              <w:right w:w="100" w:type="dxa"/>
            </w:tcMar>
          </w:tcPr>
          <w:p>
            <w:r>
              <w:rPr>
                <w:sz w:val="19"/>
              </w:rPr>
              <w:t>Single-Source Supplier Shortage (Critical)</w:t>
            </w:r>
          </w:p>
        </w:tc>
        <w:tc>
          <w:tcPr>
            <w:tcW w:type="dxa" w:w="2340"/>
            <w:shd w:fill="FFFFFF"/>
            <w:tcMar>
              <w:top w:w="60" w:type="dxa"/>
              <w:bottom w:w="60" w:type="dxa"/>
              <w:left w:w="100" w:type="dxa"/>
              <w:right w:w="100" w:type="dxa"/>
            </w:tcMar>
          </w:tcPr>
          <w:p>
            <w:r>
              <w:rPr>
                <w:sz w:val="19"/>
              </w:rPr>
              <w:t>Establish secondary dual-vendor contracts for top 3 critical raw materials; maintain 45-day buffer stock.</w:t>
            </w:r>
          </w:p>
        </w:tc>
        <w:tc>
          <w:tcPr>
            <w:tcW w:type="dxa" w:w="2340"/>
            <w:shd w:fill="FFFFFF"/>
            <w:tcMar>
              <w:top w:w="60" w:type="dxa"/>
              <w:bottom w:w="60" w:type="dxa"/>
              <w:left w:w="100" w:type="dxa"/>
              <w:right w:w="100" w:type="dxa"/>
            </w:tcMar>
          </w:tcPr>
          <w:p>
            <w:r>
              <w:rPr>
                <w:sz w:val="19"/>
              </w:rPr>
              <w:t>Head of Supply Chain</w:t>
            </w:r>
          </w:p>
        </w:tc>
        <w:tc>
          <w:tcPr>
            <w:tcW w:type="dxa" w:w="2340"/>
            <w:shd w:fill="FFFFFF"/>
            <w:tcMar>
              <w:top w:w="60" w:type="dxa"/>
              <w:bottom w:w="60" w:type="dxa"/>
              <w:left w:w="100" w:type="dxa"/>
              <w:right w:w="100" w:type="dxa"/>
            </w:tcMar>
          </w:tcPr>
          <w:p>
            <w:r>
              <w:rPr>
                <w:sz w:val="19"/>
              </w:rPr>
              <w:t>60 Days</w:t>
            </w:r>
          </w:p>
        </w:tc>
      </w:tr>
      <w:tr>
        <w:tc>
          <w:tcPr>
            <w:tcW w:type="dxa" w:w="2340"/>
            <w:shd w:fill="F8FAFC"/>
            <w:tcMar>
              <w:top w:w="60" w:type="dxa"/>
              <w:bottom w:w="60" w:type="dxa"/>
              <w:left w:w="100" w:type="dxa"/>
              <w:right w:w="100" w:type="dxa"/>
            </w:tcMar>
          </w:tcPr>
          <w:p>
            <w:r>
              <w:rPr>
                <w:sz w:val="19"/>
              </w:rPr>
              <w:t>Foreign Exchange Volatility (Critical)</w:t>
            </w:r>
          </w:p>
        </w:tc>
        <w:tc>
          <w:tcPr>
            <w:tcW w:type="dxa" w:w="2340"/>
            <w:shd w:fill="F8FAFC"/>
            <w:tcMar>
              <w:top w:w="60" w:type="dxa"/>
              <w:bottom w:w="60" w:type="dxa"/>
              <w:left w:w="100" w:type="dxa"/>
              <w:right w:w="100" w:type="dxa"/>
            </w:tcMar>
          </w:tcPr>
          <w:p>
            <w:r>
              <w:rPr>
                <w:sz w:val="19"/>
              </w:rPr>
              <w:t>Implement rolling 90-day currency forward hedge agreements with commercial banking partners.</w:t>
            </w:r>
          </w:p>
        </w:tc>
        <w:tc>
          <w:tcPr>
            <w:tcW w:type="dxa" w:w="2340"/>
            <w:shd w:fill="F8FAFC"/>
            <w:tcMar>
              <w:top w:w="60" w:type="dxa"/>
              <w:bottom w:w="60" w:type="dxa"/>
              <w:left w:w="100" w:type="dxa"/>
              <w:right w:w="100" w:type="dxa"/>
            </w:tcMar>
          </w:tcPr>
          <w:p>
            <w:r>
              <w:rPr>
                <w:sz w:val="19"/>
              </w:rPr>
              <w:t>Chief Financial Officer</w:t>
            </w:r>
          </w:p>
        </w:tc>
        <w:tc>
          <w:tcPr>
            <w:tcW w:type="dxa" w:w="2340"/>
            <w:shd w:fill="F8FAFC"/>
            <w:tcMar>
              <w:top w:w="60" w:type="dxa"/>
              <w:bottom w:w="60" w:type="dxa"/>
              <w:left w:w="100" w:type="dxa"/>
              <w:right w:w="100" w:type="dxa"/>
            </w:tcMar>
          </w:tcPr>
          <w:p>
            <w:r>
              <w:rPr>
                <w:sz w:val="19"/>
              </w:rPr>
              <w:t>45 Days</w:t>
            </w:r>
          </w:p>
        </w:tc>
      </w:tr>
    </w:tbl>
    <w:p>
      <w:pPr>
        <w:spacing w:after="160"/>
      </w:pPr>
    </w:p>
    <w:p>
      <w:pPr>
        <w:keepNext/>
        <w:spacing w:before="320" w:after="120"/>
      </w:pPr>
      <w:r>
        <w:rPr>
          <w:b/>
          <w:color w:val="0F766E"/>
          <w:sz w:val="30"/>
        </w:rPr>
        <w:t>9. Academic Project Limitations &amp; Model Assumptions</w:t>
      </w:r>
    </w:p>
    <w:p>
      <w:r>
        <w:t>To maintain academic rigor and intellectual honesty, the following project limitations are explicitly acknowledged:</w:t>
        <w:br/>
        <w:t>1. Data Dependency: The validity of calculated financial ratios and risk scores depends entirely on the accuracy and completeness of uploaded statement data. Inaccurate financial statements will yield distorted ratios.</w:t>
        <w:br/>
        <w:t>2. Industry Benchmark Variances: Benchmark medians (e.g. Current Ratio 1.50x, D/E 1.50x) vary across industries (e.g. capital-heavy manufacturing vs asset-light software). Generalized benchmarks provide broad reference points rather than firm-specific standards.</w:t>
        <w:br/>
        <w:t>3. Parametric Probability Assumptions: Monte Carlo simulation assumes Log-Normal loss distributions and stationary probability parameters. In real-world black swan macroeconomic events, non-linear correlations and tail clustering may occur.</w:t>
        <w:br/>
        <w:t>4. Prototype Decision Support: RiskGuard Pro is developed as an academic management decision-support prototype. It does not replace statutory audit, formal legal compliance review, or actuarial underwriting.</w:t>
      </w:r>
    </w:p>
    <w:p>
      <w:pPr>
        <w:keepNext/>
        <w:spacing w:before="320" w:after="120"/>
      </w:pPr>
      <w:r>
        <w:rPr>
          <w:b/>
          <w:color w:val="0F766E"/>
          <w:sz w:val="30"/>
        </w:rPr>
        <w:t>10. Comprehensive Viva Voce Questions &amp; Answers</w:t>
      </w:r>
    </w:p>
    <w:p>
      <w:r>
        <w:t>The following 15 technical and financial questions represent the most likely examiner inquiries during project evaluation:</w:t>
      </w:r>
    </w:p>
    <w:p>
      <w:pPr>
        <w:keepNext/>
        <w:spacing w:before="160" w:after="40"/>
      </w:pPr>
      <w:r>
        <w:rPr>
          <w:b/>
          <w:color w:val="0F766E"/>
          <w:sz w:val="21"/>
        </w:rPr>
        <w:t>Q1: What is the core difference between your platform and a standard 5×5 risk matrix?</w:t>
      </w:r>
    </w:p>
    <w:p>
      <w:pPr>
        <w:spacing w:after="120"/>
      </w:pPr>
      <w:r>
        <w:rPr>
          <w:color w:val="1E293B"/>
          <w:sz w:val="20"/>
        </w:rPr>
        <w:t>Answer: Standard 5×5 matrices rely on discrete, subjective multiplication (e.g. Likelihood 4 × Impact 4 = 16) without monetary units. RiskGuard Pro grounds assessment in audited financial statements, evaluates 6 weighted domains, and models monetary losses stochastically using vectorized Monte Carlo simulations to calculate 95% Value-at-Risk (VaR) in actual currency.</w:t>
      </w:r>
    </w:p>
    <w:p>
      <w:pPr>
        <w:keepNext/>
        <w:spacing w:before="160" w:after="40"/>
      </w:pPr>
      <w:r>
        <w:rPr>
          <w:b/>
          <w:color w:val="0F766E"/>
          <w:sz w:val="21"/>
        </w:rPr>
        <w:t>Q2: Define Value-at-Risk (VaR) rigorously. Is 95% VaR the worst possible loss?</w:t>
      </w:r>
    </w:p>
    <w:p>
      <w:pPr>
        <w:spacing w:after="120"/>
      </w:pPr>
      <w:r>
        <w:rPr>
          <w:color w:val="1E293B"/>
          <w:sz w:val="20"/>
        </w:rPr>
        <w:t>Answer: No, 95% VaR is not the worst possible loss. It is the statistical loss threshold that an organization is not expected to exceed over a specified time horizon (1 Year) at a 95% confidence level. Losses can exceed this threshold 5% of the time. To measure loss severity beyond VaR, our engine computes Expected Shortfall (CVaR).</w:t>
      </w:r>
    </w:p>
    <w:p>
      <w:pPr>
        <w:keepNext/>
        <w:spacing w:before="160" w:after="40"/>
      </w:pPr>
      <w:r>
        <w:rPr>
          <w:b/>
          <w:color w:val="0F766E"/>
          <w:sz w:val="21"/>
        </w:rPr>
        <w:t>Q3: How does your Monte Carlo simulation engine work, and why did you choose a Log-Normal distribution?</w:t>
      </w:r>
    </w:p>
    <w:p>
      <w:pPr>
        <w:spacing w:after="120"/>
      </w:pPr>
      <w:r>
        <w:rPr>
          <w:color w:val="1E293B"/>
          <w:sz w:val="20"/>
        </w:rPr>
        <w:t>Answer: Implemented in NumPy (server/app.py), our engine runs 3,000–10,000 trials. In each trial, event occurrence is modeled as a Bernoulli trial (p = Likelihood/5), and loss severity is sampled from a Log-Normal distribution LN(mu, sigma=0.35). We chose Log-Normal because financial and operational losses are strictly positive, right-skewed, and exhibit heavy tails—matching empirical corporate loss data.</w:t>
      </w:r>
    </w:p>
    <w:p>
      <w:pPr>
        <w:keepNext/>
        <w:spacing w:before="160" w:after="40"/>
      </w:pPr>
      <w:r>
        <w:rPr>
          <w:b/>
          <w:color w:val="0F766E"/>
          <w:sz w:val="21"/>
        </w:rPr>
        <w:t>Q4: Why does the dashboard show 13 Active Risks in the footer, while the report highlights 8 Threats?</w:t>
      </w:r>
    </w:p>
    <w:p>
      <w:pPr>
        <w:spacing w:after="120"/>
      </w:pPr>
      <w:r>
        <w:rPr>
          <w:color w:val="1E293B"/>
          <w:sz w:val="20"/>
        </w:rPr>
        <w:t>Answer: The Risk Register tracks a total of 13 active risks. Of these, exactly 8 represent Critical (3) and High (5) priority threats requiring immediate executive intervention. The remaining 5 are Medium residual risks under active operational monitoring. They are complementary metrics.</w:t>
      </w:r>
    </w:p>
    <w:p>
      <w:pPr>
        <w:keepNext/>
        <w:spacing w:before="160" w:after="40"/>
      </w:pPr>
      <w:r>
        <w:rPr>
          <w:b/>
          <w:color w:val="0F766E"/>
          <w:sz w:val="21"/>
        </w:rPr>
        <w:t>Q5: Explain how the Enterprise Health Score of 81.5 is derived.</w:t>
      </w:r>
    </w:p>
    <w:p>
      <w:pPr>
        <w:spacing w:after="120"/>
      </w:pPr>
      <w:r>
        <w:rPr>
          <w:color w:val="1E293B"/>
          <w:sz w:val="20"/>
        </w:rPr>
        <w:t>Answer: The score starts at an ideal baseline of 100.0. The engine evaluates 6 weighted business domains: Financial Solvency (25%), Cybersecurity (20%), Operations (18%), Regulatory (15%), Market (12%), and Human Capital (10%). Deductions are calculated as Deduction = Weight × (100 − Subscore). Summing the deductions yields 18.5 points of penalty, resulting in 100 − 18.5 = 81.5/100 (Safe Operating Zone).</w:t>
      </w:r>
    </w:p>
    <w:p>
      <w:pPr>
        <w:keepNext/>
        <w:spacing w:before="160" w:after="40"/>
      </w:pPr>
      <w:r>
        <w:rPr>
          <w:b/>
          <w:color w:val="0F766E"/>
          <w:sz w:val="21"/>
        </w:rPr>
        <w:t>Q6: How does your system extract data from uploaded financial statements (Excel/CSV)?</w:t>
      </w:r>
    </w:p>
    <w:p>
      <w:pPr>
        <w:spacing w:after="120"/>
      </w:pPr>
      <w:r>
        <w:rPr>
          <w:color w:val="1E293B"/>
          <w:sz w:val="20"/>
        </w:rPr>
        <w:t>Answer: server/services/statement_parser.py uses regular expression matching across an institutional alias dictionary. It recognizes synonyms (e.g. 'Revenue from Operations', 'Net Sales', 'Gross Sales'), enforces hierarchy priority (Net Sales takes priority over Gross Sales), converts negative accounting deductions to positive magnitudes, and applies balance sheet identities.</w:t>
      </w:r>
    </w:p>
    <w:p>
      <w:pPr>
        <w:keepNext/>
        <w:spacing w:before="160" w:after="40"/>
      </w:pPr>
      <w:r>
        <w:rPr>
          <w:b/>
          <w:color w:val="0F766E"/>
          <w:sz w:val="21"/>
        </w:rPr>
        <w:t>Q7: How is the Interest Coverage Ratio (ICR) calculated from your Book1.xlsx test file?</w:t>
      </w:r>
    </w:p>
    <w:p>
      <w:pPr>
        <w:spacing w:after="120"/>
      </w:pPr>
      <w:r>
        <w:rPr>
          <w:color w:val="1E293B"/>
          <w:sz w:val="20"/>
        </w:rPr>
        <w:t>Answer: ICR = Operating Profit (EBIT) ÷ Interest Expense. From Book1.xlsx, EBIT is ₹11,00,000 and Interest on Bank Loan is ₹1,00,000. ICR = ₹11,00,000 ÷ ₹1,00,000 = 11.0x. A coverage ratio of 11.0x indicates outstanding debt-servicing capability, far exceeding the safety threshold of 3.0x.</w:t>
      </w:r>
    </w:p>
    <w:p>
      <w:pPr>
        <w:keepNext/>
        <w:spacing w:before="160" w:after="40"/>
      </w:pPr>
      <w:r>
        <w:rPr>
          <w:b/>
          <w:color w:val="0F766E"/>
          <w:sz w:val="21"/>
        </w:rPr>
        <w:t>Q8: How does the system handle the distinction between Current Liabilities and Non-Current Liabilities?</w:t>
      </w:r>
    </w:p>
    <w:p>
      <w:pPr>
        <w:spacing w:after="120"/>
      </w:pPr>
      <w:r>
        <w:rPr>
          <w:color w:val="1E293B"/>
          <w:sz w:val="20"/>
        </w:rPr>
        <w:t>Answer: In statement_parser.py, the regex scanner explicitly checks for 'non-current' or 'noncurrent' substrings before matching. If 'non-current' is present with liabilities or loans, it is routed to Long-Term Borrowings / Total Debt rather than Current Liabilities, preventing distortion of the Current Ratio.</w:t>
      </w:r>
    </w:p>
    <w:p>
      <w:pPr>
        <w:keepNext/>
        <w:spacing w:before="160" w:after="40"/>
      </w:pPr>
      <w:r>
        <w:rPr>
          <w:b/>
          <w:color w:val="0F766E"/>
          <w:sz w:val="21"/>
        </w:rPr>
        <w:t>Q9: What is the Altman Z-Score formulation used in your system, and what does it measure?</w:t>
      </w:r>
    </w:p>
    <w:p>
      <w:pPr>
        <w:spacing w:after="120"/>
      </w:pPr>
      <w:r>
        <w:rPr>
          <w:color w:val="1E293B"/>
          <w:sz w:val="20"/>
        </w:rPr>
        <w:t>Answer: We implement the 1968 formulation for private manufacturing: Z = 1.2(X1) + 1.4(X2) + 3.3(X3) + 0.6(X4) + 0.999(X5), combining working capital, retained earnings, EBIT, equity leverage, and asset turnover. Scores &gt; 2.99 indicate Safe Zone, 1.81–2.99 indicate Grey Zone, and &lt; 1.81 signal Distress.</w:t>
      </w:r>
    </w:p>
    <w:p>
      <w:pPr>
        <w:keepNext/>
        <w:spacing w:before="160" w:after="40"/>
      </w:pPr>
      <w:r>
        <w:rPr>
          <w:b/>
          <w:color w:val="0F766E"/>
          <w:sz w:val="21"/>
        </w:rPr>
        <w:t>Q10: What is the role of Three.js in your project?</w:t>
      </w:r>
    </w:p>
    <w:p>
      <w:pPr>
        <w:spacing w:after="120"/>
      </w:pPr>
      <w:r>
        <w:rPr>
          <w:color w:val="1E293B"/>
          <w:sz w:val="20"/>
        </w:rPr>
        <w:t>Answer: Three.js r128 renders a 5×5 3D spatial terrain mesh using WebGL. Risks are positioned according to their Likelihood (X-axis) and Impact (Z-axis), with tower height and color representing risk severity. It includes a Raycaster mouse listener for hovering inspection and interactive rotation/zoom controls.</w:t>
      </w:r>
    </w:p>
    <w:p>
      <w:pPr>
        <w:keepNext/>
        <w:spacing w:before="160" w:after="40"/>
      </w:pPr>
      <w:r>
        <w:rPr>
          <w:b/>
          <w:color w:val="0F766E"/>
          <w:sz w:val="21"/>
        </w:rPr>
        <w:t>Q11: What is the What-If Stress Testing engine, and how does it differ from standard Monte Carlo?</w:t>
      </w:r>
    </w:p>
    <w:p>
      <w:pPr>
        <w:spacing w:after="120"/>
      </w:pPr>
      <w:r>
        <w:rPr>
          <w:color w:val="1E293B"/>
          <w:sz w:val="20"/>
        </w:rPr>
        <w:t>Answer: Standard Monte Carlo calculates baseline loss probabilities under current conditions. The What-If Stress Testing engine (server/services/stress_testing.py) simulates external macroeconomic shocks via real-time sliders (e.g. -25% Revenue, +300 bps Interest Rate, Supply Chain disruption) to dynamically recalculate working capital and Z-Score.</w:t>
      </w:r>
    </w:p>
    <w:p>
      <w:pPr>
        <w:keepNext/>
        <w:spacing w:before="160" w:after="40"/>
      </w:pPr>
      <w:r>
        <w:rPr>
          <w:b/>
          <w:color w:val="0F766E"/>
          <w:sz w:val="21"/>
        </w:rPr>
        <w:t>Q12: How does your database architecture ensure prototype resilience during a live viva demonstration?</w:t>
      </w:r>
    </w:p>
    <w:p>
      <w:pPr>
        <w:spacing w:after="120"/>
      </w:pPr>
      <w:r>
        <w:rPr>
          <w:color w:val="1E293B"/>
          <w:sz w:val="20"/>
        </w:rPr>
        <w:t>Answer: server/database.py implements a dual-engine architecture. It attempts to connect to Supabase Cloud PostgreSQL. If cloud connectivity is unavailable or network drops, it automatically initializes and runs on a local SQLite database (server/riskguard.db), ensuring the dashboard never crashes during evaluation.</w:t>
      </w:r>
    </w:p>
    <w:p>
      <w:pPr>
        <w:keepNext/>
        <w:spacing w:before="160" w:after="40"/>
      </w:pPr>
      <w:r>
        <w:rPr>
          <w:b/>
          <w:color w:val="0F766E"/>
          <w:sz w:val="21"/>
        </w:rPr>
        <w:t>Q13: How does your Cryptographic Audit Ledger work?</w:t>
      </w:r>
    </w:p>
    <w:p>
      <w:pPr>
        <w:spacing w:after="120"/>
      </w:pPr>
      <w:r>
        <w:rPr>
          <w:color w:val="1E293B"/>
          <w:sz w:val="20"/>
        </w:rPr>
        <w:t>Answer: In server/database.py, every risk creation, modification, or assessment event generates an audit entry. Each record contains a prev_hash and current SHA-256 hash computed over [prev_hash + timestamp + user_id + action + risk_id + details]. Any manual tampering with historical rows breaks the cryptographic chain, detected by verify_audit_chain().</w:t>
      </w:r>
    </w:p>
    <w:p>
      <w:pPr>
        <w:keepNext/>
        <w:spacing w:before="160" w:after="40"/>
      </w:pPr>
      <w:r>
        <w:rPr>
          <w:b/>
          <w:color w:val="0F766E"/>
          <w:sz w:val="21"/>
        </w:rPr>
        <w:t>Q14: Where does the single-source supplier concentration risk in your dashboard come from?</w:t>
      </w:r>
    </w:p>
    <w:p>
      <w:pPr>
        <w:spacing w:after="120"/>
      </w:pPr>
      <w:r>
        <w:rPr>
          <w:color w:val="1E293B"/>
          <w:sz w:val="20"/>
        </w:rPr>
        <w:t>Answer: It comes directly from the assessment wizard input in Step 2 (wiz-q-supplier). When management selects 'Yes — High Dependency' (&gt;50% of purchases from one vendor), the engine deducts 25 points from the Operations subscore, triggering the supply chain concentration threat.</w:t>
      </w:r>
    </w:p>
    <w:p>
      <w:pPr>
        <w:keepNext/>
        <w:spacing w:before="160" w:after="40"/>
      </w:pPr>
      <w:r>
        <w:rPr>
          <w:b/>
          <w:color w:val="0F766E"/>
          <w:sz w:val="21"/>
        </w:rPr>
        <w:t>Q15: What are the main limitations of your academic project?</w:t>
      </w:r>
    </w:p>
    <w:p>
      <w:pPr>
        <w:spacing w:after="120"/>
      </w:pPr>
      <w:r>
        <w:rPr>
          <w:color w:val="1E293B"/>
          <w:sz w:val="20"/>
        </w:rPr>
        <w:t>Answer: Our platform is a decision-support prototype. Its limitations include reliance on user-entered financial accuracy, sector benchmark generalizability, stationary Log-Normal loss assumptions during extreme black swan events, and the fact that automated analytics cannot replace certified public audits.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