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tel"/>
        <w:spacing w:before="240" w:after="120"/>
        <w:jc w:val="center"/>
        <w:rPr/>
      </w:pPr>
      <w:r>
        <w:rPr/>
        <w:t>A</w:t>
      </w:r>
      <w:r>
        <w:rPr/>
        <w:t>vtale om bruksrett for tekster</w:t>
      </w:r>
    </w:p>
    <w:p>
      <w:pPr>
        <w:pStyle w:val="Brdtekst"/>
        <w:rPr/>
      </w:pPr>
      <w:r>
        <w:rPr/>
        <w:t>Fredag</w:t>
      </w:r>
      <w:r>
        <w:rPr/>
        <w:t>, 0</w:t>
      </w:r>
      <w:r>
        <w:rPr/>
        <w:t>9</w:t>
      </w:r>
      <w:r>
        <w:rPr/>
        <w:t>.0</w:t>
      </w:r>
      <w:r>
        <w:rPr/>
        <w:t>6</w:t>
      </w:r>
      <w:r>
        <w:rPr/>
        <w:t>.20</w:t>
      </w:r>
      <w:r>
        <w:rPr/>
        <w:t>17</w:t>
      </w:r>
    </w:p>
    <w:p>
      <w:pPr>
        <w:pStyle w:val="Brdtekst"/>
        <w:rPr/>
      </w:pPr>
      <w:r>
        <w:rPr/>
        <w:t>mellom</w:t>
      </w:r>
    </w:p>
    <w:p>
      <w:pPr>
        <w:pStyle w:val="Brdtekst"/>
        <w:rPr/>
      </w:pPr>
      <w:r>
        <w:rPr>
          <w:rStyle w:val="Sterkttrykk"/>
        </w:rPr>
        <w:t xml:space="preserve">det norske </w:t>
      </w:r>
      <w:r>
        <w:rPr>
          <w:rStyle w:val="Sterkttrykk"/>
        </w:rPr>
        <w:t>Sametinget</w:t>
      </w:r>
      <w:r>
        <w:rPr/>
        <w:br/>
        <w:t>på den ene siden</w:t>
      </w:r>
    </w:p>
    <w:p>
      <w:pPr>
        <w:pStyle w:val="Brdtekst"/>
        <w:rPr/>
      </w:pPr>
      <w:r>
        <w:rPr/>
        <w:t>og</w:t>
      </w:r>
    </w:p>
    <w:p>
      <w:pPr>
        <w:pStyle w:val="Brdtekst"/>
        <w:spacing w:before="0" w:after="0"/>
        <w:rPr/>
      </w:pPr>
      <w:r>
        <w:rPr/>
        <w:t>på den andre siden</w:t>
      </w:r>
    </w:p>
    <w:p>
      <w:pPr>
        <w:pStyle w:val="Brdtekst"/>
        <w:rPr/>
      </w:pPr>
      <w:r>
        <w:rPr>
          <w:rStyle w:val="Sterkttrykk"/>
        </w:rPr>
        <w:t>Davvi Girji</w:t>
        <w:br/>
      </w:r>
      <w:r>
        <w:rPr/>
        <w:t>på vegne av forfattere som enten:</w:t>
      </w:r>
    </w:p>
    <w:p>
      <w:pPr>
        <w:pStyle w:val="Brdtekst"/>
        <w:numPr>
          <w:ilvl w:val="0"/>
          <w:numId w:val="2"/>
        </w:numPr>
        <w:spacing w:before="0" w:after="0"/>
        <w:rPr/>
      </w:pPr>
      <w:r>
        <w:rPr/>
        <w:t xml:space="preserve">har inngått avtale med </w:t>
      </w:r>
      <w:r>
        <w:rPr/>
        <w:t xml:space="preserve">Davvi Girji </w:t>
      </w:r>
      <w:r>
        <w:rPr/>
        <w:t xml:space="preserve">der </w:t>
      </w:r>
      <w:r>
        <w:rPr/>
        <w:t>avtale om</w:t>
      </w:r>
      <w:r>
        <w:rPr/>
        <w:t xml:space="preserve"> bruksrett til tekst for Sametinget inngår;</w:t>
        <w:br/>
      </w:r>
      <w:r>
        <w:rPr/>
        <w:t>eller:</w:t>
      </w:r>
    </w:p>
    <w:p>
      <w:pPr>
        <w:pStyle w:val="Brdtekst"/>
        <w:numPr>
          <w:ilvl w:val="0"/>
          <w:numId w:val="2"/>
        </w:numPr>
        <w:spacing w:before="0" w:after="0"/>
        <w:rPr/>
      </w:pPr>
      <w:r>
        <w:rPr/>
        <w:t xml:space="preserve">har inngått </w:t>
      </w:r>
      <w:r>
        <w:rPr/>
        <w:t>særskilt avtale om bruksrett av tekst med Sametinget;</w:t>
        <w:br/>
        <w:t>eller:</w:t>
      </w:r>
    </w:p>
    <w:p>
      <w:pPr>
        <w:pStyle w:val="Brdtekst"/>
        <w:numPr>
          <w:ilvl w:val="0"/>
          <w:numId w:val="2"/>
        </w:numPr>
        <w:spacing w:before="0" w:after="0"/>
        <w:rPr/>
      </w:pPr>
      <w:r>
        <w:rPr/>
        <w:t xml:space="preserve">der </w:t>
      </w:r>
      <w:r>
        <w:rPr/>
        <w:t>avtale</w:t>
      </w:r>
      <w:r>
        <w:rPr/>
        <w:t xml:space="preserve"> </w:t>
      </w:r>
      <w:r>
        <w:rPr/>
        <w:t xml:space="preserve">om </w:t>
      </w:r>
      <w:r>
        <w:rPr/>
        <w:t>bruksrett er angitt som en av grunnene for å gi støtte til produksjon og utgivelse av teksten.</w:t>
      </w:r>
    </w:p>
    <w:p>
      <w:pPr>
        <w:pStyle w:val="Brdtekst"/>
        <w:spacing w:before="0" w:after="0"/>
        <w:rPr/>
      </w:pPr>
      <w:r>
        <w:rPr/>
      </w:r>
    </w:p>
    <w:p>
      <w:pPr>
        <w:pStyle w:val="Undertittel"/>
        <w:rPr/>
      </w:pPr>
      <w:r>
        <w:rPr/>
        <w:t>Formål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Denne avtalen g</w:t>
      </w:r>
      <w:r>
        <w:rPr/>
        <w:t>je</w:t>
      </w:r>
      <w:r>
        <w:rPr/>
        <w:t>lder bruksrett for tekster som er eller blir overført til elektronisk form. Sametinget kan legge den i sin tekstsamling og bruke den til forskningsformål og/eller utvikle språkteknologiske program.</w:t>
      </w:r>
    </w:p>
    <w:p>
      <w:pPr>
        <w:pStyle w:val="Undertittel"/>
        <w:rPr/>
      </w:pPr>
      <w:r>
        <w:rPr/>
        <w:t>Omfanget av bruksretten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Opphavsretten og den immaterielle retten til d</w:t>
      </w:r>
      <w:r>
        <w:rPr/>
        <w:t>i</w:t>
      </w:r>
      <w:r>
        <w:rPr/>
        <w:t xml:space="preserve">sse tekstene tilhører </w:t>
      </w:r>
      <w:r>
        <w:rPr/>
        <w:t>opphavsrettseierne</w:t>
      </w:r>
      <w:r>
        <w:rPr/>
        <w:t>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får en ikke-eksklusiv rett til, uten å betale av</w:t>
      </w:r>
      <w:r>
        <w:rPr/>
        <w:commentReference w:id="0"/>
      </w:r>
      <w:r>
        <w:rPr/>
        <w:t>giveren for denne retten, å legge tekstene til tekstsamling</w:t>
      </w:r>
      <w:r>
        <w:rPr/>
        <w:t>en</w:t>
      </w:r>
      <w:r>
        <w:rPr/>
        <w:t xml:space="preserve"> si</w:t>
      </w:r>
      <w:r>
        <w:rPr/>
        <w:t>n</w:t>
      </w:r>
      <w:r>
        <w:rPr/>
        <w:t xml:space="preserve">. For å gjøre dette kan tekstene bli </w:t>
      </w:r>
      <w:r>
        <w:rPr/>
        <w:t>behandlet</w:t>
      </w:r>
      <w:r>
        <w:rPr/>
        <w:t xml:space="preserve"> både manuelt og maskinelt, men på en slik måte at innholdet ikke blir endret. Til tekstene er det likevel mulig å legge til koding som behøves for den vitenskapelige granskingen, eller EDB-behandlingen, slik som informasjon om setninger, avsnitt, ordklasse, og andre språlige egenskaper eller annen klassifisering.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Avgiverne får ikke opphavsrett eller andre immaterielle rettigheter til forskingsresultat</w:t>
      </w:r>
      <w:r>
        <w:rPr/>
        <w:t>ene</w:t>
      </w:r>
      <w:r>
        <w:rPr/>
        <w:t xml:space="preserve"> som kommer som eit resultat av behandlingen av tekstene. Avgiverne skal likevel bli presentert i brosjyrer og dokumentasjon for tekstsamlingen.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kan lagre tekstene på egen datamaskin og/eller plassere tekstene hos en ekstern datasentral. Sametinget forplikter seg til å sikre at tekstene sin data</w:t>
      </w:r>
      <w:r>
        <w:rPr/>
        <w:t>sikkerhet</w:t>
      </w:r>
      <w:r>
        <w:rPr/>
        <w:t xml:space="preserve"> og vilkår</w:t>
      </w:r>
      <w:r>
        <w:rPr/>
        <w:t>ene</w:t>
      </w:r>
      <w:r>
        <w:rPr/>
        <w:t xml:space="preserve"> og pliktene som </w:t>
      </w:r>
      <w:r>
        <w:rPr/>
        <w:t>følger</w:t>
      </w:r>
      <w:r>
        <w:rPr/>
        <w:t xml:space="preserve"> av denne kontrakten blir oppfylt.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har ikke rett til å g</w:t>
      </w:r>
      <w:r>
        <w:rPr/>
        <w:t>i</w:t>
      </w:r>
      <w:r>
        <w:rPr/>
        <w:t xml:space="preserve"> tekst</w:t>
      </w:r>
      <w:r>
        <w:rPr/>
        <w:t>e</w:t>
      </w:r>
      <w:r>
        <w:rPr/>
        <w:t>r, kopi</w:t>
      </w:r>
      <w:r>
        <w:rPr/>
        <w:t>e</w:t>
      </w:r>
      <w:r>
        <w:rPr/>
        <w:t>r av tekstar eller bruksrett til tekst</w:t>
      </w:r>
      <w:r>
        <w:rPr/>
        <w:t>e</w:t>
      </w:r>
      <w:r>
        <w:rPr/>
        <w:t>r til tredjepart, annen enn det som er ne</w:t>
      </w:r>
      <w:r>
        <w:rPr/>
        <w:t>v</w:t>
      </w:r>
      <w:r>
        <w:rPr/>
        <w:t>n</w:t>
      </w:r>
      <w:r>
        <w:rPr/>
        <w:t>t</w:t>
      </w:r>
      <w:r>
        <w:rPr/>
        <w:t xml:space="preserve"> i </w:t>
      </w:r>
      <w:r>
        <w:rPr/>
        <w:t>§7</w:t>
      </w:r>
      <w:r>
        <w:rPr/>
        <w:t>. Dersom mottak</w:t>
      </w:r>
      <w:r>
        <w:rPr/>
        <w:t>e</w:t>
      </w:r>
      <w:r>
        <w:rPr/>
        <w:t>r lagr</w:t>
      </w:r>
      <w:r>
        <w:rPr/>
        <w:t>e</w:t>
      </w:r>
      <w:r>
        <w:rPr/>
        <w:t xml:space="preserve">r tekstene hos en ekstern datasentral som nevnt i </w:t>
      </w:r>
      <w:r>
        <w:rPr/>
        <w:t>§</w:t>
      </w:r>
      <w:r>
        <w:rPr/>
        <w:t xml:space="preserve">5, har ansatte ved datasentralen rett til å legge tekstene til rette for bruk som nevnt i </w:t>
      </w:r>
      <w:r>
        <w:rPr/>
        <w:t>§</w:t>
      </w:r>
      <w:r>
        <w:rPr/>
        <w:t>1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kan gi personleg bruksrett til tekstsamlingen til personer som har skr</w:t>
      </w:r>
      <w:r>
        <w:rPr/>
        <w:t>e</w:t>
      </w:r>
      <w:r>
        <w:rPr/>
        <w:t>ve</w:t>
      </w:r>
      <w:r>
        <w:rPr/>
        <w:t>t</w:t>
      </w:r>
      <w:r>
        <w:rPr/>
        <w:t xml:space="preserve"> under på bruksrettskontrakten i vedlegget til denne kontrakten. Sametinget skal ikke gi bruksrett til tekstsamlingen til personer som en har grunn til å tro vil bryte vilkårene i kontrakten. Sametinget forplikter seg til å informere avgivere med en gong </w:t>
      </w:r>
      <w:r>
        <w:rPr/>
        <w:t xml:space="preserve">den får </w:t>
      </w:r>
      <w:r>
        <w:rPr/>
        <w:t>kjennskap til mulig brudd på disse vilkårene.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Bruksrett g</w:t>
      </w:r>
      <w:r>
        <w:rPr/>
        <w:t>jelder</w:t>
      </w:r>
      <w:r>
        <w:rPr/>
        <w:t xml:space="preserve"> rett til å bruke tekstsamlingen i elektronisk format til disse formålene (i samsvar med lov og regler for opphavsrett og med god vitenskapelig skikk):</w:t>
      </w:r>
    </w:p>
    <w:p>
      <w:pPr>
        <w:pStyle w:val="Brdtekst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driv</w:t>
      </w:r>
      <w:r>
        <w:rPr/>
        <w:t>e</w:t>
      </w:r>
      <w:r>
        <w:rPr/>
        <w:t xml:space="preserve"> vitenskapelig forsking </w:t>
      </w:r>
    </w:p>
    <w:p>
      <w:pPr>
        <w:pStyle w:val="Brdtekst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trekke ut egenskaper ved språket i tekstene (f.eks. statistiske data, grammatiske egenskaper, ord) </w:t>
      </w:r>
    </w:p>
    <w:p>
      <w:pPr>
        <w:pStyle w:val="Brdtekst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publisere korte eksempelsitat </w:t>
      </w:r>
    </w:p>
    <w:p>
      <w:pPr>
        <w:pStyle w:val="Brdtekst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bruke tekstene for kommersielle og ikke-kommersielle språkteknologiske formål som ikke bryt</w:t>
      </w:r>
      <w:r>
        <w:rPr/>
        <w:t>er</w:t>
      </w:r>
      <w:r>
        <w:rPr/>
        <w:t xml:space="preserve"> med opphavsrettslovene. Eksempel er retteprogram, språklæringsprogram, maskinomse</w:t>
      </w:r>
      <w:r>
        <w:rPr/>
        <w:t>ttelse, osv.</w:t>
      </w:r>
      <w:r>
        <w:rPr/>
        <w:t xml:space="preserve"> 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forplikter seg til å følg</w:t>
      </w:r>
      <w:r>
        <w:rPr/>
        <w:t>e</w:t>
      </w:r>
      <w:r>
        <w:rPr/>
        <w:t xml:space="preserve"> slike tekst</w:t>
      </w:r>
      <w:r>
        <w:rPr/>
        <w:t>behandling</w:t>
      </w:r>
      <w:r>
        <w:rPr/>
        <w:t>sprinsipp at data</w:t>
      </w:r>
      <w:r>
        <w:rPr/>
        <w:t>sikkerhet</w:t>
      </w:r>
      <w:r>
        <w:rPr/>
        <w:t xml:space="preserve"> og -vern er oppfylt.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tilbyr seg å formidle en versjon av tekstene i den bearbeide</w:t>
      </w:r>
      <w:r>
        <w:rPr/>
        <w:t>de</w:t>
      </w:r>
      <w:r>
        <w:rPr/>
        <w:t xml:space="preserve"> og kod</w:t>
      </w:r>
      <w:r>
        <w:rPr/>
        <w:t>ede</w:t>
      </w:r>
      <w:r>
        <w:rPr/>
        <w:t xml:space="preserve"> form</w:t>
      </w:r>
      <w:r>
        <w:rPr/>
        <w:t>en</w:t>
      </w:r>
      <w:r>
        <w:rPr/>
        <w:t xml:space="preserve"> som er lagt til tekstsamlingen, </w:t>
      </w:r>
      <w:r>
        <w:rPr/>
        <w:t>tilbake</w:t>
      </w:r>
      <w:r>
        <w:rPr/>
        <w:t xml:space="preserve"> til avgiveren.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 xml:space="preserve">Denne kontrakten </w:t>
      </w:r>
      <w:r>
        <w:rPr/>
        <w:t xml:space="preserve">begynner </w:t>
      </w:r>
      <w:r>
        <w:rPr/>
        <w:t>å g</w:t>
      </w:r>
      <w:r>
        <w:rPr/>
        <w:t>je</w:t>
      </w:r>
      <w:r>
        <w:rPr/>
        <w:t>lde når alle kontraktspart</w:t>
      </w:r>
      <w:r>
        <w:rPr/>
        <w:t>e</w:t>
      </w:r>
      <w:r>
        <w:rPr/>
        <w:t>ne har underskr</w:t>
      </w:r>
      <w:r>
        <w:rPr/>
        <w:t>e</w:t>
      </w:r>
      <w:r>
        <w:rPr/>
        <w:t>ve</w:t>
      </w:r>
      <w:r>
        <w:rPr/>
        <w:t>t</w:t>
      </w:r>
      <w:r>
        <w:rPr/>
        <w:t xml:space="preserve"> </w:t>
      </w:r>
      <w:r>
        <w:rPr/>
        <w:t>de</w:t>
      </w:r>
      <w:r>
        <w:rPr/>
        <w:t>n.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rPr/>
      </w:pPr>
      <w:r>
        <w:rPr/>
        <w:t>Sametinget kan si opp denne kontrakten ved å returnere tekstene med alle kopi</w:t>
      </w:r>
      <w:r>
        <w:rPr/>
        <w:t>e</w:t>
      </w:r>
      <w:r>
        <w:rPr/>
        <w:t xml:space="preserve">r tilbake til avgiveren, eller ved å slette tekstene med alle kopier, og opplyse om dette på en saklig måte til avgiveren. Avgivaren har rett til å si opp denne kontrakten </w:t>
      </w:r>
      <w:r>
        <w:rPr/>
        <w:t>hvis</w:t>
      </w:r>
      <w:r>
        <w:rPr/>
        <w:t xml:space="preserve"> mottak</w:t>
      </w:r>
      <w:r>
        <w:rPr/>
        <w:t>e</w:t>
      </w:r>
      <w:r>
        <w:rPr/>
        <w:t>ren på en vesentl</w:t>
      </w:r>
      <w:r>
        <w:rPr/>
        <w:t>i</w:t>
      </w:r>
      <w:r>
        <w:rPr/>
        <w:t>g måte bryt</w:t>
      </w:r>
      <w:r>
        <w:rPr/>
        <w:t>er</w:t>
      </w:r>
      <w:r>
        <w:rPr/>
        <w:t xml:space="preserve"> vilkårene i denne kontrakten, og ikke retter opp vilkårsbrudd</w:t>
      </w:r>
      <w:r>
        <w:rPr/>
        <w:t>ene</w:t>
      </w:r>
      <w:r>
        <w:rPr/>
        <w:t xml:space="preserve"> sine, tr</w:t>
      </w:r>
      <w:r>
        <w:rPr/>
        <w:t>o</w:t>
      </w:r>
      <w:r>
        <w:rPr/>
        <w:t>ss i skriftl</w:t>
      </w:r>
      <w:r>
        <w:rPr/>
        <w:t>i</w:t>
      </w:r>
      <w:r>
        <w:rPr/>
        <w:t xml:space="preserve">g </w:t>
      </w:r>
      <w:r>
        <w:rPr/>
        <w:t>varsel</w:t>
      </w:r>
      <w:r>
        <w:rPr/>
        <w:t>, inn</w:t>
      </w:r>
      <w:r>
        <w:rPr/>
        <w:t>e</w:t>
      </w:r>
      <w:r>
        <w:rPr/>
        <w:t xml:space="preserve">n 60 dagar etter at </w:t>
      </w:r>
      <w:r>
        <w:rPr/>
        <w:t>å</w:t>
      </w:r>
      <w:r>
        <w:rPr/>
        <w:t xml:space="preserve"> ha fått </w:t>
      </w:r>
      <w:r>
        <w:rPr/>
        <w:t>dette varselet</w:t>
      </w:r>
      <w:r>
        <w:rPr/>
        <w:t>.</w:t>
      </w:r>
    </w:p>
    <w:p>
      <w:pPr>
        <w:pStyle w:val="Overskrift1"/>
        <w:numPr>
          <w:ilvl w:val="0"/>
          <w:numId w:val="1"/>
        </w:numPr>
        <w:rPr/>
      </w:pPr>
      <w:r>
        <w:rPr/>
      </w:r>
    </w:p>
    <w:p>
      <w:pPr>
        <w:pStyle w:val="Brdtekst"/>
        <w:spacing w:before="0" w:after="140"/>
        <w:rPr/>
      </w:pPr>
      <w:r>
        <w:rPr/>
        <w:t>M</w:t>
      </w:r>
      <w:r>
        <w:rPr/>
        <w:t>u</w:t>
      </w:r>
      <w:r>
        <w:rPr/>
        <w:t>l</w:t>
      </w:r>
      <w:r>
        <w:rPr/>
        <w:t>i</w:t>
      </w:r>
      <w:r>
        <w:rPr/>
        <w:t>g u</w:t>
      </w:r>
      <w:r>
        <w:rPr/>
        <w:t>enighet</w:t>
      </w:r>
      <w:r>
        <w:rPr/>
        <w:t xml:space="preserve"> i samband med denne kontrakten skal en forsøke å forhandle om.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ørre Gaup" w:date="2015-12-07T16:25:54Z" w:initials="BG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nb-NO" w:eastAsia="zh-CN" w:bidi="hi-IN"/>
        </w:rPr>
        <w:t>Skal man si forfatter/forlag, eller opphavsrettseiere i stedet for avgivere?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Overskrift1"/>
      <w:numFmt w:val="decimal"/>
      <w:lvlText w:val="§%1"/>
      <w:lvlJc w:val="left"/>
      <w:pPr>
        <w:tabs>
          <w:tab w:val="num" w:pos="432"/>
        </w:tabs>
        <w:ind w:left="432" w:hanging="432"/>
      </w:pPr>
      <w:rPr>
        <w:smallCaps/>
        <w:u w:val="dotted"/>
        <w:color w:val="000000"/>
      </w:rPr>
    </w:lvl>
    <w:lvl w:ilvl="1">
      <w:start w:val="1"/>
      <w:pStyle w:val="Overskrift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Overskrift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Overskrift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Overskrift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Overskrift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Overskrift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Overskrift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Overskrift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nb-NO" w:eastAsia="zh-CN" w:bidi="hi-IN"/>
    </w:rPr>
  </w:style>
  <w:style w:type="paragraph" w:styleId="Overskrift1">
    <w:name w:val="Heading 1"/>
    <w:basedOn w:val="Overskrift"/>
    <w:next w:val="Brdtekst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Overskrift2">
    <w:name w:val="Heading 2"/>
    <w:basedOn w:val="Overskrift"/>
    <w:next w:val="Brdtekst"/>
    <w:autoRedefine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 w:val="false"/>
      <w:sz w:val="32"/>
      <w:szCs w:val="32"/>
    </w:rPr>
  </w:style>
  <w:style w:type="paragraph" w:styleId="Overskrift3">
    <w:name w:val="Heading 3"/>
    <w:basedOn w:val="Overskrift"/>
    <w:next w:val="Brdtekst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Overskrift4">
    <w:name w:val="Heading 4"/>
    <w:basedOn w:val="Overskrift"/>
    <w:next w:val="Brdtekst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Overskrift5">
    <w:name w:val="Heading 5"/>
    <w:basedOn w:val="Overskrift"/>
    <w:next w:val="Brdtekst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Overskrift6">
    <w:name w:val="Heading 6"/>
    <w:basedOn w:val="Overskrift"/>
    <w:next w:val="Brdtekst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Overskrift7">
    <w:name w:val="Heading 7"/>
    <w:basedOn w:val="Overskrift"/>
    <w:next w:val="Brdtekst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Overskrift8">
    <w:name w:val="Heading 8"/>
    <w:basedOn w:val="Overskrift"/>
    <w:next w:val="Brdtekst"/>
    <w:qFormat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Overskrift9">
    <w:name w:val="Heading 9"/>
    <w:basedOn w:val="Overskrift"/>
    <w:next w:val="Brdtekst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Nummereringstegn">
    <w:name w:val="Nummereringstegn"/>
    <w:qFormat/>
    <w:rPr/>
  </w:style>
  <w:style w:type="character" w:styleId="Plassholder">
    <w:name w:val="Plassholder"/>
    <w:qFormat/>
    <w:rPr>
      <w:smallCaps/>
      <w:color w:val="000000"/>
      <w:u w:val="dotted"/>
    </w:rPr>
  </w:style>
  <w:style w:type="character" w:styleId="Fotnotetegn">
    <w:name w:val="Fotnotetegn"/>
    <w:qFormat/>
    <w:rPr/>
  </w:style>
  <w:style w:type="character" w:styleId="Sidetall">
    <w:name w:val="Sidetall"/>
    <w:rPr/>
  </w:style>
  <w:style w:type="character" w:styleId="Tegnibildeteksten">
    <w:name w:val="Tegn i bildeteksten"/>
    <w:qFormat/>
    <w:rPr/>
  </w:style>
  <w:style w:type="character" w:styleId="Innfeltforbokstav">
    <w:name w:val="Innfelt forbokstav"/>
    <w:qFormat/>
    <w:rPr/>
  </w:style>
  <w:style w:type="character" w:styleId="Internettlenke">
    <w:name w:val="Internett-lenke"/>
    <w:rPr>
      <w:color w:val="000080"/>
      <w:u w:val="single"/>
      <w:lang w:val="zxx" w:eastAsia="zxx" w:bidi="zxx"/>
    </w:rPr>
  </w:style>
  <w:style w:type="character" w:styleId="BesktInternettlenke">
    <w:name w:val="Besøkt Internett-lenke"/>
    <w:rPr>
      <w:color w:val="800000"/>
      <w:u w:val="single"/>
      <w:lang w:val="zxx" w:eastAsia="zxx" w:bidi="zxx"/>
    </w:rPr>
  </w:style>
  <w:style w:type="character" w:styleId="Registerlenke">
    <w:name w:val="Registerlenke"/>
    <w:qFormat/>
    <w:rPr/>
  </w:style>
  <w:style w:type="character" w:styleId="Sluttnotetegn">
    <w:name w:val="Sluttnotetegn"/>
    <w:qFormat/>
    <w:rPr/>
  </w:style>
  <w:style w:type="character" w:styleId="Linjenummerering">
    <w:name w:val="Linjenummerering"/>
    <w:rPr/>
  </w:style>
  <w:style w:type="character" w:styleId="Hovedstikkord">
    <w:name w:val="Hovedstikkord"/>
    <w:qFormat/>
    <w:rPr>
      <w:b/>
      <w:bCs/>
    </w:rPr>
  </w:style>
  <w:style w:type="character" w:styleId="Fotnoteanker">
    <w:name w:val="Fotnoteanker"/>
    <w:rPr>
      <w:vertAlign w:val="superscript"/>
    </w:rPr>
  </w:style>
  <w:style w:type="character" w:styleId="Sluttnoteanker">
    <w:name w:val="Sluttnoteanker"/>
    <w:rPr>
      <w:vertAlign w:val="superscript"/>
    </w:rPr>
  </w:style>
  <w:style w:type="character" w:styleId="Kringtekster">
    <w:name w:val="Kringtekster"/>
    <w:qFormat/>
    <w:rPr>
      <w:sz w:val="12"/>
      <w:szCs w:val="12"/>
      <w:u w:val="none"/>
      <w:em w:val="none"/>
    </w:rPr>
  </w:style>
  <w:style w:type="character" w:styleId="Loddrettenummereringstegn">
    <w:name w:val="Loddrette nummereringstegn"/>
    <w:qFormat/>
    <w:rPr>
      <w:eastAsianLayout w:vert="true"/>
    </w:rPr>
  </w:style>
  <w:style w:type="character" w:styleId="Trykk">
    <w:name w:val="Trykk"/>
    <w:qFormat/>
    <w:rPr>
      <w:i/>
      <w:iCs/>
    </w:rPr>
  </w:style>
  <w:style w:type="character" w:styleId="Sitat">
    <w:name w:val="Sitat"/>
    <w:qFormat/>
    <w:rPr>
      <w:i/>
      <w:iCs/>
    </w:rPr>
  </w:style>
  <w:style w:type="character" w:styleId="Sterkttrykk">
    <w:name w:val="Sterkt trykk"/>
    <w:qFormat/>
    <w:rPr>
      <w:b/>
      <w:bCs/>
    </w:rPr>
  </w:style>
  <w:style w:type="character" w:styleId="Kildetekst">
    <w:name w:val="Kildetekst"/>
    <w:qFormat/>
    <w:rPr>
      <w:rFonts w:ascii="Liberation Mono" w:hAnsi="Liberation Mono" w:eastAsia="Nimbus Mono L" w:cs="Liberation Mono"/>
    </w:rPr>
  </w:style>
  <w:style w:type="character" w:styleId="Eksempel">
    <w:name w:val="Eksempel"/>
    <w:qFormat/>
    <w:rPr>
      <w:rFonts w:ascii="Liberation Mono" w:hAnsi="Liberation Mono" w:eastAsia="Nimbus Mono L" w:cs="Liberation Mono"/>
    </w:rPr>
  </w:style>
  <w:style w:type="character" w:styleId="Brukeroppfring">
    <w:name w:val="Brukeroppføring"/>
    <w:qFormat/>
    <w:rPr>
      <w:rFonts w:ascii="Liberation Mono" w:hAnsi="Liberation Mono" w:eastAsia="Nimbus Mono L" w:cs="Liberation Mono"/>
    </w:rPr>
  </w:style>
  <w:style w:type="character" w:styleId="Variabel">
    <w:name w:val="Variabel"/>
    <w:qFormat/>
    <w:rPr>
      <w:i/>
      <w:iCs/>
    </w:rPr>
  </w:style>
  <w:style w:type="character" w:styleId="Valg">
    <w:name w:val="Valg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FreeSans"/>
    </w:rPr>
  </w:style>
  <w:style w:type="paragraph" w:styleId="Sitater">
    <w:name w:val="Sitater"/>
    <w:basedOn w:val="Normal"/>
    <w:qFormat/>
    <w:pPr>
      <w:spacing w:before="0" w:after="283"/>
      <w:ind w:left="567" w:right="567" w:hanging="0"/>
    </w:pPr>
    <w:rPr/>
  </w:style>
  <w:style w:type="paragraph" w:styleId="Tittel">
    <w:name w:val="Title"/>
    <w:basedOn w:val="Overskrift"/>
    <w:next w:val="Brdtekst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Overskrift"/>
    <w:next w:val="Brdtekst"/>
    <w:qFormat/>
    <w:pPr>
      <w:spacing w:before="60" w:after="120"/>
      <w:jc w:val="center"/>
    </w:pPr>
    <w:rPr>
      <w:sz w:val="36"/>
      <w:szCs w:val="36"/>
    </w:rPr>
  </w:style>
  <w:style w:type="paragraph" w:styleId="Mottaker">
    <w:name w:val="Envelope Address"/>
    <w:basedOn w:val="Normal"/>
    <w:pPr>
      <w:suppressLineNumbers/>
      <w:spacing w:before="0" w:after="60"/>
    </w:pPr>
    <w:rPr/>
  </w:style>
  <w:style w:type="paragraph" w:styleId="Hflighilsen">
    <w:name w:val="Salutation"/>
    <w:basedOn w:val="Normal"/>
    <w:pPr>
      <w:suppressLineNumbers/>
    </w:pPr>
    <w:rPr/>
  </w:style>
  <w:style w:type="paragraph" w:styleId="Slutt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Bunntekst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enstrebunntekst">
    <w:name w:val="Venstre bunn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yrebunntekst">
    <w:name w:val="Høyre bunn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Rammeinnhold">
    <w:name w:val="Rammeinnhold"/>
    <w:basedOn w:val="Normal"/>
    <w:qFormat/>
    <w:pPr/>
    <w:rPr/>
  </w:style>
  <w:style w:type="paragraph" w:styleId="Topptekst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enstretopptekst">
    <w:name w:val="Venstre topp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yretopptekst">
    <w:name w:val="Høyre topp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nnrettlinje">
    <w:name w:val="Vannrett linje"/>
    <w:basedOn w:val="Normal"/>
    <w:next w:val="Brdteks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einnhold">
    <w:name w:val="Listeinnhold"/>
    <w:basedOn w:val="Normal"/>
    <w:qFormat/>
    <w:pPr>
      <w:ind w:left="567" w:right="0" w:hanging="0"/>
    </w:pPr>
    <w:rPr/>
  </w:style>
  <w:style w:type="paragraph" w:styleId="Listeoverskrift">
    <w:name w:val="Listeoverskrift"/>
    <w:basedOn w:val="Normal"/>
    <w:next w:val="Listeinnhold"/>
    <w:qFormat/>
    <w:pPr>
      <w:ind w:left="0" w:right="0" w:hanging="0"/>
    </w:pPr>
    <w:rPr/>
  </w:style>
  <w:style w:type="paragraph" w:styleId="Preformaterttekst">
    <w:name w:val="Preformatert teks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Avsender">
    <w:name w:val="Envelope Return"/>
    <w:basedOn w:val="Normal"/>
    <w:pPr>
      <w:suppressLineNumbers/>
      <w:spacing w:before="0" w:after="60"/>
    </w:pPr>
    <w:rPr/>
  </w:style>
  <w:style w:type="paragraph" w:styleId="Signatur">
    <w:name w:val="Signature"/>
    <w:basedOn w:val="Normal"/>
    <w:pPr>
      <w:suppressLineNumbers/>
    </w:pPr>
    <w:rPr/>
  </w:style>
  <w:style w:type="paragraph" w:styleId="Tabellinnhold">
    <w:name w:val="Tabellinnhold"/>
    <w:basedOn w:val="Normal"/>
    <w:qFormat/>
    <w:pPr>
      <w:suppressLineNumbers/>
    </w:pPr>
    <w:rPr/>
  </w:style>
  <w:style w:type="paragraph" w:styleId="Overskriftforlitteraturliste">
    <w:name w:val="Table of Authorities"/>
    <w:basedOn w:val="Overskrift"/>
    <w:pPr>
      <w:suppressLineNumbers/>
      <w:ind w:left="0" w:right="0" w:hanging="0"/>
    </w:pPr>
    <w:rPr>
      <w:b/>
      <w:bCs/>
      <w:sz w:val="32"/>
      <w:szCs w:val="32"/>
    </w:rPr>
  </w:style>
  <w:style w:type="paragraph" w:styleId="Innholdsoverskrift">
    <w:name w:val="TOA Heading"/>
    <w:basedOn w:val="Overskrift"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10">
    <w:name w:val="Overskrift 10"/>
    <w:basedOn w:val="Overskrift"/>
    <w:next w:val="Brdtekst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Overskriftforillustrasjonsliste">
    <w:name w:val="Overskrift for illustrasjons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Registeroverskrift">
    <w:name w:val="Index Heading"/>
    <w:basedOn w:val="Overskrift"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objektliste">
    <w:name w:val="Overskrift for objekt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tabellliste">
    <w:name w:val="Overskrift for tabell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brukerliste">
    <w:name w:val="Overskrift for bruker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ummerering1">
    <w:name w:val="Nummerering 1"/>
    <w:qFormat/>
  </w:style>
  <w:style w:type="numbering" w:styleId="Nummerering2">
    <w:name w:val="Nummerering 2"/>
    <w:qFormat/>
  </w:style>
  <w:style w:type="numbering" w:styleId="Nummerering3">
    <w:name w:val="Nummerering 3"/>
    <w:qFormat/>
  </w:style>
  <w:style w:type="numbering" w:styleId="Nummerering4">
    <w:name w:val="Nummerering 4"/>
    <w:qFormat/>
  </w:style>
  <w:style w:type="numbering" w:styleId="Nummerering5">
    <w:name w:val="Nummerering 5"/>
    <w:qFormat/>
  </w:style>
  <w:style w:type="numbering" w:styleId="Liste1">
    <w:name w:val="Liste 1"/>
    <w:qFormat/>
  </w:style>
  <w:style w:type="numbering" w:styleId="Liste2">
    <w:name w:val="Liste 2"/>
    <w:qFormat/>
  </w:style>
  <w:style w:type="numbering" w:styleId="Liste3">
    <w:name w:val="Liste 3"/>
    <w:qFormat/>
  </w:style>
  <w:style w:type="numbering" w:styleId="Liste4">
    <w:name w:val="Liste 4"/>
    <w:qFormat/>
  </w:style>
  <w:style w:type="numbering" w:styleId="Liste5">
    <w:name w:val="Liste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3</Pages>
  <Words>590</Words>
  <Characters>3283</Characters>
  <CharactersWithSpaces>3828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2015-12-07T15:04:56Z</dcterms:created>
  <dc:creator/>
  <dc:description/>
  <dc:language>nb-NO</dc:language>
  <cp:lastModifiedBy>Børre Gaup</cp:lastModifiedBy>
  <dcterms:modified xsi:type="dcterms:W3CDTF">2017-06-09T07:41:03Z</dcterms:modified>
  <cp:revision>6</cp:revision>
  <dc:subject/>
  <dc:title/>
</cp:coreProperties>
</file>