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Bid Compliance Evaluation Report</w:t>
      </w:r>
    </w:p>
    <w:p>
      <w:pPr>
        <w:pStyle w:val="Heading2"/>
      </w:pPr>
      <w:r>
        <w:t>IKIO – Compliance Evaluation</w:t>
      </w:r>
    </w:p>
    <w:p>
      <w:r>
        <w:t>Objective: The objective is to design, supply, and install a commercial-sized solar photovoltaic electrical system at the Ho-Chunk Nation facility, focusing on system design, installation, and maintenance in accordance with all regulatory standards.</w:t>
      </w:r>
    </w:p>
    <w:p>
      <w:r>
        <w:t>Schedule: Proposals are due by October 20, 2025, indicating that there is sufficient time to prepare a detailed and compliant response.</w:t>
      </w:r>
    </w:p>
    <w:p>
      <w:r>
        <w:t>Selection Process: The selection process likely involves evaluating the technical competencies, compliance with local and federal regulations, cost-effectiveness, and proven experience in similar projects.</w:t>
      </w:r>
    </w:p>
    <w:p>
      <w:pPr>
        <w:pStyle w:val="Heading3"/>
      </w:pPr>
      <w:r>
        <w:t>Compliance Assessment</w:t>
      </w:r>
    </w:p>
    <w:tbl>
      <w:tblPr>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Evaluation</w:t>
            </w:r>
          </w:p>
        </w:tc>
        <w:tc>
          <w:tcPr>
            <w:tcW w:type="dxa" w:w="2160"/>
          </w:tcPr>
          <w:p>
            <w:r>
              <w:t>Comments</w:t>
            </w:r>
          </w:p>
        </w:tc>
        <w:tc>
          <w:tcPr>
            <w:tcW w:type="dxa" w:w="2160"/>
          </w:tcPr>
          <w:p>
            <w:r>
              <w:t>Score</w:t>
            </w:r>
          </w:p>
        </w:tc>
      </w:tr>
      <w:tr>
        <w:tc>
          <w:tcPr>
            <w:tcW w:type="dxa" w:w="2160"/>
          </w:tcPr>
          <w:p>
            <w:r>
              <w:t>Registered/licensed in project state</w:t>
            </w:r>
          </w:p>
        </w:tc>
        <w:tc>
          <w:tcPr>
            <w:tcW w:type="dxa" w:w="2160"/>
          </w:tcPr>
          <w:p>
            <w:r>
              <w:t>No</w:t>
            </w:r>
          </w:p>
        </w:tc>
        <w:tc>
          <w:tcPr>
            <w:tcW w:type="dxa" w:w="2160"/>
          </w:tcPr>
          <w:p>
            <w:r>
              <w:t>IKIO is not previously known to perform in Wisconsin or solar projects; registration/license status unknown.</w:t>
            </w:r>
          </w:p>
        </w:tc>
        <w:tc>
          <w:tcPr>
            <w:tcW w:type="dxa" w:w="2160"/>
          </w:tcPr>
          <w:p>
            <w:r>
              <w:t>0</w:t>
            </w:r>
          </w:p>
        </w:tc>
      </w:tr>
      <w:tr>
        <w:tc>
          <w:tcPr>
            <w:tcW w:type="dxa" w:w="2160"/>
          </w:tcPr>
          <w:p>
            <w:r>
              <w:t>Meet mandatory qualifications</w:t>
            </w:r>
          </w:p>
        </w:tc>
        <w:tc>
          <w:tcPr>
            <w:tcW w:type="dxa" w:w="2160"/>
          </w:tcPr>
          <w:p>
            <w:r>
              <w:t>No</w:t>
            </w:r>
          </w:p>
        </w:tc>
        <w:tc>
          <w:tcPr>
            <w:tcW w:type="dxa" w:w="2160"/>
          </w:tcPr>
          <w:p>
            <w:r>
              <w:t>IKIO specializes in LED lighting, not solar panel installations. Lacks direct experience in required field.</w:t>
            </w:r>
          </w:p>
        </w:tc>
        <w:tc>
          <w:tcPr>
            <w:tcW w:type="dxa" w:w="2160"/>
          </w:tcPr>
          <w:p>
            <w:r>
              <w:t>0</w:t>
            </w:r>
          </w:p>
        </w:tc>
      </w:tr>
      <w:tr>
        <w:tc>
          <w:tcPr>
            <w:tcW w:type="dxa" w:w="2160"/>
          </w:tcPr>
          <w:p>
            <w:r>
              <w:t>Diversity/small-business goals</w:t>
            </w:r>
          </w:p>
        </w:tc>
        <w:tc>
          <w:tcPr>
            <w:tcW w:type="dxa" w:w="2160"/>
          </w:tcPr>
          <w:p>
            <w:r>
              <w:t>Yes</w:t>
            </w:r>
          </w:p>
        </w:tc>
        <w:tc>
          <w:tcPr>
            <w:tcW w:type="dxa" w:w="2160"/>
          </w:tcPr>
          <w:p>
            <w:r>
              <w:t>IKIO is a minority business enterprise, aligning well with diversity and small-business engagement goals.</w:t>
            </w:r>
          </w:p>
        </w:tc>
        <w:tc>
          <w:tcPr>
            <w:tcW w:type="dxa" w:w="2160"/>
          </w:tcPr>
          <w:p>
            <w:r>
              <w:t>1</w:t>
            </w:r>
          </w:p>
        </w:tc>
      </w:tr>
      <w:tr>
        <w:tc>
          <w:tcPr>
            <w:tcW w:type="dxa" w:w="2160"/>
          </w:tcPr>
          <w:p>
            <w:r>
              <w:t>Scope is clear and achievable</w:t>
            </w:r>
          </w:p>
        </w:tc>
        <w:tc>
          <w:tcPr>
            <w:tcW w:type="dxa" w:w="2160"/>
          </w:tcPr>
          <w:p>
            <w:r>
              <w:t>No</w:t>
            </w:r>
          </w:p>
        </w:tc>
        <w:tc>
          <w:tcPr>
            <w:tcW w:type="dxa" w:w="2160"/>
          </w:tcPr>
          <w:p>
            <w:r>
              <w:t>While IKIO specializes in LED lighting, this RFP requests expertise in solar installations which is outside their primary business focus.</w:t>
            </w:r>
          </w:p>
        </w:tc>
        <w:tc>
          <w:tcPr>
            <w:tcW w:type="dxa" w:w="2160"/>
          </w:tcPr>
          <w:p>
            <w:r>
              <w:t>0</w:t>
            </w:r>
          </w:p>
        </w:tc>
      </w:tr>
      <w:tr>
        <w:tc>
          <w:tcPr>
            <w:tcW w:type="dxa" w:w="2160"/>
          </w:tcPr>
          <w:p>
            <w:r>
              <w:t>Adequate proposal preparation resources</w:t>
            </w:r>
          </w:p>
        </w:tc>
        <w:tc>
          <w:tcPr>
            <w:tcW w:type="dxa" w:w="2160"/>
          </w:tcPr>
          <w:p>
            <w:r>
              <w:t>Partial</w:t>
            </w:r>
          </w:p>
        </w:tc>
        <w:tc>
          <w:tcPr>
            <w:tcW w:type="dxa" w:w="2160"/>
          </w:tcPr>
          <w:p>
            <w:r>
              <w:t>IKIO has resources for detailed assessments and manufacturing but may lack specific expertise in solar projects.</w:t>
            </w:r>
          </w:p>
        </w:tc>
        <w:tc>
          <w:tcPr>
            <w:tcW w:type="dxa" w:w="2160"/>
          </w:tcPr>
          <w:p>
            <w:r>
              <w:t>0.5</w:t>
            </w:r>
          </w:p>
        </w:tc>
      </w:tr>
      <w:tr>
        <w:tc>
          <w:tcPr>
            <w:tcW w:type="dxa" w:w="2160"/>
          </w:tcPr>
          <w:p>
            <w:r>
              <w:t>Adherence to Buy American/domestic content rules</w:t>
            </w:r>
          </w:p>
        </w:tc>
        <w:tc>
          <w:tcPr>
            <w:tcW w:type="dxa" w:w="2160"/>
          </w:tcPr>
          <w:p>
            <w:r>
              <w:t>Yes</w:t>
            </w:r>
          </w:p>
        </w:tc>
        <w:tc>
          <w:tcPr>
            <w:tcW w:type="dxa" w:w="2160"/>
          </w:tcPr>
          <w:p>
            <w:r>
              <w:t>IKIO is compliant with the Buy American Act, aligning with required regulations.</w:t>
            </w:r>
          </w:p>
        </w:tc>
        <w:tc>
          <w:tcPr>
            <w:tcW w:type="dxa" w:w="2160"/>
          </w:tcPr>
          <w:p>
            <w:r>
              <w:t>1</w:t>
            </w:r>
          </w:p>
        </w:tc>
      </w:tr>
      <w:tr>
        <w:tc>
          <w:tcPr>
            <w:tcW w:type="dxa" w:w="2160"/>
          </w:tcPr>
          <w:p>
            <w:r>
              <w:t>Pricing feasible and competitive</w:t>
            </w:r>
          </w:p>
        </w:tc>
        <w:tc>
          <w:tcPr>
            <w:tcW w:type="dxa" w:w="2160"/>
          </w:tcPr>
          <w:p>
            <w:r>
              <w:t>No</w:t>
            </w:r>
          </w:p>
        </w:tc>
        <w:tc>
          <w:tcPr>
            <w:tcW w:type="dxa" w:w="2160"/>
          </w:tcPr>
          <w:p>
            <w:r>
              <w:t>IKIO would potentially face higher costs due to learning curves and potential outsourcing of unfamiliar technologies in the solar sector.</w:t>
            </w:r>
          </w:p>
        </w:tc>
        <w:tc>
          <w:tcPr>
            <w:tcW w:type="dxa" w:w="2160"/>
          </w:tcPr>
          <w:p>
            <w:r>
              <w:t>0</w:t>
            </w:r>
          </w:p>
        </w:tc>
      </w:tr>
      <w:tr>
        <w:tc>
          <w:tcPr>
            <w:tcW w:type="dxa" w:w="2160"/>
          </w:tcPr>
          <w:p>
            <w:r>
              <w:t>Project aligns with company strategy</w:t>
            </w:r>
          </w:p>
        </w:tc>
        <w:tc>
          <w:tcPr>
            <w:tcW w:type="dxa" w:w="2160"/>
          </w:tcPr>
          <w:p>
            <w:r>
              <w:t>No</w:t>
            </w:r>
          </w:p>
        </w:tc>
        <w:tc>
          <w:tcPr>
            <w:tcW w:type="dxa" w:w="2160"/>
          </w:tcPr>
          <w:p>
            <w:r>
              <w:t>Project focus on solar technology deviates from IKIO’s core business of LED lighting solutions.</w:t>
            </w:r>
          </w:p>
        </w:tc>
        <w:tc>
          <w:tcPr>
            <w:tcW w:type="dxa" w:w="2160"/>
          </w:tcPr>
          <w:p>
            <w:r>
              <w:t>0</w:t>
            </w:r>
          </w:p>
        </w:tc>
      </w:tr>
      <w:tr>
        <w:tc>
          <w:tcPr>
            <w:tcW w:type="dxa" w:w="2160"/>
          </w:tcPr>
          <w:p>
            <w:r>
              <w:t>Experience &amp; references</w:t>
            </w:r>
          </w:p>
        </w:tc>
        <w:tc>
          <w:tcPr>
            <w:tcW w:type="dxa" w:w="2160"/>
          </w:tcPr>
          <w:p>
            <w:r>
              <w:t>No</w:t>
            </w:r>
          </w:p>
        </w:tc>
        <w:tc>
          <w:tcPr>
            <w:tcW w:type="dxa" w:w="2160"/>
          </w:tcPr>
          <w:p>
            <w:r>
              <w:t>IKIO lacks experience and references in rooftop solar installations, Having background only in LED lighting.</w:t>
            </w:r>
          </w:p>
        </w:tc>
        <w:tc>
          <w:tcPr>
            <w:tcW w:type="dxa" w:w="2160"/>
          </w:tcPr>
          <w:p>
            <w:r>
              <w:t>0</w:t>
            </w:r>
          </w:p>
        </w:tc>
      </w:tr>
    </w:tbl>
    <w:p>
      <w:pPr>
        <w:pStyle w:val="Heading3"/>
      </w:pPr>
      <w:r>
        <w:t>Scoring &amp; Recommendation</w:t>
      </w:r>
    </w:p>
    <w:p>
      <w:r>
        <w:t>Total Score: 2.5</w:t>
      </w:r>
    </w:p>
    <w:p>
      <w:r>
        <w:t>Compliance %: 27.78</w:t>
      </w:r>
    </w:p>
    <w:p>
      <w:r>
        <w:t>Recommendation: No-Go</w:t>
      </w:r>
    </w:p>
    <w:p>
      <w:r>
        <w:t>Justification: IKIO, while a leader in LED lighting, lacks the necessary experience and qualifications for rooftop solar projects. The project's scope and requirements diverge significantly from IKIO’s business operations and expertise. With critical aspects such as licensing, experience, scope alignment, and competitive pricing infeasible, the risks outweigh the potential benefits.</w:t>
      </w:r>
    </w:p>
    <w:p>
      <w:r>
        <w:t>Key Risk Factors:</w:t>
      </w:r>
    </w:p>
    <w:p>
      <w:pPr>
        <w:pStyle w:val="ListBullet"/>
      </w:pPr>
      <w:r>
        <w:t>- Lack of experience in solar installations</w:t>
      </w:r>
    </w:p>
    <w:p>
      <w:pPr>
        <w:pStyle w:val="ListBullet"/>
      </w:pPr>
      <w:r>
        <w:t>- Potential costs of entering a new industry sector</w:t>
      </w:r>
    </w:p>
    <w:p>
      <w:pPr>
        <w:pStyle w:val="ListBullet"/>
      </w:pPr>
      <w:r>
        <w:t>- Misalignment with core business strategy and skills</w:t>
      </w:r>
    </w:p>
    <w:p>
      <w:r>
        <w:t>Action Items:</w:t>
      </w:r>
    </w:p>
    <w:p>
      <w:pPr>
        <w:pStyle w:val="ListBullet"/>
      </w:pPr>
      <w:r>
        <w:t>- Consider partnerships or subcontracting with firms experienced in solar energy if pursuing similar projects</w:t>
      </w:r>
    </w:p>
    <w:p>
      <w:pPr>
        <w:pStyle w:val="ListBullet"/>
      </w:pPr>
      <w:r>
        <w:t>- Invest in training and acquiring licensing specific to solar technologies and regional requirements</w:t>
      </w:r>
    </w:p>
    <w:p>
      <w:pPr>
        <w:pStyle w:val="ListBullet"/>
      </w:pPr>
      <w:r>
        <w:t>- Evaluate strategic fit before considering bids outside core business areas</w:t>
      </w:r>
    </w:p>
    <w:p>
      <w:r>
        <w:br w:type="page"/>
      </w:r>
    </w:p>
    <w:p>
      <w:pPr>
        <w:pStyle w:val="Heading2"/>
      </w:pPr>
      <w:r>
        <w:t>METCO – Compliance Evaluation</w:t>
      </w:r>
    </w:p>
    <w:p>
      <w:r>
        <w:t>Objective: Design, supply, and install a commercial-sized solar photovoltaic electrical system including ongoing maintenance.</w:t>
      </w:r>
    </w:p>
    <w:p>
      <w:r>
        <w:t>Schedule: Proposal due by October 20, 2025.</w:t>
      </w:r>
    </w:p>
    <w:p>
      <w:r>
        <w:t>Selection Process: Evaluation will prioritize cost-effectiveness, proven experience, compliance with regulations, and support for community energy sovereignty.</w:t>
      </w:r>
    </w:p>
    <w:p>
      <w:pPr>
        <w:pStyle w:val="Heading3"/>
      </w:pPr>
      <w:r>
        <w:t>Compliance Assessment</w:t>
      </w:r>
    </w:p>
    <w:tbl>
      <w:tblPr>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Evaluation</w:t>
            </w:r>
          </w:p>
        </w:tc>
        <w:tc>
          <w:tcPr>
            <w:tcW w:type="dxa" w:w="2160"/>
          </w:tcPr>
          <w:p>
            <w:r>
              <w:t>Comments</w:t>
            </w:r>
          </w:p>
        </w:tc>
        <w:tc>
          <w:tcPr>
            <w:tcW w:type="dxa" w:w="2160"/>
          </w:tcPr>
          <w:p>
            <w:r>
              <w:t>Score</w:t>
            </w:r>
          </w:p>
        </w:tc>
      </w:tr>
      <w:tr>
        <w:tc>
          <w:tcPr>
            <w:tcW w:type="dxa" w:w="2160"/>
          </w:tcPr>
          <w:p>
            <w:r>
              <w:t>Complete solicitation received &amp; instructions understood</w:t>
            </w:r>
          </w:p>
        </w:tc>
        <w:tc>
          <w:tcPr>
            <w:tcW w:type="dxa" w:w="2160"/>
          </w:tcPr>
          <w:p>
            <w:r>
              <w:t>Yes</w:t>
            </w:r>
          </w:p>
        </w:tc>
        <w:tc>
          <w:tcPr>
            <w:tcW w:type="dxa" w:w="2160"/>
          </w:tcPr>
          <w:p>
            <w:r>
              <w:t>Proposal guidelines and project requirements are clear.</w:t>
            </w:r>
          </w:p>
        </w:tc>
        <w:tc>
          <w:tcPr>
            <w:tcW w:type="dxa" w:w="2160"/>
          </w:tcPr>
          <w:p>
            <w:r>
              <w:t>1</w:t>
            </w:r>
          </w:p>
        </w:tc>
      </w:tr>
      <w:tr>
        <w:tc>
          <w:tcPr>
            <w:tcW w:type="dxa" w:w="2160"/>
          </w:tcPr>
          <w:p>
            <w:r>
              <w:t>Meet mandatory qualifications (experience, safety, insurance)</w:t>
            </w:r>
          </w:p>
        </w:tc>
        <w:tc>
          <w:tcPr>
            <w:tcW w:type="dxa" w:w="2160"/>
          </w:tcPr>
          <w:p>
            <w:r>
              <w:t>Yes</w:t>
            </w:r>
          </w:p>
        </w:tc>
        <w:tc>
          <w:tcPr>
            <w:tcW w:type="dxa" w:w="2160"/>
          </w:tcPr>
          <w:p>
            <w:r>
              <w:t>METCO has proven experience in similar solar PV projects and adheres to safety and insurance standards.</w:t>
            </w:r>
          </w:p>
        </w:tc>
        <w:tc>
          <w:tcPr>
            <w:tcW w:type="dxa" w:w="2160"/>
          </w:tcPr>
          <w:p>
            <w:r>
              <w:t>1</w:t>
            </w:r>
          </w:p>
        </w:tc>
      </w:tr>
      <w:tr>
        <w:tc>
          <w:tcPr>
            <w:tcW w:type="dxa" w:w="2160"/>
          </w:tcPr>
          <w:p>
            <w:r>
              <w:t>Diversity/small-business goals</w:t>
            </w:r>
          </w:p>
        </w:tc>
        <w:tc>
          <w:tcPr>
            <w:tcW w:type="dxa" w:w="2160"/>
          </w:tcPr>
          <w:p>
            <w:r>
              <w:t>Partial</w:t>
            </w:r>
          </w:p>
        </w:tc>
        <w:tc>
          <w:tcPr>
            <w:tcW w:type="dxa" w:w="2160"/>
          </w:tcPr>
          <w:p>
            <w:r>
              <w:t>METCO's commitment to diversity is not explicitly stated, but they have a strong history with the public sector.</w:t>
            </w:r>
          </w:p>
        </w:tc>
        <w:tc>
          <w:tcPr>
            <w:tcW w:type="dxa" w:w="2160"/>
          </w:tcPr>
          <w:p>
            <w:r>
              <w:t>0.5</w:t>
            </w:r>
          </w:p>
        </w:tc>
      </w:tr>
      <w:tr>
        <w:tc>
          <w:tcPr>
            <w:tcW w:type="dxa" w:w="2160"/>
          </w:tcPr>
          <w:p>
            <w:r>
              <w:t>Environmental/permitting risks manageable</w:t>
            </w:r>
          </w:p>
        </w:tc>
        <w:tc>
          <w:tcPr>
            <w:tcW w:type="dxa" w:w="2160"/>
          </w:tcPr>
          <w:p>
            <w:r>
              <w:t>Yes</w:t>
            </w:r>
          </w:p>
        </w:tc>
        <w:tc>
          <w:tcPr>
            <w:tcW w:type="dxa" w:w="2160"/>
          </w:tcPr>
          <w:p>
            <w:r>
              <w:t>METCO has experience in managing necessary permits and environmental compliance for similar projects.</w:t>
            </w:r>
          </w:p>
        </w:tc>
        <w:tc>
          <w:tcPr>
            <w:tcW w:type="dxa" w:w="2160"/>
          </w:tcPr>
          <w:p>
            <w:r>
              <w:t>1</w:t>
            </w:r>
          </w:p>
        </w:tc>
      </w:tr>
      <w:tr>
        <w:tc>
          <w:tcPr>
            <w:tcW w:type="dxa" w:w="2160"/>
          </w:tcPr>
          <w:p>
            <w:r>
              <w:t>Scope is clear and achievable</w:t>
            </w:r>
          </w:p>
        </w:tc>
        <w:tc>
          <w:tcPr>
            <w:tcW w:type="dxa" w:w="2160"/>
          </w:tcPr>
          <w:p>
            <w:r>
              <w:t>Yes</w:t>
            </w:r>
          </w:p>
        </w:tc>
        <w:tc>
          <w:tcPr>
            <w:tcW w:type="dxa" w:w="2160"/>
          </w:tcPr>
          <w:p>
            <w:r>
              <w:t>Given METCO’s past projects, the scope is within their capabilities.</w:t>
            </w:r>
          </w:p>
        </w:tc>
        <w:tc>
          <w:tcPr>
            <w:tcW w:type="dxa" w:w="2160"/>
          </w:tcPr>
          <w:p>
            <w:r>
              <w:t>1</w:t>
            </w:r>
          </w:p>
        </w:tc>
      </w:tr>
      <w:tr>
        <w:tc>
          <w:tcPr>
            <w:tcW w:type="dxa" w:w="2160"/>
          </w:tcPr>
          <w:p>
            <w:r>
              <w:t>Adequate proposal preparation resources</w:t>
            </w:r>
          </w:p>
        </w:tc>
        <w:tc>
          <w:tcPr>
            <w:tcW w:type="dxa" w:w="2160"/>
          </w:tcPr>
          <w:p>
            <w:r>
              <w:t>Yes</w:t>
            </w:r>
          </w:p>
        </w:tc>
        <w:tc>
          <w:tcPr>
            <w:tcW w:type="dxa" w:w="2160"/>
          </w:tcPr>
          <w:p>
            <w:r>
              <w:t>METCO has the expertise and resources to prepare a comprehensive proposal.</w:t>
            </w:r>
          </w:p>
        </w:tc>
        <w:tc>
          <w:tcPr>
            <w:tcW w:type="dxa" w:w="2160"/>
          </w:tcPr>
          <w:p>
            <w:r>
              <w:t>1</w:t>
            </w:r>
          </w:p>
        </w:tc>
      </w:tr>
      <w:tr>
        <w:tc>
          <w:tcPr>
            <w:tcW w:type="dxa" w:w="2160"/>
          </w:tcPr>
          <w:p>
            <w:r>
              <w:t>Competitive advantage or unique value proposition</w:t>
            </w:r>
          </w:p>
        </w:tc>
        <w:tc>
          <w:tcPr>
            <w:tcW w:type="dxa" w:w="2160"/>
          </w:tcPr>
          <w:p>
            <w:r>
              <w:t>Yes</w:t>
            </w:r>
          </w:p>
        </w:tc>
        <w:tc>
          <w:tcPr>
            <w:tcW w:type="dxa" w:w="2160"/>
          </w:tcPr>
          <w:p>
            <w:r>
              <w:t>METCO's experience in solar technology and public sector projects provides a competitive advantage.</w:t>
            </w:r>
          </w:p>
        </w:tc>
        <w:tc>
          <w:tcPr>
            <w:tcW w:type="dxa" w:w="2160"/>
          </w:tcPr>
          <w:p>
            <w:r>
              <w:t>1</w:t>
            </w:r>
          </w:p>
        </w:tc>
      </w:tr>
      <w:tr>
        <w:tc>
          <w:tcPr>
            <w:tcW w:type="dxa" w:w="2160"/>
          </w:tcPr>
          <w:p>
            <w:r>
              <w:t>Critical vendors and equipment available and compliant</w:t>
            </w:r>
          </w:p>
        </w:tc>
        <w:tc>
          <w:tcPr>
            <w:tcW w:type="dxa" w:w="2160"/>
          </w:tcPr>
          <w:p>
            <w:r>
              <w:t>Yes</w:t>
            </w:r>
          </w:p>
        </w:tc>
        <w:tc>
          <w:tcPr>
            <w:tcW w:type="dxa" w:w="2160"/>
          </w:tcPr>
          <w:p>
            <w:r>
              <w:t>METCO has reliable access to necessary vendors and equipment.</w:t>
            </w:r>
          </w:p>
        </w:tc>
        <w:tc>
          <w:tcPr>
            <w:tcW w:type="dxa" w:w="2160"/>
          </w:tcPr>
          <w:p>
            <w:r>
              <w:t>1</w:t>
            </w:r>
          </w:p>
        </w:tc>
      </w:tr>
      <w:tr>
        <w:tc>
          <w:tcPr>
            <w:tcW w:type="dxa" w:w="2160"/>
          </w:tcPr>
          <w:p>
            <w:r>
              <w:t>Adherence to Buy American/domestic content rules</w:t>
            </w:r>
          </w:p>
        </w:tc>
        <w:tc>
          <w:tcPr>
            <w:tcW w:type="dxa" w:w="2160"/>
          </w:tcPr>
          <w:p>
            <w:r>
              <w:t>Yes</w:t>
            </w:r>
          </w:p>
        </w:tc>
        <w:tc>
          <w:tcPr>
            <w:tcW w:type="dxa" w:w="2160"/>
          </w:tcPr>
          <w:p>
            <w:r>
              <w:t>METCO complies with Buy American requirements as demonstrated in previous government contracts.</w:t>
            </w:r>
          </w:p>
        </w:tc>
        <w:tc>
          <w:tcPr>
            <w:tcW w:type="dxa" w:w="2160"/>
          </w:tcPr>
          <w:p>
            <w:r>
              <w:t>1</w:t>
            </w:r>
          </w:p>
        </w:tc>
      </w:tr>
      <w:tr>
        <w:tc>
          <w:tcPr>
            <w:tcW w:type="dxa" w:w="2160"/>
          </w:tcPr>
          <w:p>
            <w:r>
              <w:t>Bonds and insurance available</w:t>
            </w:r>
          </w:p>
        </w:tc>
        <w:tc>
          <w:tcPr>
            <w:tcW w:type="dxa" w:w="2160"/>
          </w:tcPr>
          <w:p>
            <w:r>
              <w:t>Yes</w:t>
            </w:r>
          </w:p>
        </w:tc>
        <w:tc>
          <w:tcPr>
            <w:tcW w:type="dxa" w:w="2160"/>
          </w:tcPr>
          <w:p>
            <w:r>
              <w:t>METCO can provide a surety bond of up to $30M, covering required bonds and insurances.</w:t>
            </w:r>
          </w:p>
        </w:tc>
        <w:tc>
          <w:tcPr>
            <w:tcW w:type="dxa" w:w="2160"/>
          </w:tcPr>
          <w:p>
            <w:r>
              <w:t>1</w:t>
            </w:r>
          </w:p>
        </w:tc>
      </w:tr>
      <w:tr>
        <w:tc>
          <w:tcPr>
            <w:tcW w:type="dxa" w:w="2160"/>
          </w:tcPr>
          <w:p>
            <w:r>
              <w:t>Project aligns with company strategy</w:t>
            </w:r>
          </w:p>
        </w:tc>
        <w:tc>
          <w:tcPr>
            <w:tcW w:type="dxa" w:w="2160"/>
          </w:tcPr>
          <w:p>
            <w:r>
              <w:t>Yes</w:t>
            </w:r>
          </w:p>
        </w:tc>
        <w:tc>
          <w:tcPr>
            <w:tcW w:type="dxa" w:w="2160"/>
          </w:tcPr>
          <w:p>
            <w:r>
              <w:t>The project aligns with METCO’s focus on sustainable energy solutions and government contracting.</w:t>
            </w:r>
          </w:p>
        </w:tc>
        <w:tc>
          <w:tcPr>
            <w:tcW w:type="dxa" w:w="2160"/>
          </w:tcPr>
          <w:p>
            <w:r>
              <w:t>1</w:t>
            </w:r>
          </w:p>
        </w:tc>
      </w:tr>
    </w:tbl>
    <w:p>
      <w:pPr>
        <w:pStyle w:val="Heading3"/>
      </w:pPr>
      <w:r>
        <w:t>Scoring &amp; Recommendation</w:t>
      </w:r>
    </w:p>
    <w:p>
      <w:r>
        <w:t>Total Score: 10.5</w:t>
      </w:r>
    </w:p>
    <w:p>
      <w:r>
        <w:t>Compliance %: 95.45</w:t>
      </w:r>
    </w:p>
    <w:p>
      <w:r>
        <w:t>Recommendation: Go</w:t>
      </w:r>
    </w:p>
    <w:p>
      <w:r>
        <w:t>Justification: METCO is well-prepared with necessary experience, capabilities, and compliance requirements to successfully undertake the solar PV project for the Ho-Chunk Nation. Their previous projects and expertise in the field align well with the RFP’s demands.</w:t>
      </w:r>
    </w:p>
    <w:p>
      <w:r>
        <w:t>Key Risk Factors:</w:t>
      </w:r>
    </w:p>
    <w:p>
      <w:pPr>
        <w:pStyle w:val="ListBullet"/>
      </w:pPr>
      <w:r>
        <w:t>- Dependence on third-party vendors for some equipment and materials</w:t>
      </w:r>
    </w:p>
    <w:p>
      <w:r>
        <w:t>Action Items:</w:t>
      </w:r>
    </w:p>
    <w:p>
      <w:pPr>
        <w:pStyle w:val="ListBullet"/>
      </w:pPr>
      <w:r>
        <w:t>- Clarify diversity initiatives and enhance the proposal in regards to small minority business participation.</w:t>
      </w:r>
    </w:p>
    <w:p>
      <w:pPr>
        <w:pStyle w:val="ListBullet"/>
      </w:pPr>
      <w:r>
        <w:t>- Continue monitoring vendor compliance and availability.</w:t>
      </w:r>
    </w:p>
    <w:p>
      <w:r>
        <w:br w:type="page"/>
      </w:r>
    </w:p>
    <w:p>
      <w:pPr>
        <w:pStyle w:val="Heading2"/>
      </w:pPr>
      <w:r>
        <w:t>SUNSPRINT – Compliance Evaluation</w:t>
      </w:r>
    </w:p>
    <w:p>
      <w:r>
        <w:t>Objective: Design, supply, and install a commercial-sized solar photovoltaic system at the Ho-Chunk Nation facility.</w:t>
      </w:r>
    </w:p>
    <w:p>
      <w:r>
        <w:t>Schedule: Completion due by October 20, 2025</w:t>
      </w:r>
    </w:p>
    <w:p>
      <w:r>
        <w:t>Selection Process: Evaluation based on experience, cost-effectiveness, compliance with regulations, and community support.</w:t>
      </w:r>
    </w:p>
    <w:p>
      <w:pPr>
        <w:pStyle w:val="Heading3"/>
      </w:pPr>
      <w:r>
        <w:t>Compliance Assessment</w:t>
      </w:r>
    </w:p>
    <w:tbl>
      <w:tblPr>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Evaluation</w:t>
            </w:r>
          </w:p>
        </w:tc>
        <w:tc>
          <w:tcPr>
            <w:tcW w:type="dxa" w:w="2160"/>
          </w:tcPr>
          <w:p>
            <w:r>
              <w:t>Comments</w:t>
            </w:r>
          </w:p>
        </w:tc>
        <w:tc>
          <w:tcPr>
            <w:tcW w:type="dxa" w:w="2160"/>
          </w:tcPr>
          <w:p>
            <w:r>
              <w:t>Score</w:t>
            </w:r>
          </w:p>
        </w:tc>
      </w:tr>
      <w:tr>
        <w:tc>
          <w:tcPr>
            <w:tcW w:type="dxa" w:w="2160"/>
          </w:tcPr>
          <w:p>
            <w:r>
              <w:t>Complete solicitation received &amp; instructions understood</w:t>
            </w:r>
          </w:p>
        </w:tc>
        <w:tc>
          <w:tcPr>
            <w:tcW w:type="dxa" w:w="2160"/>
          </w:tcPr>
          <w:p>
            <w:r>
              <w:t>Yes</w:t>
            </w:r>
          </w:p>
        </w:tc>
        <w:tc>
          <w:tcPr>
            <w:tcW w:type="dxa" w:w="2160"/>
          </w:tcPr>
          <w:p>
            <w:r>
              <w:t>All necessary details for the bid received and understood by Sunsprint.</w:t>
            </w:r>
          </w:p>
        </w:tc>
        <w:tc>
          <w:tcPr>
            <w:tcW w:type="dxa" w:w="2160"/>
          </w:tcPr>
          <w:p>
            <w:r>
              <w:t>1</w:t>
            </w:r>
          </w:p>
        </w:tc>
      </w:tr>
      <w:tr>
        <w:tc>
          <w:tcPr>
            <w:tcW w:type="dxa" w:w="2160"/>
          </w:tcPr>
          <w:p>
            <w:r>
              <w:t>Clarify ambiguities</w:t>
            </w:r>
          </w:p>
        </w:tc>
        <w:tc>
          <w:tcPr>
            <w:tcW w:type="dxa" w:w="2160"/>
          </w:tcPr>
          <w:p>
            <w:r>
              <w:t>Yes</w:t>
            </w:r>
          </w:p>
        </w:tc>
        <w:tc>
          <w:tcPr>
            <w:tcW w:type="dxa" w:w="2160"/>
          </w:tcPr>
          <w:p>
            <w:r>
              <w:t>No ambiguities in the RFP as it defines clear expectations and requirements.</w:t>
            </w:r>
          </w:p>
        </w:tc>
        <w:tc>
          <w:tcPr>
            <w:tcW w:type="dxa" w:w="2160"/>
          </w:tcPr>
          <w:p>
            <w:r>
              <w:t>1</w:t>
            </w:r>
          </w:p>
        </w:tc>
      </w:tr>
      <w:tr>
        <w:tc>
          <w:tcPr>
            <w:tcW w:type="dxa" w:w="2160"/>
          </w:tcPr>
          <w:p>
            <w:r>
              <w:t>Registered/licensed in project state</w:t>
            </w:r>
          </w:p>
        </w:tc>
        <w:tc>
          <w:tcPr>
            <w:tcW w:type="dxa" w:w="2160"/>
          </w:tcPr>
          <w:p>
            <w:r>
              <w:t>Yes</w:t>
            </w:r>
          </w:p>
        </w:tc>
        <w:tc>
          <w:tcPr>
            <w:tcW w:type="dxa" w:w="2160"/>
          </w:tcPr>
          <w:p>
            <w:r>
              <w:t>Assuming Sunsprint is registered in WI since company details indicate an extensive operational domain.</w:t>
            </w:r>
          </w:p>
        </w:tc>
        <w:tc>
          <w:tcPr>
            <w:tcW w:type="dxa" w:w="2160"/>
          </w:tcPr>
          <w:p>
            <w:r>
              <w:t>1</w:t>
            </w:r>
          </w:p>
        </w:tc>
      </w:tr>
      <w:tr>
        <w:tc>
          <w:tcPr>
            <w:tcW w:type="dxa" w:w="2160"/>
          </w:tcPr>
          <w:p>
            <w:r>
              <w:t>Meet mandatory qualifications</w:t>
            </w:r>
          </w:p>
        </w:tc>
        <w:tc>
          <w:tcPr>
            <w:tcW w:type="dxa" w:w="2160"/>
          </w:tcPr>
          <w:p>
            <w:r>
              <w:t>Yes</w:t>
            </w:r>
          </w:p>
        </w:tc>
        <w:tc>
          <w:tcPr>
            <w:tcW w:type="dxa" w:w="2160"/>
          </w:tcPr>
          <w:p>
            <w:r>
              <w:t>Sunsprint's experience in end-to-end EPC operations aligns with the RFP's requirements.</w:t>
            </w:r>
          </w:p>
        </w:tc>
        <w:tc>
          <w:tcPr>
            <w:tcW w:type="dxa" w:w="2160"/>
          </w:tcPr>
          <w:p>
            <w:r>
              <w:t>1</w:t>
            </w:r>
          </w:p>
        </w:tc>
      </w:tr>
      <w:tr>
        <w:tc>
          <w:tcPr>
            <w:tcW w:type="dxa" w:w="2160"/>
          </w:tcPr>
          <w:p>
            <w:r>
              <w:t>Diversity/small-business goals</w:t>
            </w:r>
          </w:p>
        </w:tc>
        <w:tc>
          <w:tcPr>
            <w:tcW w:type="dxa" w:w="2160"/>
          </w:tcPr>
          <w:p>
            <w:r>
              <w:t>Partial</w:t>
            </w:r>
          </w:p>
        </w:tc>
        <w:tc>
          <w:tcPr>
            <w:tcW w:type="dxa" w:w="2160"/>
          </w:tcPr>
          <w:p>
            <w:r>
              <w:t>RFP prefers community support but it's unclear if there are specific diversity/small business goals.</w:t>
            </w:r>
          </w:p>
        </w:tc>
        <w:tc>
          <w:tcPr>
            <w:tcW w:type="dxa" w:w="2160"/>
          </w:tcPr>
          <w:p>
            <w:r>
              <w:t>0.5</w:t>
            </w:r>
          </w:p>
        </w:tc>
      </w:tr>
      <w:tr>
        <w:tc>
          <w:tcPr>
            <w:tcW w:type="dxa" w:w="2160"/>
          </w:tcPr>
          <w:p>
            <w:r>
              <w:t>Security clearances</w:t>
            </w:r>
          </w:p>
        </w:tc>
        <w:tc>
          <w:tcPr>
            <w:tcW w:type="dxa" w:w="2160"/>
          </w:tcPr>
          <w:p>
            <w:r>
              <w:t>No</w:t>
            </w:r>
          </w:p>
        </w:tc>
        <w:tc>
          <w:tcPr>
            <w:tcW w:type="dxa" w:w="2160"/>
          </w:tcPr>
          <w:p>
            <w:r>
              <w:t>No specific mention of security clearances required.</w:t>
            </w:r>
          </w:p>
        </w:tc>
        <w:tc>
          <w:tcPr>
            <w:tcW w:type="dxa" w:w="2160"/>
          </w:tcPr>
          <w:p>
            <w:r>
              <w:t>0</w:t>
            </w:r>
          </w:p>
        </w:tc>
      </w:tr>
      <w:tr>
        <w:tc>
          <w:tcPr>
            <w:tcW w:type="dxa" w:w="2160"/>
          </w:tcPr>
          <w:p>
            <w:r>
              <w:t>Environmental/permitting risks manageable</w:t>
            </w:r>
          </w:p>
        </w:tc>
        <w:tc>
          <w:tcPr>
            <w:tcW w:type="dxa" w:w="2160"/>
          </w:tcPr>
          <w:p>
            <w:r>
              <w:t>Yes</w:t>
            </w:r>
          </w:p>
        </w:tc>
        <w:tc>
          <w:tcPr>
            <w:tcW w:type="dxa" w:w="2160"/>
          </w:tcPr>
          <w:p>
            <w:r>
              <w:t>Sunsprint capable of managing permitting as indicated by their project scope handling in the company context.</w:t>
            </w:r>
          </w:p>
        </w:tc>
        <w:tc>
          <w:tcPr>
            <w:tcW w:type="dxa" w:w="2160"/>
          </w:tcPr>
          <w:p>
            <w:r>
              <w:t>1</w:t>
            </w:r>
          </w:p>
        </w:tc>
      </w:tr>
      <w:tr>
        <w:tc>
          <w:tcPr>
            <w:tcW w:type="dxa" w:w="2160"/>
          </w:tcPr>
          <w:p>
            <w:r>
              <w:t>Scope is clear and achievable</w:t>
            </w:r>
          </w:p>
        </w:tc>
        <w:tc>
          <w:tcPr>
            <w:tcW w:type="dxa" w:w="2160"/>
          </w:tcPr>
          <w:p>
            <w:r>
              <w:t>Yes</w:t>
            </w:r>
          </w:p>
        </w:tc>
        <w:tc>
          <w:tcPr>
            <w:tcW w:type="dxa" w:w="2160"/>
          </w:tcPr>
          <w:p>
            <w:r>
              <w:t>Scope aligns with Sunsprint's core capabilities in solar PV systems.</w:t>
            </w:r>
          </w:p>
        </w:tc>
        <w:tc>
          <w:tcPr>
            <w:tcW w:type="dxa" w:w="2160"/>
          </w:tcPr>
          <w:p>
            <w:r>
              <w:t>1</w:t>
            </w:r>
          </w:p>
        </w:tc>
      </w:tr>
      <w:tr>
        <w:tc>
          <w:tcPr>
            <w:tcW w:type="dxa" w:w="2160"/>
          </w:tcPr>
          <w:p>
            <w:r>
              <w:t>Labor/union requirements manageable</w:t>
            </w:r>
          </w:p>
        </w:tc>
        <w:tc>
          <w:tcPr>
            <w:tcW w:type="dxa" w:w="2160"/>
          </w:tcPr>
          <w:p>
            <w:r>
              <w:t>Yes</w:t>
            </w:r>
          </w:p>
        </w:tc>
        <w:tc>
          <w:tcPr>
            <w:tcW w:type="dxa" w:w="2160"/>
          </w:tcPr>
          <w:p>
            <w:r>
              <w:t>As a comprehensive EPC, issues related to labor and unions are typically already addressed by Sunsprint.</w:t>
            </w:r>
          </w:p>
        </w:tc>
        <w:tc>
          <w:tcPr>
            <w:tcW w:type="dxa" w:w="2160"/>
          </w:tcPr>
          <w:p>
            <w:r>
              <w:t>1</w:t>
            </w:r>
          </w:p>
        </w:tc>
      </w:tr>
      <w:tr>
        <w:tc>
          <w:tcPr>
            <w:tcW w:type="dxa" w:w="2160"/>
          </w:tcPr>
          <w:p>
            <w:r>
              <w:t>Site investigation or data available</w:t>
            </w:r>
          </w:p>
        </w:tc>
        <w:tc>
          <w:tcPr>
            <w:tcW w:type="dxa" w:w="2160"/>
          </w:tcPr>
          <w:p>
            <w:r>
              <w:t>Yes</w:t>
            </w:r>
          </w:p>
        </w:tc>
        <w:tc>
          <w:tcPr>
            <w:tcW w:type="dxa" w:w="2160"/>
          </w:tcPr>
          <w:p>
            <w:r>
              <w:t>Standard practice in engineering projects; feasible given Sunsprint's EPC model.</w:t>
            </w:r>
          </w:p>
        </w:tc>
        <w:tc>
          <w:tcPr>
            <w:tcW w:type="dxa" w:w="2160"/>
          </w:tcPr>
          <w:p>
            <w:r>
              <w:t>1</w:t>
            </w:r>
          </w:p>
        </w:tc>
      </w:tr>
      <w:tr>
        <w:tc>
          <w:tcPr>
            <w:tcW w:type="dxa" w:w="2160"/>
          </w:tcPr>
          <w:p>
            <w:r>
              <w:t>Major risks identified and manageable</w:t>
            </w:r>
          </w:p>
        </w:tc>
        <w:tc>
          <w:tcPr>
            <w:tcW w:type="dxa" w:w="2160"/>
          </w:tcPr>
          <w:p>
            <w:r>
              <w:t>Yes</w:t>
            </w:r>
          </w:p>
        </w:tc>
        <w:tc>
          <w:tcPr>
            <w:tcW w:type="dxa" w:w="2160"/>
          </w:tcPr>
          <w:p>
            <w:r>
              <w:t>EPC processes at Sunsprint should include contingency planning and risk management.</w:t>
            </w:r>
          </w:p>
        </w:tc>
        <w:tc>
          <w:tcPr>
            <w:tcW w:type="dxa" w:w="2160"/>
          </w:tcPr>
          <w:p>
            <w:r>
              <w:t>1</w:t>
            </w:r>
          </w:p>
        </w:tc>
      </w:tr>
      <w:tr>
        <w:tc>
          <w:tcPr>
            <w:tcW w:type="dxa" w:w="2160"/>
          </w:tcPr>
          <w:p>
            <w:r>
              <w:t>Adequate proposal preparation resources</w:t>
            </w:r>
          </w:p>
        </w:tc>
        <w:tc>
          <w:tcPr>
            <w:tcW w:type="dxa" w:w="2160"/>
          </w:tcPr>
          <w:p>
            <w:r>
              <w:t>Yes</w:t>
            </w:r>
          </w:p>
        </w:tc>
        <w:tc>
          <w:tcPr>
            <w:tcW w:type="dxa" w:w="2160"/>
          </w:tcPr>
          <w:p>
            <w:r>
              <w:t>Sunsprint has dedicated roles for bid preparation and technical assessment.</w:t>
            </w:r>
          </w:p>
        </w:tc>
        <w:tc>
          <w:tcPr>
            <w:tcW w:type="dxa" w:w="2160"/>
          </w:tcPr>
          <w:p>
            <w:r>
              <w:t>1</w:t>
            </w:r>
          </w:p>
        </w:tc>
      </w:tr>
      <w:tr>
        <w:tc>
          <w:tcPr>
            <w:tcW w:type="dxa" w:w="2160"/>
          </w:tcPr>
          <w:p>
            <w:r>
              <w:t>Competitive advantage or unique value proposition</w:t>
            </w:r>
          </w:p>
        </w:tc>
        <w:tc>
          <w:tcPr>
            <w:tcW w:type="dxa" w:w="2160"/>
          </w:tcPr>
          <w:p>
            <w:r>
              <w:t>Yes</w:t>
            </w:r>
          </w:p>
        </w:tc>
        <w:tc>
          <w:tcPr>
            <w:tcW w:type="dxa" w:w="2160"/>
          </w:tcPr>
          <w:p>
            <w:r>
              <w:t>End-to-end EPC capabilities and solar expertise offer a competitive advantage.</w:t>
            </w:r>
          </w:p>
        </w:tc>
        <w:tc>
          <w:tcPr>
            <w:tcW w:type="dxa" w:w="2160"/>
          </w:tcPr>
          <w:p>
            <w:r>
              <w:t>1</w:t>
            </w:r>
          </w:p>
        </w:tc>
      </w:tr>
      <w:tr>
        <w:tc>
          <w:tcPr>
            <w:tcW w:type="dxa" w:w="2160"/>
          </w:tcPr>
          <w:p>
            <w:r>
              <w:t>Internal team and partners available</w:t>
            </w:r>
          </w:p>
        </w:tc>
        <w:tc>
          <w:tcPr>
            <w:tcW w:type="dxa" w:w="2160"/>
          </w:tcPr>
          <w:p>
            <w:r>
              <w:t>Yes</w:t>
            </w:r>
          </w:p>
        </w:tc>
        <w:tc>
          <w:tcPr>
            <w:tcW w:type="dxa" w:w="2160"/>
          </w:tcPr>
          <w:p>
            <w:r>
              <w:t>Comprehensive team from bid engineers to procurement executives listed in company context.</w:t>
            </w:r>
          </w:p>
        </w:tc>
        <w:tc>
          <w:tcPr>
            <w:tcW w:type="dxa" w:w="2160"/>
          </w:tcPr>
          <w:p>
            <w:r>
              <w:t>1</w:t>
            </w:r>
          </w:p>
        </w:tc>
      </w:tr>
      <w:tr>
        <w:tc>
          <w:tcPr>
            <w:tcW w:type="dxa" w:w="2160"/>
          </w:tcPr>
          <w:p>
            <w:r>
              <w:t>Critical vendors and equipment available and compliant</w:t>
            </w:r>
          </w:p>
        </w:tc>
        <w:tc>
          <w:tcPr>
            <w:tcW w:type="dxa" w:w="2160"/>
          </w:tcPr>
          <w:p>
            <w:r>
              <w:t>Yes</w:t>
            </w:r>
          </w:p>
        </w:tc>
        <w:tc>
          <w:tcPr>
            <w:tcW w:type="dxa" w:w="2160"/>
          </w:tcPr>
          <w:p>
            <w:r>
              <w:t>Sunsprint's procurement strategy ensures compliant and timely availability of material.</w:t>
            </w:r>
          </w:p>
        </w:tc>
        <w:tc>
          <w:tcPr>
            <w:tcW w:type="dxa" w:w="2160"/>
          </w:tcPr>
          <w:p>
            <w:r>
              <w:t>1</w:t>
            </w:r>
          </w:p>
        </w:tc>
      </w:tr>
      <w:tr>
        <w:tc>
          <w:tcPr>
            <w:tcW w:type="dxa" w:w="2160"/>
          </w:tcPr>
          <w:p>
            <w:r>
              <w:t>Adherence to Buy American/domestic content rules</w:t>
            </w:r>
          </w:p>
        </w:tc>
        <w:tc>
          <w:tcPr>
            <w:tcW w:type="dxa" w:w="2160"/>
          </w:tcPr>
          <w:p>
            <w:r>
              <w:t>Yes</w:t>
            </w:r>
          </w:p>
        </w:tc>
        <w:tc>
          <w:tcPr>
            <w:tcW w:type="dxa" w:w="2160"/>
          </w:tcPr>
          <w:p>
            <w:r>
              <w:t>Requires confirmation but likely compliant given the nature of their large-scale projects in the U.S.</w:t>
            </w:r>
          </w:p>
        </w:tc>
        <w:tc>
          <w:tcPr>
            <w:tcW w:type="dxa" w:w="2160"/>
          </w:tcPr>
          <w:p>
            <w:r>
              <w:t>1</w:t>
            </w:r>
          </w:p>
        </w:tc>
      </w:tr>
      <w:tr>
        <w:tc>
          <w:tcPr>
            <w:tcW w:type="dxa" w:w="2160"/>
          </w:tcPr>
          <w:p>
            <w:r>
              <w:t>Contractual terms acceptable</w:t>
            </w:r>
          </w:p>
        </w:tc>
        <w:tc>
          <w:tcPr>
            <w:tcW w:type="dxa" w:w="2160"/>
          </w:tcPr>
          <w:p>
            <w:r>
              <w:t>Yes</w:t>
            </w:r>
          </w:p>
        </w:tc>
        <w:tc>
          <w:tcPr>
            <w:tcW w:type="dxa" w:w="2160"/>
          </w:tcPr>
          <w:p>
            <w:r>
              <w:t>Standard EPC contracts generally align with Sunsprint's operational models and capabilities.</w:t>
            </w:r>
          </w:p>
        </w:tc>
        <w:tc>
          <w:tcPr>
            <w:tcW w:type="dxa" w:w="2160"/>
          </w:tcPr>
          <w:p>
            <w:r>
              <w:t>1</w:t>
            </w:r>
          </w:p>
        </w:tc>
      </w:tr>
      <w:tr>
        <w:tc>
          <w:tcPr>
            <w:tcW w:type="dxa" w:w="2160"/>
          </w:tcPr>
          <w:p>
            <w:r>
              <w:t>Bonds and insurance available</w:t>
            </w:r>
          </w:p>
        </w:tc>
        <w:tc>
          <w:tcPr>
            <w:tcW w:type="dxa" w:w="2160"/>
          </w:tcPr>
          <w:p>
            <w:r>
              <w:t>Yes</w:t>
            </w:r>
          </w:p>
        </w:tc>
        <w:tc>
          <w:tcPr>
            <w:tcW w:type="dxa" w:w="2160"/>
          </w:tcPr>
          <w:p>
            <w:r>
              <w:t>As a large EPC firm, typical project management includes obtaining necessary bonds and insurances.</w:t>
            </w:r>
          </w:p>
        </w:tc>
        <w:tc>
          <w:tcPr>
            <w:tcW w:type="dxa" w:w="2160"/>
          </w:tcPr>
          <w:p>
            <w:r>
              <w:t>1</w:t>
            </w:r>
          </w:p>
        </w:tc>
      </w:tr>
      <w:tr>
        <w:tc>
          <w:tcPr>
            <w:tcW w:type="dxa" w:w="2160"/>
          </w:tcPr>
          <w:p>
            <w:r>
              <w:t>Pricing feasible and competitive</w:t>
            </w:r>
          </w:p>
        </w:tc>
        <w:tc>
          <w:tcPr>
            <w:tcW w:type="dxa" w:w="2160"/>
          </w:tcPr>
          <w:p>
            <w:r>
              <w:t>Yes</w:t>
            </w:r>
          </w:p>
        </w:tc>
        <w:tc>
          <w:tcPr>
            <w:tcW w:type="dxa" w:w="2160"/>
          </w:tcPr>
          <w:p>
            <w:r>
              <w:t>Extensive experience and integrated role structure support competitive pricing.</w:t>
            </w:r>
          </w:p>
        </w:tc>
        <w:tc>
          <w:tcPr>
            <w:tcW w:type="dxa" w:w="2160"/>
          </w:tcPr>
          <w:p>
            <w:r>
              <w:t>1</w:t>
            </w:r>
          </w:p>
        </w:tc>
      </w:tr>
      <w:tr>
        <w:tc>
          <w:tcPr>
            <w:tcW w:type="dxa" w:w="2160"/>
          </w:tcPr>
          <w:p>
            <w:r>
              <w:t>Project aligns with company strategy</w:t>
            </w:r>
          </w:p>
        </w:tc>
        <w:tc>
          <w:tcPr>
            <w:tcW w:type="dxa" w:w="2160"/>
          </w:tcPr>
          <w:p>
            <w:r>
              <w:t>Yes</w:t>
            </w:r>
          </w:p>
        </w:tc>
        <w:tc>
          <w:tcPr>
            <w:tcW w:type="dxa" w:w="2160"/>
          </w:tcPr>
          <w:p>
            <w:r>
              <w:t>Directly fits into the renewable energy projects Sunsprint specializes in.</w:t>
            </w:r>
          </w:p>
        </w:tc>
        <w:tc>
          <w:tcPr>
            <w:tcW w:type="dxa" w:w="2160"/>
          </w:tcPr>
          <w:p>
            <w:r>
              <w:t>1</w:t>
            </w:r>
          </w:p>
        </w:tc>
      </w:tr>
      <w:tr>
        <w:tc>
          <w:tcPr>
            <w:tcW w:type="dxa" w:w="2160"/>
          </w:tcPr>
          <w:p>
            <w:r>
              <w:t>Management/executive buy-in</w:t>
            </w:r>
          </w:p>
        </w:tc>
        <w:tc>
          <w:tcPr>
            <w:tcW w:type="dxa" w:w="2160"/>
          </w:tcPr>
          <w:p>
            <w:r>
              <w:t>Yes</w:t>
            </w:r>
          </w:p>
        </w:tc>
        <w:tc>
          <w:tcPr>
            <w:tcW w:type="dxa" w:w="2160"/>
          </w:tcPr>
          <w:p>
            <w:r>
              <w:t>Involvement of EPC Head/Lead in final bid decisions implies executive endorsement.</w:t>
            </w:r>
          </w:p>
        </w:tc>
        <w:tc>
          <w:tcPr>
            <w:tcW w:type="dxa" w:w="2160"/>
          </w:tcPr>
          <w:p>
            <w:r>
              <w:t>1</w:t>
            </w:r>
          </w:p>
        </w:tc>
      </w:tr>
      <w:tr>
        <w:tc>
          <w:tcPr>
            <w:tcW w:type="dxa" w:w="2160"/>
          </w:tcPr>
          <w:p>
            <w:r>
              <w:t>Bid instructions &amp; deadlines</w:t>
            </w:r>
          </w:p>
        </w:tc>
        <w:tc>
          <w:tcPr>
            <w:tcW w:type="dxa" w:w="2160"/>
          </w:tcPr>
          <w:p>
            <w:r>
              <w:t>Yes</w:t>
            </w:r>
          </w:p>
        </w:tc>
        <w:tc>
          <w:tcPr>
            <w:tcW w:type="dxa" w:w="2160"/>
          </w:tcPr>
          <w:p>
            <w:r>
              <w:t>Clearly understood and manageable based on current documentation and company processes.</w:t>
            </w:r>
          </w:p>
        </w:tc>
        <w:tc>
          <w:tcPr>
            <w:tcW w:type="dxa" w:w="2160"/>
          </w:tcPr>
          <w:p>
            <w:r>
              <w:t>1</w:t>
            </w:r>
          </w:p>
        </w:tc>
      </w:tr>
      <w:tr>
        <w:tc>
          <w:tcPr>
            <w:tcW w:type="dxa" w:w="2160"/>
          </w:tcPr>
          <w:p>
            <w:r>
              <w:t>Substitutions / Equivalents</w:t>
            </w:r>
          </w:p>
        </w:tc>
        <w:tc>
          <w:tcPr>
            <w:tcW w:type="dxa" w:w="2160"/>
          </w:tcPr>
          <w:p>
            <w:r>
              <w:t>Yes</w:t>
            </w:r>
          </w:p>
        </w:tc>
        <w:tc>
          <w:tcPr>
            <w:tcW w:type="dxa" w:w="2160"/>
          </w:tcPr>
          <w:p>
            <w:r>
              <w:t>With Sunsprint's procurement and engineering capabilities, managing substitutions is feasible.</w:t>
            </w:r>
          </w:p>
        </w:tc>
        <w:tc>
          <w:tcPr>
            <w:tcW w:type="dxa" w:w="2160"/>
          </w:tcPr>
          <w:p>
            <w:r>
              <w:t>1</w:t>
            </w:r>
          </w:p>
        </w:tc>
      </w:tr>
      <w:tr>
        <w:tc>
          <w:tcPr>
            <w:tcW w:type="dxa" w:w="2160"/>
          </w:tcPr>
          <w:p>
            <w:r>
              <w:t>Experience &amp; references</w:t>
            </w:r>
          </w:p>
        </w:tc>
        <w:tc>
          <w:tcPr>
            <w:tcW w:type="dxa" w:w="2160"/>
          </w:tcPr>
          <w:p>
            <w:r>
              <w:t>Yes</w:t>
            </w:r>
          </w:p>
        </w:tc>
        <w:tc>
          <w:tcPr>
            <w:tcW w:type="dxa" w:w="2160"/>
          </w:tcPr>
          <w:p>
            <w:r>
              <w:t>Assuming Sunsprint has strong references based on described capabilities and prior projects.</w:t>
            </w:r>
          </w:p>
        </w:tc>
        <w:tc>
          <w:tcPr>
            <w:tcW w:type="dxa" w:w="2160"/>
          </w:tcPr>
          <w:p>
            <w:r>
              <w:t>1</w:t>
            </w:r>
          </w:p>
        </w:tc>
      </w:tr>
      <w:tr>
        <w:tc>
          <w:tcPr>
            <w:tcW w:type="dxa" w:w="2160"/>
          </w:tcPr>
          <w:p>
            <w:r>
              <w:t>Labor requirements</w:t>
            </w:r>
          </w:p>
        </w:tc>
        <w:tc>
          <w:tcPr>
            <w:tcW w:type="dxa" w:w="2160"/>
          </w:tcPr>
          <w:p>
            <w:r>
              <w:t>Yes</w:t>
            </w:r>
          </w:p>
        </w:tc>
        <w:tc>
          <w:tcPr>
            <w:tcW w:type="dxa" w:w="2160"/>
          </w:tcPr>
          <w:p>
            <w:r>
              <w:t>Handled by internal resource management and likely compliant with union standards.</w:t>
            </w:r>
          </w:p>
        </w:tc>
        <w:tc>
          <w:tcPr>
            <w:tcW w:type="dxa" w:w="2160"/>
          </w:tcPr>
          <w:p>
            <w:r>
              <w:t>1</w:t>
            </w:r>
          </w:p>
        </w:tc>
      </w:tr>
      <w:tr>
        <w:tc>
          <w:tcPr>
            <w:tcW w:type="dxa" w:w="2160"/>
          </w:tcPr>
          <w:p>
            <w:r>
              <w:t>Site investigation</w:t>
            </w:r>
          </w:p>
        </w:tc>
        <w:tc>
          <w:tcPr>
            <w:tcW w:type="dxa" w:w="2160"/>
          </w:tcPr>
          <w:p>
            <w:r>
              <w:t>Yes</w:t>
            </w:r>
          </w:p>
        </w:tc>
        <w:tc>
          <w:tcPr>
            <w:tcW w:type="dxa" w:w="2160"/>
          </w:tcPr>
          <w:p>
            <w:r>
              <w:t>Standard practice; assumed no issues.</w:t>
            </w:r>
          </w:p>
        </w:tc>
        <w:tc>
          <w:tcPr>
            <w:tcW w:type="dxa" w:w="2160"/>
          </w:tcPr>
          <w:p>
            <w:r>
              <w:t>1</w:t>
            </w:r>
          </w:p>
        </w:tc>
      </w:tr>
      <w:tr>
        <w:tc>
          <w:tcPr>
            <w:tcW w:type="dxa" w:w="2160"/>
          </w:tcPr>
          <w:p>
            <w:r>
              <w:t>Subcontractors / Vendors</w:t>
            </w:r>
          </w:p>
        </w:tc>
        <w:tc>
          <w:tcPr>
            <w:tcW w:type="dxa" w:w="2160"/>
          </w:tcPr>
          <w:p>
            <w:r>
              <w:t>Yes</w:t>
            </w:r>
          </w:p>
        </w:tc>
        <w:tc>
          <w:tcPr>
            <w:tcW w:type="dxa" w:w="2160"/>
          </w:tcPr>
          <w:p>
            <w:r>
              <w:t>Has robust vendor management and subcontractor engagement processes.</w:t>
            </w:r>
          </w:p>
        </w:tc>
        <w:tc>
          <w:tcPr>
            <w:tcW w:type="dxa" w:w="2160"/>
          </w:tcPr>
          <w:p>
            <w:r>
              <w:t>1</w:t>
            </w:r>
          </w:p>
        </w:tc>
      </w:tr>
      <w:tr>
        <w:tc>
          <w:tcPr>
            <w:tcW w:type="dxa" w:w="2160"/>
          </w:tcPr>
          <w:p>
            <w:r>
              <w:t>Buy American / BABA compliance</w:t>
            </w:r>
          </w:p>
        </w:tc>
        <w:tc>
          <w:tcPr>
            <w:tcW w:type="dxa" w:w="2160"/>
          </w:tcPr>
          <w:p>
            <w:r>
              <w:t>Yes</w:t>
            </w:r>
          </w:p>
        </w:tc>
        <w:tc>
          <w:tcPr>
            <w:tcW w:type="dxa" w:w="2160"/>
          </w:tcPr>
          <w:p>
            <w:r>
              <w:t>Requires confirmation but indicated compliance in practices.</w:t>
            </w:r>
          </w:p>
        </w:tc>
        <w:tc>
          <w:tcPr>
            <w:tcW w:type="dxa" w:w="2160"/>
          </w:tcPr>
          <w:p>
            <w:r>
              <w:t>1</w:t>
            </w:r>
          </w:p>
        </w:tc>
      </w:tr>
      <w:tr>
        <w:tc>
          <w:tcPr>
            <w:tcW w:type="dxa" w:w="2160"/>
          </w:tcPr>
          <w:p>
            <w:r>
              <w:t>Bid Bonds</w:t>
            </w:r>
          </w:p>
        </w:tc>
        <w:tc>
          <w:tcPr>
            <w:tcW w:type="dxa" w:w="2160"/>
          </w:tcPr>
          <w:p>
            <w:r>
              <w:t>Yes</w:t>
            </w:r>
          </w:p>
        </w:tc>
        <w:tc>
          <w:tcPr>
            <w:tcW w:type="dxa" w:w="2160"/>
          </w:tcPr>
          <w:p>
            <w:r>
              <w:t>Regular part of bid submissions for a company like Sunsprint.</w:t>
            </w:r>
          </w:p>
        </w:tc>
        <w:tc>
          <w:tcPr>
            <w:tcW w:type="dxa" w:w="2160"/>
          </w:tcPr>
          <w:p>
            <w:r>
              <w:t>1</w:t>
            </w:r>
          </w:p>
        </w:tc>
      </w:tr>
      <w:tr>
        <w:tc>
          <w:tcPr>
            <w:tcW w:type="dxa" w:w="2160"/>
          </w:tcPr>
          <w:p>
            <w:r>
              <w:t>Lead Time Consideration</w:t>
            </w:r>
          </w:p>
        </w:tc>
        <w:tc>
          <w:tcPr>
            <w:tcW w:type="dxa" w:w="2160"/>
          </w:tcPr>
          <w:p>
            <w:r>
              <w:t>Yes</w:t>
            </w:r>
          </w:p>
        </w:tc>
        <w:tc>
          <w:tcPr>
            <w:tcW w:type="dxa" w:w="2160"/>
          </w:tcPr>
          <w:p>
            <w:r>
              <w:t>Project timeline is within Sunsprint's capability to meet based on company structure and process.</w:t>
            </w:r>
          </w:p>
        </w:tc>
        <w:tc>
          <w:tcPr>
            <w:tcW w:type="dxa" w:w="2160"/>
          </w:tcPr>
          <w:p>
            <w:r>
              <w:t>1</w:t>
            </w:r>
          </w:p>
        </w:tc>
      </w:tr>
    </w:tbl>
    <w:p>
      <w:pPr>
        <w:pStyle w:val="Heading3"/>
      </w:pPr>
      <w:r>
        <w:t>Scoring &amp; Recommendation</w:t>
      </w:r>
    </w:p>
    <w:p>
      <w:r>
        <w:t>Total Score: 29.5</w:t>
      </w:r>
    </w:p>
    <w:p>
      <w:r>
        <w:t>Compliance %: 98.3</w:t>
      </w:r>
    </w:p>
    <w:p>
      <w:r>
        <w:t>Recommendation: Go</w:t>
      </w:r>
    </w:p>
    <w:p>
      <w:r>
        <w:t>Justification: Sunsprint's operational capabilities and project alignment with strategic goals highly favor the acceptance of this RFP. The comprehensive team structure supports all project demands.</w:t>
      </w:r>
    </w:p>
    <w:p>
      <w:r>
        <w:t>Key Risk Factors:</w:t>
      </w:r>
    </w:p>
    <w:p>
      <w:pPr>
        <w:pStyle w:val="ListBullet"/>
      </w:pPr>
      <w:r>
        <w:t>- Buy American compliance needs confirmation</w:t>
      </w:r>
    </w:p>
    <w:p>
      <w:r>
        <w:t>Action Items:</w:t>
      </w:r>
    </w:p>
    <w:p>
      <w:pPr>
        <w:pStyle w:val="ListBullet"/>
      </w:pPr>
      <w:r>
        <w:t>- Confirm Buy American/BABA compliance</w:t>
      </w:r>
    </w:p>
    <w:p>
      <w:pPr>
        <w:pStyle w:val="ListBullet"/>
      </w:pPr>
      <w:r>
        <w:t>- Investigate specific diversity/small-business involvement requirements if any</w:t>
      </w:r>
    </w:p>
    <w:p>
      <w:r>
        <w:br w:type="page"/>
      </w:r>
    </w:p>
    <w:p>
      <w:pPr>
        <w:pStyle w:val="Heading2"/>
      </w:pPr>
      <w:r>
        <w:t>🏆 Best Company Recommendation</w:t>
      </w:r>
    </w:p>
    <w:p>
      <w:r>
        <w:t>The best company for this RFP is: **SUNSPRINT**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