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7" w:lineRule="auto"/>
      </w:pPr>
      <w:r>
        <w:rPr>
          <w:rFonts w:ascii="Consolas" w:hAnsi="Consolas"/>
          <w:b/>
          <w:color w:val="087E75"/>
          <w:sz w:val="16"/>
        </w:rPr>
        <w:t>PRECKON  ·  TENANT PLANE  ·  3 SEPTEMBER 2026</w:t>
      </w:r>
    </w:p>
    <w:p>
      <w:pPr>
        <w:spacing w:before="0" w:after="200" w:line="247" w:lineRule="auto"/>
      </w:pPr>
      <w:r>
        <w:rPr>
          <w:rFonts w:ascii="Georgia" w:hAnsi="Georgia"/>
          <w:b/>
          <w:color w:val="172126"/>
          <w:sz w:val="50"/>
        </w:rPr>
        <w:t>Architecture reference</w:t>
      </w:r>
    </w:p>
    <w:p>
      <w:pPr>
        <w:spacing w:before="0" w:after="260" w:line="307" w:lineRule="auto"/>
      </w:pPr>
      <w:r>
        <w:rPr>
          <w:rFonts w:ascii="Georgia" w:hAnsi="Georgia"/>
          <w:b w:val="0"/>
          <w:color w:val="526068"/>
          <w:sz w:val="22"/>
        </w:rPr>
        <w:t>Three references in one document: every table grouped by concern, the complete AI technology stack with what is used and what is not, and the state of every branch across the four repositories. Read from the live database and the remotes.</w:t>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2016"/>
        <w:gridCol w:w="2016"/>
        <w:gridCol w:w="2016"/>
        <w:gridCol w:w="2016"/>
        <w:gridCol w:w="2016"/>
      </w:tblGrid>
      <w:tr>
        <w:tc>
          <w:tcPr>
            <w:tcW w:type="dxa" w:w="2016"/>
            <w:shd w:val="clear" w:fill="F0F3F4"/>
          </w:tcPr>
          <w:p>
            <w:pPr>
              <w:jc w:val="center"/>
            </w:pPr>
            <w:r/>
            <w:r>
              <w:rPr>
                <w:rFonts w:ascii="Calibri" w:hAnsi="Calibri"/>
                <w:b/>
                <w:color w:val="667279"/>
                <w:sz w:val="13"/>
              </w:rPr>
              <w:t>TABLES</w:t>
              <w:br/>
            </w:r>
            <w:r>
              <w:rPr>
                <w:rFonts w:ascii="Consolas" w:hAnsi="Consolas"/>
                <w:color w:val="172126"/>
                <w:sz w:val="30"/>
              </w:rPr>
              <w:t>86</w:t>
            </w:r>
          </w:p>
        </w:tc>
        <w:tc>
          <w:tcPr>
            <w:tcW w:type="dxa" w:w="2016"/>
            <w:shd w:val="clear" w:fill="F0F3F4"/>
          </w:tcPr>
          <w:p>
            <w:pPr>
              <w:jc w:val="center"/>
            </w:pPr>
            <w:r/>
            <w:r>
              <w:rPr>
                <w:rFonts w:ascii="Calibri" w:hAnsi="Calibri"/>
                <w:b/>
                <w:color w:val="667279"/>
                <w:sz w:val="13"/>
              </w:rPr>
              <w:t>TENANT-SCOPED</w:t>
              <w:br/>
            </w:r>
            <w:r>
              <w:rPr>
                <w:rFonts w:ascii="Consolas" w:hAnsi="Consolas"/>
                <w:color w:val="172126"/>
                <w:sz w:val="30"/>
              </w:rPr>
              <w:t>71</w:t>
            </w:r>
          </w:p>
        </w:tc>
        <w:tc>
          <w:tcPr>
            <w:tcW w:type="dxa" w:w="2016"/>
            <w:shd w:val="clear" w:fill="F0F3F4"/>
          </w:tcPr>
          <w:p>
            <w:pPr>
              <w:jc w:val="center"/>
            </w:pPr>
            <w:r/>
            <w:r>
              <w:rPr>
                <w:rFonts w:ascii="Calibri" w:hAnsi="Calibri"/>
                <w:b/>
                <w:color w:val="667279"/>
                <w:sz w:val="13"/>
              </w:rPr>
              <w:t>FOREIGN KEYS</w:t>
              <w:br/>
            </w:r>
            <w:r>
              <w:rPr>
                <w:rFonts w:ascii="Consolas" w:hAnsi="Consolas"/>
                <w:color w:val="172126"/>
                <w:sz w:val="30"/>
              </w:rPr>
              <w:t>47</w:t>
            </w:r>
          </w:p>
        </w:tc>
        <w:tc>
          <w:tcPr>
            <w:tcW w:type="dxa" w:w="2016"/>
            <w:shd w:val="clear" w:fill="F0F3F4"/>
          </w:tcPr>
          <w:p>
            <w:pPr>
              <w:jc w:val="center"/>
            </w:pPr>
            <w:r/>
            <w:r>
              <w:rPr>
                <w:rFonts w:ascii="Calibri" w:hAnsi="Calibri"/>
                <w:b/>
                <w:color w:val="667279"/>
                <w:sz w:val="13"/>
              </w:rPr>
              <w:t>REPOSITORIES</w:t>
              <w:br/>
            </w:r>
            <w:r>
              <w:rPr>
                <w:rFonts w:ascii="Consolas" w:hAnsi="Consolas"/>
                <w:color w:val="172126"/>
                <w:sz w:val="30"/>
              </w:rPr>
              <w:t>4</w:t>
            </w:r>
          </w:p>
        </w:tc>
        <w:tc>
          <w:tcPr>
            <w:tcW w:type="dxa" w:w="2016"/>
            <w:shd w:val="clear" w:fill="F0F3F4"/>
          </w:tcPr>
          <w:p>
            <w:pPr>
              <w:jc w:val="center"/>
            </w:pPr>
            <w:r/>
            <w:r>
              <w:rPr>
                <w:rFonts w:ascii="Calibri" w:hAnsi="Calibri"/>
                <w:b/>
                <w:color w:val="667279"/>
                <w:sz w:val="13"/>
              </w:rPr>
              <w:t>BRANCHES</w:t>
              <w:br/>
            </w:r>
            <w:r>
              <w:rPr>
                <w:rFonts w:ascii="Consolas" w:hAnsi="Consolas"/>
                <w:color w:val="172126"/>
                <w:sz w:val="30"/>
              </w:rPr>
              <w:t>9</w:t>
            </w:r>
          </w:p>
        </w:tc>
      </w:tr>
    </w:tbl>
    <w:p>
      <w:pPr>
        <w:spacing w:after="160"/>
      </w:pPr>
    </w:p>
    <w:p>
      <w:pPr>
        <w:spacing w:before="0" w:after="60" w:line="307" w:lineRule="auto"/>
      </w:pPr>
      <w:r>
        <w:rPr>
          <w:rFonts w:ascii="Consolas" w:hAnsi="Consolas"/>
          <w:b/>
          <w:color w:val="087E75"/>
          <w:sz w:val="15"/>
        </w:rPr>
        <w:t>PART 1</w:t>
      </w:r>
    </w:p>
    <w:p>
      <w:pPr>
        <w:spacing w:before="0" w:after="160" w:line="252" w:lineRule="auto"/>
      </w:pPr>
      <w:r>
        <w:rPr>
          <w:rFonts w:ascii="Georgia" w:hAnsi="Georgia"/>
          <w:b/>
          <w:color w:val="172126"/>
          <w:sz w:val="38"/>
        </w:rPr>
        <w:t>The schema</w:t>
      </w:r>
    </w:p>
    <w:p>
      <w:pPr>
        <w:spacing w:before="0" w:after="200" w:line="307" w:lineRule="auto"/>
      </w:pPr>
      <w:r>
        <w:rPr>
          <w:rFonts w:ascii="Georgia" w:hAnsi="Georgia"/>
          <w:b w:val="0"/>
          <w:color w:val="526068"/>
          <w:sz w:val="21"/>
        </w:rPr>
        <w:t>86 tables in the live database; 83 in schema.sql and three more added by migration. 71 carry a tenant_id. 47 foreign keys.</w:t>
      </w:r>
    </w:p>
    <w:p>
      <w:pPr>
        <w:spacing w:before="260" w:after="80" w:line="307" w:lineRule="auto"/>
      </w:pPr>
      <w:r>
        <w:rPr>
          <w:rFonts w:ascii="Calibri" w:hAnsi="Calibri"/>
          <w:b/>
          <w:color w:val="172126"/>
          <w:sz w:val="22"/>
        </w:rPr>
        <w:t>1.1  Identity and tenancy — 16 tables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2880"/>
            <w:shd w:val="clear" w:fill="F0F3F4"/>
          </w:tcPr>
          <w:p>
            <w:r/>
            <w:r>
              <w:rPr>
                <w:rFonts w:ascii="Calibri" w:hAnsi="Calibri"/>
                <w:b/>
                <w:color w:val="667279"/>
                <w:sz w:val="13"/>
              </w:rPr>
              <w:t>TABLE</w:t>
            </w:r>
          </w:p>
        </w:tc>
        <w:tc>
          <w:tcPr>
            <w:tcW w:type="dxa" w:w="7056"/>
            <w:shd w:val="clear" w:fill="F0F3F4"/>
          </w:tcPr>
          <w:p>
            <w:r/>
            <w:r>
              <w:rPr>
                <w:rFonts w:ascii="Calibri" w:hAnsi="Calibri"/>
                <w:b/>
                <w:color w:val="667279"/>
                <w:sz w:val="13"/>
              </w:rPr>
              <w:t>PURPOSE</w:t>
            </w:r>
          </w:p>
        </w:tc>
      </w:tr>
      <w:tr>
        <w:tc>
          <w:tcPr>
            <w:tcW w:type="dxa" w:w="2880"/>
          </w:tcPr>
          <w:p>
            <w:pPr>
              <w:spacing w:line="278" w:lineRule="auto" w:after="0"/>
            </w:pPr>
            <w:r/>
            <w:r>
              <w:rPr>
                <w:rFonts w:ascii="Consolas" w:hAnsi="Consolas"/>
                <w:b/>
                <w:color w:val="172126"/>
                <w:sz w:val="15"/>
              </w:rPr>
              <w:t>domain</w:t>
            </w:r>
          </w:p>
        </w:tc>
        <w:tc>
          <w:tcPr>
            <w:tcW w:type="dxa" w:w="7056"/>
          </w:tcPr>
          <w:p>
            <w:pPr>
              <w:spacing w:line="278" w:lineRule="auto" w:after="0"/>
            </w:pPr>
            <w:r/>
            <w:r>
              <w:rPr>
                <w:rFonts w:ascii="Calibri" w:hAnsi="Calibri"/>
                <w:b w:val="0"/>
                <w:color w:val="526068"/>
                <w:sz w:val="15"/>
              </w:rPr>
              <w:t>Vertical pack definition (construction, underwriting)</w:t>
            </w:r>
          </w:p>
        </w:tc>
      </w:tr>
      <w:tr>
        <w:tc>
          <w:tcPr>
            <w:tcW w:type="dxa" w:w="2880"/>
          </w:tcPr>
          <w:p>
            <w:pPr>
              <w:spacing w:line="278" w:lineRule="auto" w:after="0"/>
            </w:pPr>
            <w:r/>
            <w:r>
              <w:rPr>
                <w:rFonts w:ascii="Consolas" w:hAnsi="Consolas"/>
                <w:b/>
                <w:color w:val="172126"/>
                <w:sz w:val="15"/>
              </w:rPr>
              <w:t>tenant_domain</w:t>
            </w:r>
          </w:p>
        </w:tc>
        <w:tc>
          <w:tcPr>
            <w:tcW w:type="dxa" w:w="7056"/>
          </w:tcPr>
          <w:p>
            <w:pPr>
              <w:spacing w:line="278" w:lineRule="auto" w:after="0"/>
            </w:pPr>
            <w:r/>
            <w:r>
              <w:rPr>
                <w:rFonts w:ascii="Calibri" w:hAnsi="Calibri"/>
                <w:b w:val="0"/>
                <w:color w:val="526068"/>
                <w:sz w:val="15"/>
              </w:rPr>
              <w:t>Which packs a tenant is licensed for</w:t>
            </w:r>
          </w:p>
        </w:tc>
      </w:tr>
      <w:tr>
        <w:tc>
          <w:tcPr>
            <w:tcW w:type="dxa" w:w="2880"/>
          </w:tcPr>
          <w:p>
            <w:pPr>
              <w:spacing w:line="278" w:lineRule="auto" w:after="0"/>
            </w:pPr>
            <w:r/>
            <w:r>
              <w:rPr>
                <w:rFonts w:ascii="Consolas" w:hAnsi="Consolas"/>
                <w:b/>
                <w:color w:val="172126"/>
                <w:sz w:val="15"/>
              </w:rPr>
              <w:t>tenant_bootstrap</w:t>
            </w:r>
          </w:p>
        </w:tc>
        <w:tc>
          <w:tcPr>
            <w:tcW w:type="dxa" w:w="7056"/>
          </w:tcPr>
          <w:p>
            <w:pPr>
              <w:spacing w:line="278" w:lineRule="auto" w:after="0"/>
            </w:pPr>
            <w:r/>
            <w:r>
              <w:rPr>
                <w:rFonts w:ascii="Calibri" w:hAnsi="Calibri"/>
                <w:b w:val="0"/>
                <w:color w:val="526068"/>
                <w:sz w:val="15"/>
              </w:rPr>
              <w:t>One-time provisioning record</w:t>
            </w:r>
          </w:p>
        </w:tc>
      </w:tr>
      <w:tr>
        <w:tc>
          <w:tcPr>
            <w:tcW w:type="dxa" w:w="2880"/>
          </w:tcPr>
          <w:p>
            <w:pPr>
              <w:spacing w:line="278" w:lineRule="auto" w:after="0"/>
            </w:pPr>
            <w:r/>
            <w:r>
              <w:rPr>
                <w:rFonts w:ascii="Consolas" w:hAnsi="Consolas"/>
                <w:b/>
                <w:color w:val="172126"/>
                <w:sz w:val="15"/>
              </w:rPr>
              <w:t>tenant_setting</w:t>
            </w:r>
          </w:p>
        </w:tc>
        <w:tc>
          <w:tcPr>
            <w:tcW w:type="dxa" w:w="7056"/>
          </w:tcPr>
          <w:p>
            <w:pPr>
              <w:spacing w:line="278" w:lineRule="auto" w:after="0"/>
            </w:pPr>
            <w:r/>
            <w:r>
              <w:rPr>
                <w:rFonts w:ascii="Calibri" w:hAnsi="Calibri"/>
                <w:b w:val="0"/>
                <w:color w:val="526068"/>
                <w:sz w:val="15"/>
              </w:rPr>
              <w:t>Per-tenant configuration, incl. auto-accept threshold</w:t>
            </w:r>
          </w:p>
        </w:tc>
      </w:tr>
      <w:tr>
        <w:tc>
          <w:tcPr>
            <w:tcW w:type="dxa" w:w="2880"/>
          </w:tcPr>
          <w:p>
            <w:pPr>
              <w:spacing w:line="278" w:lineRule="auto" w:after="0"/>
            </w:pPr>
            <w:r/>
            <w:r>
              <w:rPr>
                <w:rFonts w:ascii="Consolas" w:hAnsi="Consolas"/>
                <w:b/>
                <w:color w:val="172126"/>
                <w:sz w:val="15"/>
              </w:rPr>
              <w:t>app_user</w:t>
            </w:r>
          </w:p>
        </w:tc>
        <w:tc>
          <w:tcPr>
            <w:tcW w:type="dxa" w:w="7056"/>
          </w:tcPr>
          <w:p>
            <w:pPr>
              <w:spacing w:line="278" w:lineRule="auto" w:after="0"/>
            </w:pPr>
            <w:r/>
            <w:r>
              <w:rPr>
                <w:rFonts w:ascii="Calibri" w:hAnsi="Calibri"/>
                <w:b w:val="0"/>
                <w:color w:val="526068"/>
                <w:sz w:val="15"/>
              </w:rPr>
              <w:t>A person in a tenant. Links to the auth user by id</w:t>
            </w:r>
          </w:p>
        </w:tc>
      </w:tr>
      <w:tr>
        <w:tc>
          <w:tcPr>
            <w:tcW w:type="dxa" w:w="2880"/>
          </w:tcPr>
          <w:p>
            <w:pPr>
              <w:spacing w:line="278" w:lineRule="auto" w:after="0"/>
            </w:pPr>
            <w:r/>
            <w:r>
              <w:rPr>
                <w:rFonts w:ascii="Consolas" w:hAnsi="Consolas"/>
                <w:b/>
                <w:color w:val="172126"/>
                <w:sz w:val="15"/>
              </w:rPr>
              <w:t>tenant_role</w:t>
            </w:r>
          </w:p>
        </w:tc>
        <w:tc>
          <w:tcPr>
            <w:tcW w:type="dxa" w:w="7056"/>
          </w:tcPr>
          <w:p>
            <w:pPr>
              <w:spacing w:line="278" w:lineRule="auto" w:after="0"/>
            </w:pPr>
            <w:r/>
            <w:r>
              <w:rPr>
                <w:rFonts w:ascii="Calibri" w:hAnsi="Calibri"/>
                <w:b w:val="0"/>
                <w:color w:val="526068"/>
                <w:sz w:val="15"/>
              </w:rPr>
              <w:t>Six system roles plus any the customer creates</w:t>
            </w:r>
          </w:p>
        </w:tc>
      </w:tr>
      <w:tr>
        <w:tc>
          <w:tcPr>
            <w:tcW w:type="dxa" w:w="2880"/>
          </w:tcPr>
          <w:p>
            <w:pPr>
              <w:spacing w:line="278" w:lineRule="auto" w:after="0"/>
            </w:pPr>
            <w:r/>
            <w:r>
              <w:rPr>
                <w:rFonts w:ascii="Consolas" w:hAnsi="Consolas"/>
                <w:b/>
                <w:color w:val="172126"/>
                <w:sz w:val="15"/>
              </w:rPr>
              <w:t>tenant_permission</w:t>
            </w:r>
          </w:p>
        </w:tc>
        <w:tc>
          <w:tcPr>
            <w:tcW w:type="dxa" w:w="7056"/>
          </w:tcPr>
          <w:p>
            <w:pPr>
              <w:spacing w:line="278" w:lineRule="auto" w:after="0"/>
            </w:pPr>
            <w:r/>
            <w:r>
              <w:rPr>
                <w:rFonts w:ascii="Calibri" w:hAnsi="Calibri"/>
                <w:b w:val="0"/>
                <w:color w:val="526068"/>
                <w:sz w:val="15"/>
              </w:rPr>
              <w:t>The 19-permission catalogue. Global, not tenant-scoped</w:t>
            </w:r>
          </w:p>
        </w:tc>
      </w:tr>
      <w:tr>
        <w:tc>
          <w:tcPr>
            <w:tcW w:type="dxa" w:w="2880"/>
          </w:tcPr>
          <w:p>
            <w:pPr>
              <w:spacing w:line="278" w:lineRule="auto" w:after="0"/>
            </w:pPr>
            <w:r/>
            <w:r>
              <w:rPr>
                <w:rFonts w:ascii="Consolas" w:hAnsi="Consolas"/>
                <w:b/>
                <w:color w:val="172126"/>
                <w:sz w:val="15"/>
              </w:rPr>
              <w:t>tenant_role_permission</w:t>
            </w:r>
          </w:p>
        </w:tc>
        <w:tc>
          <w:tcPr>
            <w:tcW w:type="dxa" w:w="7056"/>
          </w:tcPr>
          <w:p>
            <w:pPr>
              <w:spacing w:line="278" w:lineRule="auto" w:after="0"/>
            </w:pPr>
            <w:r/>
            <w:r>
              <w:rPr>
                <w:rFonts w:ascii="Calibri" w:hAnsi="Calibri"/>
                <w:b w:val="0"/>
                <w:color w:val="526068"/>
                <w:sz w:val="15"/>
              </w:rPr>
              <w:t>Which permissions a role grants</w:t>
            </w:r>
          </w:p>
        </w:tc>
      </w:tr>
      <w:tr>
        <w:tc>
          <w:tcPr>
            <w:tcW w:type="dxa" w:w="2880"/>
          </w:tcPr>
          <w:p>
            <w:pPr>
              <w:spacing w:line="278" w:lineRule="auto" w:after="0"/>
            </w:pPr>
            <w:r/>
            <w:r>
              <w:rPr>
                <w:rFonts w:ascii="Consolas" w:hAnsi="Consolas"/>
                <w:b/>
                <w:color w:val="172126"/>
                <w:sz w:val="15"/>
              </w:rPr>
              <w:t>user_role</w:t>
            </w:r>
          </w:p>
        </w:tc>
        <w:tc>
          <w:tcPr>
            <w:tcW w:type="dxa" w:w="7056"/>
          </w:tcPr>
          <w:p>
            <w:pPr>
              <w:spacing w:line="278" w:lineRule="auto" w:after="0"/>
            </w:pPr>
            <w:r/>
            <w:r>
              <w:rPr>
                <w:rFonts w:ascii="Calibri" w:hAnsi="Calibri"/>
                <w:b w:val="0"/>
                <w:color w:val="526068"/>
                <w:sz w:val="15"/>
              </w:rPr>
              <w:t>Which roles a user holds</w:t>
            </w:r>
          </w:p>
        </w:tc>
      </w:tr>
      <w:tr>
        <w:tc>
          <w:tcPr>
            <w:tcW w:type="dxa" w:w="2880"/>
          </w:tcPr>
          <w:p>
            <w:pPr>
              <w:spacing w:line="278" w:lineRule="auto" w:after="0"/>
            </w:pPr>
            <w:r/>
            <w:r>
              <w:rPr>
                <w:rFonts w:ascii="Consolas" w:hAnsi="Consolas"/>
                <w:b/>
                <w:color w:val="172126"/>
                <w:sz w:val="15"/>
              </w:rPr>
              <w:t>tenant_invite</w:t>
            </w:r>
          </w:p>
        </w:tc>
        <w:tc>
          <w:tcPr>
            <w:tcW w:type="dxa" w:w="7056"/>
          </w:tcPr>
          <w:p>
            <w:pPr>
              <w:spacing w:line="278" w:lineRule="auto" w:after="0"/>
            </w:pPr>
            <w:r/>
            <w:r>
              <w:rPr>
                <w:rFonts w:ascii="Calibri" w:hAnsi="Calibri"/>
                <w:b w:val="0"/>
                <w:color w:val="526068"/>
                <w:sz w:val="15"/>
              </w:rPr>
              <w:t>Outstanding invitations</w:t>
            </w:r>
          </w:p>
        </w:tc>
      </w:tr>
      <w:tr>
        <w:tc>
          <w:tcPr>
            <w:tcW w:type="dxa" w:w="2880"/>
          </w:tcPr>
          <w:p>
            <w:pPr>
              <w:spacing w:line="278" w:lineRule="auto" w:after="0"/>
            </w:pPr>
            <w:r/>
            <w:r>
              <w:rPr>
                <w:rFonts w:ascii="Consolas" w:hAnsi="Consolas"/>
                <w:b/>
                <w:color w:val="172126"/>
                <w:sz w:val="15"/>
              </w:rPr>
              <w:t>tenant_scim_token</w:t>
            </w:r>
          </w:p>
        </w:tc>
        <w:tc>
          <w:tcPr>
            <w:tcW w:type="dxa" w:w="7056"/>
          </w:tcPr>
          <w:p>
            <w:pPr>
              <w:spacing w:line="278" w:lineRule="auto" w:after="0"/>
            </w:pPr>
            <w:r/>
            <w:r>
              <w:rPr>
                <w:rFonts w:ascii="Calibri" w:hAnsi="Calibri"/>
                <w:b w:val="0"/>
                <w:color w:val="526068"/>
                <w:sz w:val="15"/>
              </w:rPr>
              <w:t>SCIM provisioning credential</w:t>
            </w:r>
          </w:p>
        </w:tc>
      </w:tr>
      <w:tr>
        <w:tc>
          <w:tcPr>
            <w:tcW w:type="dxa" w:w="2880"/>
          </w:tcPr>
          <w:p>
            <w:pPr>
              <w:spacing w:line="278" w:lineRule="auto" w:after="0"/>
            </w:pPr>
            <w:r/>
            <w:r>
              <w:rPr>
                <w:rFonts w:ascii="Consolas" w:hAnsi="Consolas"/>
                <w:b/>
                <w:color w:val="172126"/>
                <w:sz w:val="15"/>
              </w:rPr>
              <w:t>user · account · session · verification · twoFactor</w:t>
            </w:r>
          </w:p>
        </w:tc>
        <w:tc>
          <w:tcPr>
            <w:tcW w:type="dxa" w:w="7056"/>
          </w:tcPr>
          <w:p>
            <w:pPr>
              <w:spacing w:line="278" w:lineRule="auto" w:after="0"/>
            </w:pPr>
            <w:r/>
            <w:r>
              <w:rPr>
                <w:rFonts w:ascii="Calibri" w:hAnsi="Calibri"/>
                <w:b w:val="0"/>
                <w:color w:val="526068"/>
                <w:sz w:val="15"/>
              </w:rPr>
              <w:t>Better Auth's own tables. Tenant membership lives in app_user, not here</w:t>
            </w:r>
          </w:p>
        </w:tc>
      </w:tr>
    </w:tbl>
    <w:p>
      <w:pPr>
        <w:spacing w:after="60"/>
      </w:pPr>
    </w:p>
    <w:p>
      <w:pPr>
        <w:spacing w:before="260" w:after="80" w:line="307" w:lineRule="auto"/>
      </w:pPr>
      <w:r>
        <w:rPr>
          <w:rFonts w:ascii="Calibri" w:hAnsi="Calibri"/>
          <w:b/>
          <w:color w:val="172126"/>
          <w:sz w:val="22"/>
        </w:rPr>
        <w:t>1.2  Project and the artifact spine — 8 tables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448"/>
            <w:shd w:val="clear" w:fill="F0F3F4"/>
          </w:tcPr>
          <w:p>
            <w:r/>
            <w:r>
              <w:rPr>
                <w:rFonts w:ascii="Calibri" w:hAnsi="Calibri"/>
                <w:b/>
                <w:color w:val="667279"/>
                <w:sz w:val="13"/>
              </w:rPr>
              <w:t>TABLE</w:t>
            </w:r>
          </w:p>
        </w:tc>
        <w:tc>
          <w:tcPr>
            <w:tcW w:type="dxa" w:w="576"/>
            <w:shd w:val="clear" w:fill="F0F3F4"/>
          </w:tcPr>
          <w:p>
            <w:r/>
            <w:r>
              <w:rPr>
                <w:rFonts w:ascii="Calibri" w:hAnsi="Calibri"/>
                <w:b/>
                <w:color w:val="667279"/>
                <w:sz w:val="13"/>
              </w:rPr>
              <w:t>COLS</w:t>
            </w:r>
          </w:p>
        </w:tc>
        <w:tc>
          <w:tcPr>
            <w:tcW w:type="dxa" w:w="6912"/>
            <w:shd w:val="clear" w:fill="F0F3F4"/>
          </w:tcPr>
          <w:p>
            <w:r/>
            <w:r>
              <w:rPr>
                <w:rFonts w:ascii="Calibri" w:hAnsi="Calibri"/>
                <w:b/>
                <w:color w:val="667279"/>
                <w:sz w:val="13"/>
              </w:rPr>
              <w:t>PURPOSE</w:t>
            </w:r>
          </w:p>
        </w:tc>
      </w:tr>
      <w:tr>
        <w:tc>
          <w:tcPr>
            <w:tcW w:type="dxa" w:w="2448"/>
          </w:tcPr>
          <w:p>
            <w:pPr>
              <w:spacing w:line="278" w:lineRule="auto" w:after="0"/>
            </w:pPr>
            <w:r/>
            <w:r>
              <w:rPr>
                <w:rFonts w:ascii="Consolas" w:hAnsi="Consolas"/>
                <w:b/>
                <w:color w:val="172126"/>
                <w:sz w:val="15"/>
              </w:rPr>
              <w:t>project</w:t>
            </w:r>
          </w:p>
        </w:tc>
        <w:tc>
          <w:tcPr>
            <w:tcW w:type="dxa" w:w="576"/>
          </w:tcPr>
          <w:p>
            <w:pPr>
              <w:spacing w:line="278" w:lineRule="auto" w:after="0"/>
            </w:pPr>
            <w:r/>
            <w:r>
              <w:rPr>
                <w:rFonts w:ascii="Consolas" w:hAnsi="Consolas"/>
                <w:b w:val="0"/>
                <w:color w:val="526068"/>
                <w:sz w:val="15"/>
              </w:rPr>
              <w:t>18</w:t>
            </w:r>
          </w:p>
        </w:tc>
        <w:tc>
          <w:tcPr>
            <w:tcW w:type="dxa" w:w="6912"/>
          </w:tcPr>
          <w:p>
            <w:pPr>
              <w:spacing w:line="278" w:lineRule="auto" w:after="0"/>
            </w:pPr>
            <w:r/>
            <w:r>
              <w:rPr>
                <w:rFonts w:ascii="Calibri" w:hAnsi="Calibri"/>
                <w:b w:val="0"/>
                <w:color w:val="526068"/>
                <w:sz w:val="15"/>
              </w:rPr>
              <w:t>The unit of work. Lifecycle state, client, code, currency</w:t>
            </w:r>
          </w:p>
        </w:tc>
      </w:tr>
      <w:tr>
        <w:tc>
          <w:tcPr>
            <w:tcW w:type="dxa" w:w="2448"/>
          </w:tcPr>
          <w:p>
            <w:pPr>
              <w:spacing w:line="278" w:lineRule="auto" w:after="0"/>
            </w:pPr>
            <w:r/>
            <w:r>
              <w:rPr>
                <w:rFonts w:ascii="Consolas" w:hAnsi="Consolas"/>
                <w:b/>
                <w:color w:val="172126"/>
                <w:sz w:val="15"/>
              </w:rPr>
              <w:t>project_member</w:t>
            </w:r>
          </w:p>
        </w:tc>
        <w:tc>
          <w:tcPr>
            <w:tcW w:type="dxa" w:w="576"/>
          </w:tcPr>
          <w:p>
            <w:pPr>
              <w:spacing w:line="278" w:lineRule="auto" w:after="0"/>
            </w:pPr>
            <w:r/>
            <w:r>
              <w:rPr>
                <w:rFonts w:ascii="Consolas" w:hAnsi="Consolas"/>
                <w:b w:val="0"/>
                <w:color w:val="526068"/>
                <w:sz w:val="15"/>
              </w:rPr>
              <w:t>5</w:t>
            </w:r>
          </w:p>
        </w:tc>
        <w:tc>
          <w:tcPr>
            <w:tcW w:type="dxa" w:w="6912"/>
          </w:tcPr>
          <w:p>
            <w:pPr>
              <w:spacing w:line="278" w:lineRule="auto" w:after="0"/>
            </w:pPr>
            <w:r/>
            <w:r>
              <w:rPr>
                <w:rFonts w:ascii="Calibri" w:hAnsi="Calibri"/>
                <w:b w:val="0"/>
                <w:color w:val="526068"/>
                <w:sz w:val="15"/>
              </w:rPr>
              <w:t>Who is on it</w:t>
            </w:r>
          </w:p>
        </w:tc>
      </w:tr>
      <w:tr>
        <w:tc>
          <w:tcPr>
            <w:tcW w:type="dxa" w:w="2448"/>
          </w:tcPr>
          <w:p>
            <w:pPr>
              <w:spacing w:line="278" w:lineRule="auto" w:after="0"/>
            </w:pPr>
            <w:r/>
            <w:r>
              <w:rPr>
                <w:rFonts w:ascii="Consolas" w:hAnsi="Consolas"/>
                <w:b/>
                <w:color w:val="172126"/>
                <w:sz w:val="15"/>
              </w:rPr>
              <w:t>artifact</w:t>
            </w:r>
          </w:p>
        </w:tc>
        <w:tc>
          <w:tcPr>
            <w:tcW w:type="dxa" w:w="576"/>
          </w:tcPr>
          <w:p>
            <w:pPr>
              <w:spacing w:line="278" w:lineRule="auto" w:after="0"/>
            </w:pPr>
            <w:r/>
            <w:r>
              <w:rPr>
                <w:rFonts w:ascii="Consolas" w:hAnsi="Consolas"/>
                <w:b w:val="0"/>
                <w:color w:val="526068"/>
                <w:sz w:val="15"/>
              </w:rPr>
              <w:t>18</w:t>
            </w:r>
          </w:p>
        </w:tc>
        <w:tc>
          <w:tcPr>
            <w:tcW w:type="dxa" w:w="6912"/>
          </w:tcPr>
          <w:p>
            <w:pPr>
              <w:spacing w:line="278" w:lineRule="auto" w:after="0"/>
            </w:pPr>
            <w:r/>
            <w:r>
              <w:rPr>
                <w:rFonts w:ascii="Calibri" w:hAnsi="Calibri"/>
                <w:b w:val="0"/>
                <w:color w:val="526068"/>
                <w:sz w:val="15"/>
              </w:rPr>
              <w:t>THE core object. 17 types, one lifecycle, one review interaction</w:t>
            </w:r>
          </w:p>
        </w:tc>
      </w:tr>
      <w:tr>
        <w:tc>
          <w:tcPr>
            <w:tcW w:type="dxa" w:w="2448"/>
          </w:tcPr>
          <w:p>
            <w:pPr>
              <w:spacing w:line="278" w:lineRule="auto" w:after="0"/>
            </w:pPr>
            <w:r/>
            <w:r>
              <w:rPr>
                <w:rFonts w:ascii="Consolas" w:hAnsi="Consolas"/>
                <w:b/>
                <w:color w:val="172126"/>
                <w:sz w:val="15"/>
              </w:rPr>
              <w:t>artifact_type</w:t>
            </w:r>
          </w:p>
        </w:tc>
        <w:tc>
          <w:tcPr>
            <w:tcW w:type="dxa" w:w="576"/>
          </w:tcPr>
          <w:p>
            <w:pPr>
              <w:spacing w:line="278" w:lineRule="auto" w:after="0"/>
            </w:pPr>
            <w:r/>
            <w:r>
              <w:rPr>
                <w:rFonts w:ascii="Consolas" w:hAnsi="Consolas"/>
                <w:b w:val="0"/>
                <w:color w:val="526068"/>
                <w:sz w:val="15"/>
              </w:rPr>
              <w:t>5</w:t>
            </w:r>
          </w:p>
        </w:tc>
        <w:tc>
          <w:tcPr>
            <w:tcW w:type="dxa" w:w="6912"/>
          </w:tcPr>
          <w:p>
            <w:pPr>
              <w:spacing w:line="278" w:lineRule="auto" w:after="0"/>
            </w:pPr>
            <w:r/>
            <w:r>
              <w:rPr>
                <w:rFonts w:ascii="Calibri" w:hAnsi="Calibri"/>
                <w:b w:val="0"/>
                <w:color w:val="526068"/>
                <w:sz w:val="15"/>
              </w:rPr>
              <w:t>The type catalogue with payload schemas</w:t>
            </w:r>
          </w:p>
        </w:tc>
      </w:tr>
      <w:tr>
        <w:tc>
          <w:tcPr>
            <w:tcW w:type="dxa" w:w="2448"/>
          </w:tcPr>
          <w:p>
            <w:pPr>
              <w:spacing w:line="278" w:lineRule="auto" w:after="0"/>
            </w:pPr>
            <w:r/>
            <w:r>
              <w:rPr>
                <w:rFonts w:ascii="Consolas" w:hAnsi="Consolas"/>
                <w:b/>
                <w:color w:val="172126"/>
                <w:sz w:val="15"/>
              </w:rPr>
              <w:t>artifact_provenance</w:t>
            </w:r>
          </w:p>
        </w:tc>
        <w:tc>
          <w:tcPr>
            <w:tcW w:type="dxa" w:w="576"/>
          </w:tcPr>
          <w:p>
            <w:pPr>
              <w:spacing w:line="278" w:lineRule="auto" w:after="0"/>
            </w:pPr>
            <w:r/>
            <w:r>
              <w:rPr>
                <w:rFonts w:ascii="Consolas" w:hAnsi="Consolas"/>
                <w:b w:val="0"/>
                <w:color w:val="526068"/>
                <w:sz w:val="15"/>
              </w:rPr>
              <w:t>5</w:t>
            </w:r>
          </w:p>
        </w:tc>
        <w:tc>
          <w:tcPr>
            <w:tcW w:type="dxa" w:w="6912"/>
          </w:tcPr>
          <w:p>
            <w:pPr>
              <w:spacing w:line="278" w:lineRule="auto" w:after="0"/>
            </w:pPr>
            <w:r/>
            <w:r>
              <w:rPr>
                <w:rFonts w:ascii="Calibri" w:hAnsi="Calibri"/>
                <w:b w:val="0"/>
                <w:color w:val="526068"/>
                <w:sz w:val="15"/>
              </w:rPr>
              <w:t>Which artifacts this one was derived from — the stale cascade walks it</w:t>
            </w:r>
          </w:p>
        </w:tc>
      </w:tr>
      <w:tr>
        <w:tc>
          <w:tcPr>
            <w:tcW w:type="dxa" w:w="2448"/>
          </w:tcPr>
          <w:p>
            <w:pPr>
              <w:spacing w:line="278" w:lineRule="auto" w:after="0"/>
            </w:pPr>
            <w:r/>
            <w:r>
              <w:rPr>
                <w:rFonts w:ascii="Consolas" w:hAnsi="Consolas"/>
                <w:b/>
                <w:color w:val="172126"/>
                <w:sz w:val="15"/>
              </w:rPr>
              <w:t>audit_event</w:t>
            </w:r>
          </w:p>
        </w:tc>
        <w:tc>
          <w:tcPr>
            <w:tcW w:type="dxa" w:w="576"/>
          </w:tcPr>
          <w:p>
            <w:pPr>
              <w:spacing w:line="278" w:lineRule="auto" w:after="0"/>
            </w:pPr>
            <w:r/>
            <w:r>
              <w:rPr>
                <w:rFonts w:ascii="Consolas" w:hAnsi="Consolas"/>
                <w:b w:val="0"/>
                <w:color w:val="526068"/>
                <w:sz w:val="15"/>
              </w:rPr>
              <w:t>13</w:t>
            </w:r>
          </w:p>
        </w:tc>
        <w:tc>
          <w:tcPr>
            <w:tcW w:type="dxa" w:w="6912"/>
          </w:tcPr>
          <w:p>
            <w:pPr>
              <w:spacing w:line="278" w:lineRule="auto" w:after="0"/>
            </w:pPr>
            <w:r/>
            <w:r>
              <w:rPr>
                <w:rFonts w:ascii="Calibri" w:hAnsi="Calibri"/>
                <w:b w:val="0"/>
                <w:color w:val="526068"/>
                <w:sz w:val="15"/>
              </w:rPr>
              <w:t>Every transition, append-only</w:t>
            </w:r>
          </w:p>
        </w:tc>
      </w:tr>
      <w:tr>
        <w:tc>
          <w:tcPr>
            <w:tcW w:type="dxa" w:w="2448"/>
          </w:tcPr>
          <w:p>
            <w:pPr>
              <w:spacing w:line="278" w:lineRule="auto" w:after="0"/>
            </w:pPr>
            <w:r/>
            <w:r>
              <w:rPr>
                <w:rFonts w:ascii="Consolas" w:hAnsi="Consolas"/>
                <w:b/>
                <w:color w:val="172126"/>
                <w:sz w:val="15"/>
              </w:rPr>
              <w:t>audit_chain</w:t>
            </w:r>
          </w:p>
        </w:tc>
        <w:tc>
          <w:tcPr>
            <w:tcW w:type="dxa" w:w="576"/>
          </w:tcPr>
          <w:p>
            <w:pPr>
              <w:spacing w:line="278" w:lineRule="auto" w:after="0"/>
            </w:pPr>
            <w:r/>
            <w:r>
              <w:rPr>
                <w:rFonts w:ascii="Consolas" w:hAnsi="Consolas"/>
                <w:b w:val="0"/>
                <w:color w:val="526068"/>
                <w:sz w:val="15"/>
              </w:rPr>
              <w:t>3</w:t>
            </w:r>
          </w:p>
        </w:tc>
        <w:tc>
          <w:tcPr>
            <w:tcW w:type="dxa" w:w="6912"/>
          </w:tcPr>
          <w:p>
            <w:pPr>
              <w:spacing w:line="278" w:lineRule="auto" w:after="0"/>
            </w:pPr>
            <w:r/>
            <w:r>
              <w:rPr>
                <w:rFonts w:ascii="Calibri" w:hAnsi="Calibri"/>
                <w:b w:val="0"/>
                <w:color w:val="526068"/>
                <w:sz w:val="15"/>
              </w:rPr>
              <w:t>last_seq and last_hash: what makes the log tamper-evident</w:t>
            </w:r>
          </w:p>
        </w:tc>
      </w:tr>
      <w:tr>
        <w:tc>
          <w:tcPr>
            <w:tcW w:type="dxa" w:w="2448"/>
          </w:tcPr>
          <w:p>
            <w:pPr>
              <w:spacing w:line="278" w:lineRule="auto" w:after="0"/>
            </w:pPr>
            <w:r/>
            <w:r>
              <w:rPr>
                <w:rFonts w:ascii="Consolas" w:hAnsi="Consolas"/>
                <w:b/>
                <w:color w:val="172126"/>
                <w:sz w:val="15"/>
              </w:rPr>
              <w:t>decision_outcome</w:t>
            </w:r>
          </w:p>
        </w:tc>
        <w:tc>
          <w:tcPr>
            <w:tcW w:type="dxa" w:w="576"/>
          </w:tcPr>
          <w:p>
            <w:pPr>
              <w:spacing w:line="278" w:lineRule="auto" w:after="0"/>
            </w:pPr>
            <w:r/>
            <w:r>
              <w:rPr>
                <w:rFonts w:ascii="Consolas" w:hAnsi="Consolas"/>
                <w:b w:val="0"/>
                <w:color w:val="526068"/>
                <w:sz w:val="15"/>
              </w:rPr>
              <w:t>11</w:t>
            </w:r>
          </w:p>
        </w:tc>
        <w:tc>
          <w:tcPr>
            <w:tcW w:type="dxa" w:w="6912"/>
          </w:tcPr>
          <w:p>
            <w:pPr>
              <w:spacing w:line="278" w:lineRule="auto" w:after="0"/>
            </w:pPr>
            <w:r/>
            <w:r>
              <w:rPr>
                <w:rFonts w:ascii="Calibri" w:hAnsi="Calibri"/>
                <w:b w:val="0"/>
                <w:color w:val="526068"/>
                <w:sz w:val="15"/>
              </w:rPr>
              <w:t>What a human decided, and why</w:t>
            </w:r>
          </w:p>
        </w:tc>
      </w:tr>
    </w:tbl>
    <w:p>
      <w:pPr>
        <w:spacing w:after="60"/>
      </w:pP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10080"/>
      </w:tblGrid>
      <w:tr>
        <w:tc>
          <w:tcPr>
            <w:tcW w:type="dxa" w:w="10080"/>
            <w:shd w:val="clear" w:fill="E6F3F1"/>
          </w:tcPr>
          <w:p>
            <w:r/>
            <w:r>
              <w:rPr>
                <w:rFonts w:ascii="Calibri" w:hAnsi="Calibri"/>
                <w:b/>
                <w:color w:val="087E75"/>
                <w:sz w:val="14"/>
              </w:rPr>
              <w:t>THE ONE TABLE TO UNDERSTAND FIRST</w:t>
            </w:r>
          </w:p>
          <w:p>
            <w:pPr>
              <w:spacing w:before="60" w:line="302" w:lineRule="auto"/>
            </w:pPr>
            <w:r>
              <w:rPr>
                <w:rFonts w:ascii="Georgia" w:hAnsi="Georgia"/>
                <w:color w:val="172126"/>
                <w:sz w:val="17"/>
              </w:rPr>
              <w:t>artifact holds BOQ lines, requirements, programme activities, priced rates and eleven other types in the same shape, with the same status machine. That uniformity is why one review screen serves nine modules, and why provenance is a property of the system rather than a feature of a module.</w:t>
            </w:r>
          </w:p>
        </w:tc>
      </w:tr>
    </w:tbl>
    <w:p>
      <w:pPr>
        <w:spacing w:after="60"/>
      </w:pPr>
    </w:p>
    <w:p>
      <w:pPr>
        <w:spacing w:before="260" w:after="80" w:line="307" w:lineRule="auto"/>
      </w:pPr>
      <w:r>
        <w:rPr>
          <w:rFonts w:ascii="Calibri" w:hAnsi="Calibri"/>
          <w:b/>
          <w:color w:val="172126"/>
          <w:sz w:val="22"/>
        </w:rPr>
        <w:t>1.3  Workflow and jobs — 7 tables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448"/>
            <w:shd w:val="clear" w:fill="F0F3F4"/>
          </w:tcPr>
          <w:p>
            <w:r/>
            <w:r>
              <w:rPr>
                <w:rFonts w:ascii="Calibri" w:hAnsi="Calibri"/>
                <w:b/>
                <w:color w:val="667279"/>
                <w:sz w:val="13"/>
              </w:rPr>
              <w:t>TABLE</w:t>
            </w:r>
          </w:p>
        </w:tc>
        <w:tc>
          <w:tcPr>
            <w:tcW w:type="dxa" w:w="576"/>
            <w:shd w:val="clear" w:fill="F0F3F4"/>
          </w:tcPr>
          <w:p>
            <w:r/>
            <w:r>
              <w:rPr>
                <w:rFonts w:ascii="Calibri" w:hAnsi="Calibri"/>
                <w:b/>
                <w:color w:val="667279"/>
                <w:sz w:val="13"/>
              </w:rPr>
              <w:t>COLS</w:t>
            </w:r>
          </w:p>
        </w:tc>
        <w:tc>
          <w:tcPr>
            <w:tcW w:type="dxa" w:w="6912"/>
            <w:shd w:val="clear" w:fill="F0F3F4"/>
          </w:tcPr>
          <w:p>
            <w:r/>
            <w:r>
              <w:rPr>
                <w:rFonts w:ascii="Calibri" w:hAnsi="Calibri"/>
                <w:b/>
                <w:color w:val="667279"/>
                <w:sz w:val="13"/>
              </w:rPr>
              <w:t>PURPOSE</w:t>
            </w:r>
          </w:p>
        </w:tc>
      </w:tr>
      <w:tr>
        <w:tc>
          <w:tcPr>
            <w:tcW w:type="dxa" w:w="2448"/>
          </w:tcPr>
          <w:p>
            <w:pPr>
              <w:spacing w:line="278" w:lineRule="auto" w:after="0"/>
            </w:pPr>
            <w:r/>
            <w:r>
              <w:rPr>
                <w:rFonts w:ascii="Consolas" w:hAnsi="Consolas"/>
                <w:b/>
                <w:color w:val="172126"/>
                <w:sz w:val="15"/>
              </w:rPr>
              <w:t>workflow</w:t>
            </w:r>
          </w:p>
        </w:tc>
        <w:tc>
          <w:tcPr>
            <w:tcW w:type="dxa" w:w="576"/>
          </w:tcPr>
          <w:p>
            <w:pPr>
              <w:spacing w:line="278" w:lineRule="auto" w:after="0"/>
            </w:pPr>
            <w:r/>
            <w:r>
              <w:rPr>
                <w:rFonts w:ascii="Consolas" w:hAnsi="Consolas"/>
                <w:b w:val="0"/>
                <w:color w:val="526068"/>
                <w:sz w:val="15"/>
              </w:rPr>
              <w:t>8</w:t>
            </w:r>
          </w:p>
        </w:tc>
        <w:tc>
          <w:tcPr>
            <w:tcW w:type="dxa" w:w="6912"/>
          </w:tcPr>
          <w:p>
            <w:pPr>
              <w:spacing w:line="278" w:lineRule="auto" w:after="0"/>
            </w:pPr>
            <w:r/>
            <w:r>
              <w:rPr>
                <w:rFonts w:ascii="Calibri" w:hAnsi="Calibri"/>
                <w:b w:val="0"/>
                <w:color w:val="526068"/>
                <w:sz w:val="15"/>
              </w:rPr>
              <w:t>Twelve versioned node graphs, keyed by module. Global, not tenant-scoped</w:t>
            </w:r>
          </w:p>
        </w:tc>
      </w:tr>
      <w:tr>
        <w:tc>
          <w:tcPr>
            <w:tcW w:type="dxa" w:w="2448"/>
          </w:tcPr>
          <w:p>
            <w:pPr>
              <w:spacing w:line="278" w:lineRule="auto" w:after="0"/>
            </w:pPr>
            <w:r/>
            <w:r>
              <w:rPr>
                <w:rFonts w:ascii="Consolas" w:hAnsi="Consolas"/>
                <w:b/>
                <w:color w:val="172126"/>
                <w:sz w:val="15"/>
              </w:rPr>
              <w:t>workflow_run</w:t>
            </w:r>
          </w:p>
        </w:tc>
        <w:tc>
          <w:tcPr>
            <w:tcW w:type="dxa" w:w="576"/>
          </w:tcPr>
          <w:p>
            <w:pPr>
              <w:spacing w:line="278" w:lineRule="auto" w:after="0"/>
            </w:pPr>
            <w:r/>
            <w:r>
              <w:rPr>
                <w:rFonts w:ascii="Consolas" w:hAnsi="Consolas"/>
                <w:b w:val="0"/>
                <w:color w:val="526068"/>
                <w:sz w:val="15"/>
              </w:rPr>
              <w:t>10</w:t>
            </w:r>
          </w:p>
        </w:tc>
        <w:tc>
          <w:tcPr>
            <w:tcW w:type="dxa" w:w="6912"/>
          </w:tcPr>
          <w:p>
            <w:pPr>
              <w:spacing w:line="278" w:lineRule="auto" w:after="0"/>
            </w:pPr>
            <w:r/>
            <w:r>
              <w:rPr>
                <w:rFonts w:ascii="Calibri" w:hAnsi="Calibri"/>
                <w:b w:val="0"/>
                <w:color w:val="526068"/>
                <w:sz w:val="15"/>
              </w:rPr>
              <w:t>One execution against one project</w:t>
            </w:r>
          </w:p>
        </w:tc>
      </w:tr>
      <w:tr>
        <w:tc>
          <w:tcPr>
            <w:tcW w:type="dxa" w:w="2448"/>
          </w:tcPr>
          <w:p>
            <w:pPr>
              <w:spacing w:line="278" w:lineRule="auto" w:after="0"/>
            </w:pPr>
            <w:r/>
            <w:r>
              <w:rPr>
                <w:rFonts w:ascii="Consolas" w:hAnsi="Consolas"/>
                <w:b/>
                <w:color w:val="172126"/>
                <w:sz w:val="15"/>
              </w:rPr>
              <w:t>workflow_run_step</w:t>
            </w:r>
          </w:p>
        </w:tc>
        <w:tc>
          <w:tcPr>
            <w:tcW w:type="dxa" w:w="576"/>
          </w:tcPr>
          <w:p>
            <w:pPr>
              <w:spacing w:line="278" w:lineRule="auto" w:after="0"/>
            </w:pPr>
            <w:r/>
            <w:r>
              <w:rPr>
                <w:rFonts w:ascii="Consolas" w:hAnsi="Consolas"/>
                <w:b w:val="0"/>
                <w:color w:val="526068"/>
                <w:sz w:val="15"/>
              </w:rPr>
              <w:t>17</w:t>
            </w:r>
          </w:p>
        </w:tc>
        <w:tc>
          <w:tcPr>
            <w:tcW w:type="dxa" w:w="6912"/>
          </w:tcPr>
          <w:p>
            <w:pPr>
              <w:spacing w:line="278" w:lineRule="auto" w:after="0"/>
            </w:pPr>
            <w:r/>
            <w:r>
              <w:rPr>
                <w:rFonts w:ascii="Calibri" w:hAnsi="Calibri"/>
                <w:b w:val="0"/>
                <w:color w:val="526068"/>
                <w:sz w:val="15"/>
              </w:rPr>
              <w:t>One node: agent, gate or map</w:t>
            </w:r>
          </w:p>
        </w:tc>
      </w:tr>
      <w:tr>
        <w:tc>
          <w:tcPr>
            <w:tcW w:type="dxa" w:w="2448"/>
          </w:tcPr>
          <w:p>
            <w:pPr>
              <w:spacing w:line="278" w:lineRule="auto" w:after="0"/>
            </w:pPr>
            <w:r/>
            <w:r>
              <w:rPr>
                <w:rFonts w:ascii="Consolas" w:hAnsi="Consolas"/>
                <w:b/>
                <w:color w:val="172126"/>
                <w:sz w:val="15"/>
              </w:rPr>
              <w:t>ai_job</w:t>
            </w:r>
          </w:p>
        </w:tc>
        <w:tc>
          <w:tcPr>
            <w:tcW w:type="dxa" w:w="576"/>
          </w:tcPr>
          <w:p>
            <w:pPr>
              <w:spacing w:line="278" w:lineRule="auto" w:after="0"/>
            </w:pPr>
            <w:r/>
            <w:r>
              <w:rPr>
                <w:rFonts w:ascii="Consolas" w:hAnsi="Consolas"/>
                <w:b w:val="0"/>
                <w:color w:val="526068"/>
                <w:sz w:val="15"/>
              </w:rPr>
              <w:t>29</w:t>
            </w:r>
          </w:p>
        </w:tc>
        <w:tc>
          <w:tcPr>
            <w:tcW w:type="dxa" w:w="6912"/>
          </w:tcPr>
          <w:p>
            <w:pPr>
              <w:spacing w:line="278" w:lineRule="auto" w:after="0"/>
            </w:pPr>
            <w:r/>
            <w:r>
              <w:rPr>
                <w:rFonts w:ascii="Calibri" w:hAnsi="Calibri"/>
                <w:b w:val="0"/>
                <w:color w:val="526068"/>
                <w:sz w:val="15"/>
              </w:rPr>
              <w:t>The durable queue: status, attempt, max_attempts, lease, idempotency key</w:t>
            </w:r>
          </w:p>
        </w:tc>
      </w:tr>
      <w:tr>
        <w:tc>
          <w:tcPr>
            <w:tcW w:type="dxa" w:w="2448"/>
          </w:tcPr>
          <w:p>
            <w:pPr>
              <w:spacing w:line="278" w:lineRule="auto" w:after="0"/>
            </w:pPr>
            <w:r/>
            <w:r>
              <w:rPr>
                <w:rFonts w:ascii="Consolas" w:hAnsi="Consolas"/>
                <w:b/>
                <w:color w:val="172126"/>
                <w:sz w:val="15"/>
              </w:rPr>
              <w:t>agent</w:t>
            </w:r>
          </w:p>
        </w:tc>
        <w:tc>
          <w:tcPr>
            <w:tcW w:type="dxa" w:w="576"/>
          </w:tcPr>
          <w:p>
            <w:pPr>
              <w:spacing w:line="278" w:lineRule="auto" w:after="0"/>
            </w:pPr>
            <w:r/>
            <w:r>
              <w:rPr>
                <w:rFonts w:ascii="Consolas" w:hAnsi="Consolas"/>
                <w:b w:val="0"/>
                <w:color w:val="526068"/>
                <w:sz w:val="15"/>
              </w:rPr>
              <w:t>11</w:t>
            </w:r>
          </w:p>
        </w:tc>
        <w:tc>
          <w:tcPr>
            <w:tcW w:type="dxa" w:w="6912"/>
          </w:tcPr>
          <w:p>
            <w:pPr>
              <w:spacing w:line="278" w:lineRule="auto" w:after="0"/>
            </w:pPr>
            <w:r/>
            <w:r>
              <w:rPr>
                <w:rFonts w:ascii="Calibri" w:hAnsi="Calibri"/>
                <w:b w:val="0"/>
                <w:color w:val="526068"/>
                <w:sz w:val="15"/>
              </w:rPr>
              <w:t>The 23 task types with consumes, produces and tier</w:t>
            </w:r>
          </w:p>
        </w:tc>
      </w:tr>
      <w:tr>
        <w:tc>
          <w:tcPr>
            <w:tcW w:type="dxa" w:w="2448"/>
          </w:tcPr>
          <w:p>
            <w:pPr>
              <w:spacing w:line="278" w:lineRule="auto" w:after="0"/>
            </w:pPr>
            <w:r/>
            <w:r>
              <w:rPr>
                <w:rFonts w:ascii="Consolas" w:hAnsi="Consolas"/>
                <w:b/>
                <w:color w:val="172126"/>
                <w:sz w:val="15"/>
              </w:rPr>
              <w:t>supervisor_profile</w:t>
            </w:r>
          </w:p>
        </w:tc>
        <w:tc>
          <w:tcPr>
            <w:tcW w:type="dxa" w:w="576"/>
          </w:tcPr>
          <w:p>
            <w:pPr>
              <w:spacing w:line="278" w:lineRule="auto" w:after="0"/>
            </w:pPr>
            <w:r/>
            <w:r>
              <w:rPr>
                <w:rFonts w:ascii="Consolas" w:hAnsi="Consolas"/>
                <w:b w:val="0"/>
                <w:color w:val="526068"/>
                <w:sz w:val="15"/>
              </w:rPr>
              <w:t>6</w:t>
            </w:r>
          </w:p>
        </w:tc>
        <w:tc>
          <w:tcPr>
            <w:tcW w:type="dxa" w:w="6912"/>
          </w:tcPr>
          <w:p>
            <w:pPr>
              <w:spacing w:line="278" w:lineRule="auto" w:after="0"/>
            </w:pPr>
            <w:r/>
            <w:r>
              <w:rPr>
                <w:rFonts w:ascii="Calibri" w:hAnsi="Calibri"/>
                <w:b w:val="0"/>
                <w:color w:val="526068"/>
                <w:sz w:val="15"/>
              </w:rPr>
              <w:t>Persona definitions for the copilot and review sweeps</w:t>
            </w:r>
          </w:p>
        </w:tc>
      </w:tr>
      <w:tr>
        <w:tc>
          <w:tcPr>
            <w:tcW w:type="dxa" w:w="2448"/>
          </w:tcPr>
          <w:p>
            <w:pPr>
              <w:spacing w:line="278" w:lineRule="auto" w:after="0"/>
            </w:pPr>
            <w:r/>
            <w:r>
              <w:rPr>
                <w:rFonts w:ascii="Consolas" w:hAnsi="Consolas"/>
                <w:b/>
                <w:color w:val="172126"/>
                <w:sz w:val="15"/>
              </w:rPr>
              <w:t>run_deviation</w:t>
            </w:r>
          </w:p>
        </w:tc>
        <w:tc>
          <w:tcPr>
            <w:tcW w:type="dxa" w:w="576"/>
          </w:tcPr>
          <w:p>
            <w:pPr>
              <w:spacing w:line="278" w:lineRule="auto" w:after="0"/>
            </w:pPr>
            <w:r/>
            <w:r>
              <w:rPr>
                <w:rFonts w:ascii="Consolas" w:hAnsi="Consolas"/>
                <w:b w:val="0"/>
                <w:color w:val="526068"/>
                <w:sz w:val="15"/>
              </w:rPr>
              <w:t>14</w:t>
            </w:r>
          </w:p>
        </w:tc>
        <w:tc>
          <w:tcPr>
            <w:tcW w:type="dxa" w:w="6912"/>
          </w:tcPr>
          <w:p>
            <w:pPr>
              <w:spacing w:line="278" w:lineRule="auto" w:after="0"/>
            </w:pPr>
            <w:r/>
            <w:r>
              <w:rPr>
                <w:rFonts w:ascii="Calibri" w:hAnsi="Calibri"/>
                <w:b w:val="0"/>
                <w:color w:val="526068"/>
                <w:sz w:val="15"/>
              </w:rPr>
              <w:t>Where a run departed from its definition, and why</w:t>
            </w:r>
          </w:p>
        </w:tc>
      </w:tr>
    </w:tbl>
    <w:p>
      <w:pPr>
        <w:spacing w:after="60"/>
      </w:pPr>
    </w:p>
    <w:p>
      <w:pPr>
        <w:spacing w:before="260" w:after="80" w:line="307" w:lineRule="auto"/>
      </w:pPr>
      <w:r>
        <w:rPr>
          <w:rFonts w:ascii="Calibri" w:hAnsi="Calibri"/>
          <w:b/>
          <w:color w:val="172126"/>
          <w:sz w:val="22"/>
        </w:rPr>
        <w:t>1.4  The AI fabric — 6 tables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736"/>
            <w:shd w:val="clear" w:fill="F0F3F4"/>
          </w:tcPr>
          <w:p>
            <w:r/>
            <w:r>
              <w:rPr>
                <w:rFonts w:ascii="Calibri" w:hAnsi="Calibri"/>
                <w:b/>
                <w:color w:val="667279"/>
                <w:sz w:val="13"/>
              </w:rPr>
              <w:t>TABLE</w:t>
            </w:r>
          </w:p>
        </w:tc>
        <w:tc>
          <w:tcPr>
            <w:tcW w:type="dxa" w:w="576"/>
            <w:shd w:val="clear" w:fill="F0F3F4"/>
          </w:tcPr>
          <w:p>
            <w:r/>
            <w:r>
              <w:rPr>
                <w:rFonts w:ascii="Calibri" w:hAnsi="Calibri"/>
                <w:b/>
                <w:color w:val="667279"/>
                <w:sz w:val="13"/>
              </w:rPr>
              <w:t>COLS</w:t>
            </w:r>
          </w:p>
        </w:tc>
        <w:tc>
          <w:tcPr>
            <w:tcW w:type="dxa" w:w="6624"/>
            <w:shd w:val="clear" w:fill="F0F3F4"/>
          </w:tcPr>
          <w:p>
            <w:r/>
            <w:r>
              <w:rPr>
                <w:rFonts w:ascii="Calibri" w:hAnsi="Calibri"/>
                <w:b/>
                <w:color w:val="667279"/>
                <w:sz w:val="13"/>
              </w:rPr>
              <w:t>PURPOSE</w:t>
            </w:r>
          </w:p>
        </w:tc>
      </w:tr>
      <w:tr>
        <w:tc>
          <w:tcPr>
            <w:tcW w:type="dxa" w:w="2736"/>
          </w:tcPr>
          <w:p>
            <w:pPr>
              <w:spacing w:line="278" w:lineRule="auto" w:after="0"/>
            </w:pPr>
            <w:r/>
            <w:r>
              <w:rPr>
                <w:rFonts w:ascii="Consolas" w:hAnsi="Consolas"/>
                <w:b/>
                <w:color w:val="172126"/>
                <w:sz w:val="15"/>
              </w:rPr>
              <w:t>ai_model_registry</w:t>
            </w:r>
          </w:p>
        </w:tc>
        <w:tc>
          <w:tcPr>
            <w:tcW w:type="dxa" w:w="576"/>
          </w:tcPr>
          <w:p>
            <w:pPr>
              <w:spacing w:line="278" w:lineRule="auto" w:after="0"/>
            </w:pPr>
            <w:r/>
            <w:r>
              <w:rPr>
                <w:rFonts w:ascii="Consolas" w:hAnsi="Consolas"/>
                <w:b w:val="0"/>
                <w:color w:val="526068"/>
                <w:sz w:val="15"/>
              </w:rPr>
              <w:t>13</w:t>
            </w:r>
          </w:p>
        </w:tc>
        <w:tc>
          <w:tcPr>
            <w:tcW w:type="dxa" w:w="6624"/>
          </w:tcPr>
          <w:p>
            <w:pPr>
              <w:spacing w:line="278" w:lineRule="auto" w:after="0"/>
            </w:pPr>
            <w:r/>
            <w:r>
              <w:rPr>
                <w:rFonts w:ascii="Calibri" w:hAnsi="Calibri"/>
                <w:b w:val="0"/>
                <w:color w:val="526068"/>
                <w:sz w:val="15"/>
              </w:rPr>
              <w:t>Alias → provider → model, with rate card, context limit, capabilities, boundary</w:t>
            </w:r>
          </w:p>
        </w:tc>
      </w:tr>
      <w:tr>
        <w:tc>
          <w:tcPr>
            <w:tcW w:type="dxa" w:w="2736"/>
          </w:tcPr>
          <w:p>
            <w:pPr>
              <w:spacing w:line="278" w:lineRule="auto" w:after="0"/>
            </w:pPr>
            <w:r/>
            <w:r>
              <w:rPr>
                <w:rFonts w:ascii="Consolas" w:hAnsi="Consolas"/>
                <w:b/>
                <w:color w:val="172126"/>
                <w:sz w:val="15"/>
              </w:rPr>
              <w:t>ai_prompt_version</w:t>
            </w:r>
          </w:p>
        </w:tc>
        <w:tc>
          <w:tcPr>
            <w:tcW w:type="dxa" w:w="576"/>
          </w:tcPr>
          <w:p>
            <w:pPr>
              <w:spacing w:line="278" w:lineRule="auto" w:after="0"/>
            </w:pPr>
            <w:r/>
            <w:r>
              <w:rPr>
                <w:rFonts w:ascii="Consolas" w:hAnsi="Consolas"/>
                <w:b w:val="0"/>
                <w:color w:val="526068"/>
                <w:sz w:val="15"/>
              </w:rPr>
              <w:t>10</w:t>
            </w:r>
          </w:p>
        </w:tc>
        <w:tc>
          <w:tcPr>
            <w:tcW w:type="dxa" w:w="6624"/>
          </w:tcPr>
          <w:p>
            <w:pPr>
              <w:spacing w:line="278" w:lineRule="auto" w:after="0"/>
            </w:pPr>
            <w:r/>
            <w:r>
              <w:rPr>
                <w:rFonts w:ascii="Calibri" w:hAnsi="Calibri"/>
                <w:b w:val="0"/>
                <w:color w:val="526068"/>
                <w:sz w:val="15"/>
              </w:rPr>
              <w:t>Versioned prompts. 24 registered</w:t>
            </w:r>
          </w:p>
        </w:tc>
      </w:tr>
      <w:tr>
        <w:tc>
          <w:tcPr>
            <w:tcW w:type="dxa" w:w="2736"/>
          </w:tcPr>
          <w:p>
            <w:pPr>
              <w:spacing w:line="278" w:lineRule="auto" w:after="0"/>
            </w:pPr>
            <w:r/>
            <w:r>
              <w:rPr>
                <w:rFonts w:ascii="Consolas" w:hAnsi="Consolas"/>
                <w:b/>
                <w:color w:val="172126"/>
                <w:sz w:val="15"/>
              </w:rPr>
              <w:t>ai_tenant_policy</w:t>
            </w:r>
          </w:p>
        </w:tc>
        <w:tc>
          <w:tcPr>
            <w:tcW w:type="dxa" w:w="576"/>
          </w:tcPr>
          <w:p>
            <w:pPr>
              <w:spacing w:line="278" w:lineRule="auto" w:after="0"/>
            </w:pPr>
            <w:r/>
            <w:r>
              <w:rPr>
                <w:rFonts w:ascii="Consolas" w:hAnsi="Consolas"/>
                <w:b w:val="0"/>
                <w:color w:val="526068"/>
                <w:sz w:val="15"/>
              </w:rPr>
              <w:t>6</w:t>
            </w:r>
          </w:p>
        </w:tc>
        <w:tc>
          <w:tcPr>
            <w:tcW w:type="dxa" w:w="6624"/>
          </w:tcPr>
          <w:p>
            <w:pPr>
              <w:spacing w:line="278" w:lineRule="auto" w:after="0"/>
            </w:pPr>
            <w:r/>
            <w:r>
              <w:rPr>
                <w:rFonts w:ascii="Calibri" w:hAnsi="Calibri"/>
                <w:b w:val="0"/>
                <w:color w:val="526068"/>
                <w:sz w:val="15"/>
              </w:rPr>
              <w:t>Data classification and boundary rules per tenant</w:t>
            </w:r>
          </w:p>
        </w:tc>
      </w:tr>
      <w:tr>
        <w:tc>
          <w:tcPr>
            <w:tcW w:type="dxa" w:w="2736"/>
          </w:tcPr>
          <w:p>
            <w:pPr>
              <w:spacing w:line="278" w:lineRule="auto" w:after="0"/>
            </w:pPr>
            <w:r/>
            <w:r>
              <w:rPr>
                <w:rFonts w:ascii="Consolas" w:hAnsi="Consolas"/>
                <w:b/>
                <w:color w:val="172126"/>
                <w:sz w:val="15"/>
              </w:rPr>
              <w:t>ai_tenant_policy_history</w:t>
            </w:r>
          </w:p>
        </w:tc>
        <w:tc>
          <w:tcPr>
            <w:tcW w:type="dxa" w:w="576"/>
          </w:tcPr>
          <w:p>
            <w:pPr>
              <w:spacing w:line="278" w:lineRule="auto" w:after="0"/>
            </w:pPr>
            <w:r/>
            <w:r>
              <w:rPr>
                <w:rFonts w:ascii="Consolas" w:hAnsi="Consolas"/>
                <w:b w:val="0"/>
                <w:color w:val="526068"/>
                <w:sz w:val="15"/>
              </w:rPr>
              <w:t>6</w:t>
            </w:r>
          </w:p>
        </w:tc>
        <w:tc>
          <w:tcPr>
            <w:tcW w:type="dxa" w:w="6624"/>
          </w:tcPr>
          <w:p>
            <w:pPr>
              <w:spacing w:line="278" w:lineRule="auto" w:after="0"/>
            </w:pPr>
            <w:r/>
            <w:r>
              <w:rPr>
                <w:rFonts w:ascii="Calibri" w:hAnsi="Calibri"/>
                <w:b w:val="0"/>
                <w:color w:val="526068"/>
                <w:sz w:val="15"/>
              </w:rPr>
              <w:t>Every change to that policy</w:t>
            </w:r>
          </w:p>
        </w:tc>
      </w:tr>
      <w:tr>
        <w:tc>
          <w:tcPr>
            <w:tcW w:type="dxa" w:w="2736"/>
          </w:tcPr>
          <w:p>
            <w:pPr>
              <w:spacing w:line="278" w:lineRule="auto" w:after="0"/>
            </w:pPr>
            <w:r/>
            <w:r>
              <w:rPr>
                <w:rFonts w:ascii="Consolas" w:hAnsi="Consolas"/>
                <w:b/>
                <w:color w:val="172126"/>
                <w:sz w:val="15"/>
              </w:rPr>
              <w:t>ai_usage_ledger</w:t>
            </w:r>
          </w:p>
        </w:tc>
        <w:tc>
          <w:tcPr>
            <w:tcW w:type="dxa" w:w="576"/>
          </w:tcPr>
          <w:p>
            <w:pPr>
              <w:spacing w:line="278" w:lineRule="auto" w:after="0"/>
            </w:pPr>
            <w:r/>
            <w:r>
              <w:rPr>
                <w:rFonts w:ascii="Consolas" w:hAnsi="Consolas"/>
                <w:b w:val="0"/>
                <w:color w:val="526068"/>
                <w:sz w:val="15"/>
              </w:rPr>
              <w:t>29</w:t>
            </w:r>
          </w:p>
        </w:tc>
        <w:tc>
          <w:tcPr>
            <w:tcW w:type="dxa" w:w="6624"/>
          </w:tcPr>
          <w:p>
            <w:pPr>
              <w:spacing w:line="278" w:lineRule="auto" w:after="0"/>
            </w:pPr>
            <w:r/>
            <w:r>
              <w:rPr>
                <w:rFonts w:ascii="Calibri" w:hAnsi="Calibri"/>
                <w:b w:val="0"/>
                <w:color w:val="526068"/>
                <w:sz w:val="15"/>
              </w:rPr>
              <w:t>One row per ATTEMPT: tokens, cost, latency, confidence, execution class, validation status</w:t>
            </w:r>
          </w:p>
        </w:tc>
      </w:tr>
      <w:tr>
        <w:tc>
          <w:tcPr>
            <w:tcW w:type="dxa" w:w="2736"/>
          </w:tcPr>
          <w:p>
            <w:pPr>
              <w:spacing w:line="278" w:lineRule="auto" w:after="0"/>
            </w:pPr>
            <w:r/>
            <w:r>
              <w:rPr>
                <w:rFonts w:ascii="Consolas" w:hAnsi="Consolas"/>
                <w:b/>
                <w:color w:val="172126"/>
                <w:sz w:val="15"/>
              </w:rPr>
              <w:t>ai_response_cache</w:t>
            </w:r>
          </w:p>
        </w:tc>
        <w:tc>
          <w:tcPr>
            <w:tcW w:type="dxa" w:w="576"/>
          </w:tcPr>
          <w:p>
            <w:pPr>
              <w:spacing w:line="278" w:lineRule="auto" w:after="0"/>
            </w:pPr>
            <w:r/>
            <w:r>
              <w:rPr>
                <w:rFonts w:ascii="Consolas" w:hAnsi="Consolas"/>
                <w:b w:val="0"/>
                <w:color w:val="526068"/>
                <w:sz w:val="15"/>
              </w:rPr>
              <w:t>17</w:t>
            </w:r>
          </w:p>
        </w:tc>
        <w:tc>
          <w:tcPr>
            <w:tcW w:type="dxa" w:w="6624"/>
          </w:tcPr>
          <w:p>
            <w:pPr>
              <w:spacing w:line="278" w:lineRule="auto" w:after="0"/>
            </w:pPr>
            <w:r/>
            <w:r>
              <w:rPr>
                <w:rFonts w:ascii="Calibri" w:hAnsi="Calibri"/>
                <w:b w:val="0"/>
                <w:color w:val="526068"/>
                <w:sz w:val="15"/>
              </w:rPr>
              <w:t>Keyed on everything that could change the answer</w:t>
            </w:r>
          </w:p>
        </w:tc>
      </w:tr>
    </w:tbl>
    <w:p>
      <w:pPr>
        <w:spacing w:after="60"/>
      </w:pPr>
    </w:p>
    <w:p>
      <w:pPr>
        <w:spacing w:before="260" w:after="80" w:line="307" w:lineRule="auto"/>
      </w:pPr>
      <w:r>
        <w:rPr>
          <w:rFonts w:ascii="Calibri" w:hAnsi="Calibri"/>
          <w:b/>
          <w:color w:val="172126"/>
          <w:sz w:val="22"/>
        </w:rPr>
        <w:t>1.5  Documents and retrieval — 14 tables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3456"/>
            <w:shd w:val="clear" w:fill="F0F3F4"/>
          </w:tcPr>
          <w:p>
            <w:r/>
            <w:r>
              <w:rPr>
                <w:rFonts w:ascii="Calibri" w:hAnsi="Calibri"/>
                <w:b/>
                <w:color w:val="667279"/>
                <w:sz w:val="13"/>
              </w:rPr>
              <w:t>TABLE</w:t>
            </w:r>
          </w:p>
        </w:tc>
        <w:tc>
          <w:tcPr>
            <w:tcW w:type="dxa" w:w="6480"/>
            <w:shd w:val="clear" w:fill="F0F3F4"/>
          </w:tcPr>
          <w:p>
            <w:r/>
            <w:r>
              <w:rPr>
                <w:rFonts w:ascii="Calibri" w:hAnsi="Calibri"/>
                <w:b/>
                <w:color w:val="667279"/>
                <w:sz w:val="13"/>
              </w:rPr>
              <w:t>PURPOSE</w:t>
            </w:r>
          </w:p>
        </w:tc>
      </w:tr>
      <w:tr>
        <w:tc>
          <w:tcPr>
            <w:tcW w:type="dxa" w:w="3456"/>
          </w:tcPr>
          <w:p>
            <w:pPr>
              <w:spacing w:line="278" w:lineRule="auto" w:after="0"/>
            </w:pPr>
            <w:r/>
            <w:r>
              <w:rPr>
                <w:rFonts w:ascii="Consolas" w:hAnsi="Consolas"/>
                <w:b/>
                <w:color w:val="172126"/>
                <w:sz w:val="15"/>
              </w:rPr>
              <w:t>file · file_page</w:t>
            </w:r>
          </w:p>
        </w:tc>
        <w:tc>
          <w:tcPr>
            <w:tcW w:type="dxa" w:w="6480"/>
          </w:tcPr>
          <w:p>
            <w:pPr>
              <w:spacing w:line="278" w:lineRule="auto" w:after="0"/>
            </w:pPr>
            <w:r/>
            <w:r>
              <w:rPr>
                <w:rFonts w:ascii="Calibri" w:hAnsi="Calibri"/>
                <w:b w:val="0"/>
                <w:color w:val="526068"/>
                <w:sz w:val="15"/>
              </w:rPr>
              <w:t>Uploaded bytes and the text extracted from them, page by page</w:t>
            </w:r>
          </w:p>
        </w:tc>
      </w:tr>
      <w:tr>
        <w:tc>
          <w:tcPr>
            <w:tcW w:type="dxa" w:w="3456"/>
          </w:tcPr>
          <w:p>
            <w:pPr>
              <w:spacing w:line="278" w:lineRule="auto" w:after="0"/>
            </w:pPr>
            <w:r/>
            <w:r>
              <w:rPr>
                <w:rFonts w:ascii="Consolas" w:hAnsi="Consolas"/>
                <w:b/>
                <w:color w:val="172126"/>
                <w:sz w:val="15"/>
              </w:rPr>
              <w:t>chunk</w:t>
            </w:r>
          </w:p>
        </w:tc>
        <w:tc>
          <w:tcPr>
            <w:tcW w:type="dxa" w:w="6480"/>
          </w:tcPr>
          <w:p>
            <w:pPr>
              <w:spacing w:line="278" w:lineRule="auto" w:after="0"/>
            </w:pPr>
            <w:r/>
            <w:r>
              <w:rPr>
                <w:rFonts w:ascii="Calibri" w:hAnsi="Calibri"/>
                <w:b w:val="0"/>
                <w:color w:val="526068"/>
                <w:sz w:val="15"/>
              </w:rPr>
              <w:t>The retrieval index. source_kind/source_id carry identity; revision_id is nullable</w:t>
            </w:r>
          </w:p>
        </w:tc>
      </w:tr>
      <w:tr>
        <w:tc>
          <w:tcPr>
            <w:tcW w:type="dxa" w:w="3456"/>
          </w:tcPr>
          <w:p>
            <w:pPr>
              <w:spacing w:line="278" w:lineRule="auto" w:after="0"/>
            </w:pPr>
            <w:r/>
            <w:r>
              <w:rPr>
                <w:rFonts w:ascii="Consolas" w:hAnsi="Consolas"/>
                <w:b/>
                <w:color w:val="172126"/>
                <w:sz w:val="15"/>
              </w:rPr>
              <w:t>document_register</w:t>
            </w:r>
          </w:p>
        </w:tc>
        <w:tc>
          <w:tcPr>
            <w:tcW w:type="dxa" w:w="6480"/>
          </w:tcPr>
          <w:p>
            <w:pPr>
              <w:spacing w:line="278" w:lineRule="auto" w:after="0"/>
            </w:pPr>
            <w:r/>
            <w:r>
              <w:rPr>
                <w:rFonts w:ascii="Calibri" w:hAnsi="Calibri"/>
                <w:b w:val="0"/>
                <w:color w:val="526068"/>
                <w:sz w:val="15"/>
              </w:rPr>
              <w:t>The formal register entry: number, title, discipline, confidentiality, retention, legal hold</w:t>
            </w:r>
          </w:p>
        </w:tc>
      </w:tr>
      <w:tr>
        <w:tc>
          <w:tcPr>
            <w:tcW w:type="dxa" w:w="3456"/>
          </w:tcPr>
          <w:p>
            <w:pPr>
              <w:spacing w:line="278" w:lineRule="auto" w:after="0"/>
            </w:pPr>
            <w:r/>
            <w:r>
              <w:rPr>
                <w:rFonts w:ascii="Consolas" w:hAnsi="Consolas"/>
                <w:b/>
                <w:color w:val="172126"/>
                <w:sz w:val="15"/>
              </w:rPr>
              <w:t>document_revision</w:t>
            </w:r>
          </w:p>
        </w:tc>
        <w:tc>
          <w:tcPr>
            <w:tcW w:type="dxa" w:w="6480"/>
          </w:tcPr>
          <w:p>
            <w:pPr>
              <w:spacing w:line="278" w:lineRule="auto" w:after="0"/>
            </w:pPr>
            <w:r/>
            <w:r>
              <w:rPr>
                <w:rFonts w:ascii="Calibri" w:hAnsi="Calibri"/>
                <w:b w:val="0"/>
                <w:color w:val="526068"/>
                <w:sz w:val="15"/>
              </w:rPr>
              <w:t>Revisions with scheme, sort rank, state and the file behind them</w:t>
            </w:r>
          </w:p>
        </w:tc>
      </w:tr>
      <w:tr>
        <w:tc>
          <w:tcPr>
            <w:tcW w:type="dxa" w:w="3456"/>
          </w:tcPr>
          <w:p>
            <w:pPr>
              <w:spacing w:line="278" w:lineRule="auto" w:after="0"/>
            </w:pPr>
            <w:r/>
            <w:r>
              <w:rPr>
                <w:rFonts w:ascii="Consolas" w:hAnsi="Consolas"/>
                <w:b/>
                <w:color w:val="172126"/>
                <w:sz w:val="15"/>
              </w:rPr>
              <w:t>numbering_scheme</w:t>
            </w:r>
          </w:p>
        </w:tc>
        <w:tc>
          <w:tcPr>
            <w:tcW w:type="dxa" w:w="6480"/>
          </w:tcPr>
          <w:p>
            <w:pPr>
              <w:spacing w:line="278" w:lineRule="auto" w:after="0"/>
            </w:pPr>
            <w:r/>
            <w:r>
              <w:rPr>
                <w:rFonts w:ascii="Calibri" w:hAnsi="Calibri"/>
                <w:b w:val="0"/>
                <w:color w:val="526068"/>
                <w:sz w:val="15"/>
              </w:rPr>
              <w:t>ISO 19650 by default, per-project overridable</w:t>
            </w:r>
          </w:p>
        </w:tc>
      </w:tr>
      <w:tr>
        <w:tc>
          <w:tcPr>
            <w:tcW w:type="dxa" w:w="3456"/>
          </w:tcPr>
          <w:p>
            <w:pPr>
              <w:spacing w:line="278" w:lineRule="auto" w:after="0"/>
            </w:pPr>
            <w:r/>
            <w:r>
              <w:rPr>
                <w:rFonts w:ascii="Consolas" w:hAnsi="Consolas"/>
                <w:b/>
                <w:color w:val="172126"/>
                <w:sz w:val="15"/>
              </w:rPr>
              <w:t>document_review · document_review_assignee · document_comment</w:t>
            </w:r>
          </w:p>
        </w:tc>
        <w:tc>
          <w:tcPr>
            <w:tcW w:type="dxa" w:w="6480"/>
          </w:tcPr>
          <w:p>
            <w:pPr>
              <w:spacing w:line="278" w:lineRule="auto" w:after="0"/>
            </w:pPr>
            <w:r/>
            <w:r>
              <w:rPr>
                <w:rFonts w:ascii="Calibri" w:hAnsi="Calibri"/>
                <w:b w:val="0"/>
                <w:color w:val="526068"/>
                <w:sz w:val="15"/>
              </w:rPr>
              <w:t>The review cycle</w:t>
            </w:r>
          </w:p>
        </w:tc>
      </w:tr>
      <w:tr>
        <w:tc>
          <w:tcPr>
            <w:tcW w:type="dxa" w:w="3456"/>
          </w:tcPr>
          <w:p>
            <w:pPr>
              <w:spacing w:line="278" w:lineRule="auto" w:after="0"/>
            </w:pPr>
            <w:r/>
            <w:r>
              <w:rPr>
                <w:rFonts w:ascii="Consolas" w:hAnsi="Consolas"/>
                <w:b/>
                <w:color w:val="172126"/>
                <w:sz w:val="15"/>
              </w:rPr>
              <w:t>transmittal · transmittal_item · transmittal_recipient</w:t>
            </w:r>
          </w:p>
        </w:tc>
        <w:tc>
          <w:tcPr>
            <w:tcW w:type="dxa" w:w="6480"/>
          </w:tcPr>
          <w:p>
            <w:pPr>
              <w:spacing w:line="278" w:lineRule="auto" w:after="0"/>
            </w:pPr>
            <w:r/>
            <w:r>
              <w:rPr>
                <w:rFonts w:ascii="Calibri" w:hAnsi="Calibri"/>
                <w:b w:val="0"/>
                <w:color w:val="526068"/>
                <w:sz w:val="15"/>
              </w:rPr>
              <w:t>Formal issue and acknowledgement</w:t>
            </w:r>
          </w:p>
        </w:tc>
      </w:tr>
      <w:tr>
        <w:tc>
          <w:tcPr>
            <w:tcW w:type="dxa" w:w="3456"/>
          </w:tcPr>
          <w:p>
            <w:pPr>
              <w:spacing w:line="278" w:lineRule="auto" w:after="0"/>
            </w:pPr>
            <w:r/>
            <w:r>
              <w:rPr>
                <w:rFonts w:ascii="Consolas" w:hAnsi="Consolas"/>
                <w:b/>
                <w:color w:val="172126"/>
                <w:sz w:val="15"/>
              </w:rPr>
              <w:t>distribution_list · distribution_member</w:t>
            </w:r>
          </w:p>
        </w:tc>
        <w:tc>
          <w:tcPr>
            <w:tcW w:type="dxa" w:w="6480"/>
          </w:tcPr>
          <w:p>
            <w:pPr>
              <w:spacing w:line="278" w:lineRule="auto" w:after="0"/>
            </w:pPr>
            <w:r/>
            <w:r>
              <w:rPr>
                <w:rFonts w:ascii="Calibri" w:hAnsi="Calibri"/>
                <w:b w:val="0"/>
                <w:color w:val="526068"/>
                <w:sz w:val="15"/>
              </w:rPr>
              <w:t>Who receives what</w:t>
            </w:r>
          </w:p>
        </w:tc>
      </w:tr>
      <w:tr>
        <w:tc>
          <w:tcPr>
            <w:tcW w:type="dxa" w:w="3456"/>
          </w:tcPr>
          <w:p>
            <w:pPr>
              <w:spacing w:line="278" w:lineRule="auto" w:after="0"/>
            </w:pPr>
            <w:r/>
            <w:r>
              <w:rPr>
                <w:rFonts w:ascii="Consolas" w:hAnsi="Consolas"/>
                <w:b/>
                <w:color w:val="172126"/>
                <w:sz w:val="15"/>
              </w:rPr>
              <w:t>source_region</w:t>
            </w:r>
          </w:p>
        </w:tc>
        <w:tc>
          <w:tcPr>
            <w:tcW w:type="dxa" w:w="6480"/>
          </w:tcPr>
          <w:p>
            <w:pPr>
              <w:spacing w:line="278" w:lineRule="auto" w:after="0"/>
            </w:pPr>
            <w:r/>
            <w:r>
              <w:rPr>
                <w:rFonts w:ascii="Calibri" w:hAnsi="Calibri"/>
                <w:b w:val="0"/>
                <w:color w:val="526068"/>
                <w:sz w:val="15"/>
              </w:rPr>
              <w:t>A rectangle on a page — how a citation points at its evidence</w:t>
            </w:r>
          </w:p>
        </w:tc>
      </w:tr>
    </w:tbl>
    <w:p>
      <w:pPr>
        <w:spacing w:after="60"/>
      </w:pPr>
    </w:p>
    <w:p>
      <w:pPr>
        <w:spacing w:before="260" w:after="80" w:line="307" w:lineRule="auto"/>
      </w:pPr>
      <w:r>
        <w:rPr>
          <w:rFonts w:ascii="Calibri" w:hAnsi="Calibri"/>
          <w:b/>
          <w:color w:val="172126"/>
          <w:sz w:val="22"/>
        </w:rPr>
        <w:t>1.6  Drawings, BIM and the PCM — 16 tables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1728"/>
            <w:shd w:val="clear" w:fill="F0F3F4"/>
          </w:tcPr>
          <w:p>
            <w:r/>
            <w:r>
              <w:rPr>
                <w:rFonts w:ascii="Calibri" w:hAnsi="Calibri"/>
                <w:b/>
                <w:color w:val="667279"/>
                <w:sz w:val="13"/>
              </w:rPr>
              <w:t>GROUP</w:t>
            </w:r>
          </w:p>
        </w:tc>
        <w:tc>
          <w:tcPr>
            <w:tcW w:type="dxa" w:w="8208"/>
            <w:shd w:val="clear" w:fill="F0F3F4"/>
          </w:tcPr>
          <w:p>
            <w:r/>
            <w:r>
              <w:rPr>
                <w:rFonts w:ascii="Calibri" w:hAnsi="Calibri"/>
                <w:b/>
                <w:color w:val="667279"/>
                <w:sz w:val="13"/>
              </w:rPr>
              <w:t>TABLES</w:t>
            </w:r>
          </w:p>
        </w:tc>
      </w:tr>
      <w:tr>
        <w:tc>
          <w:tcPr>
            <w:tcW w:type="dxa" w:w="1728"/>
          </w:tcPr>
          <w:p>
            <w:pPr>
              <w:spacing w:line="278" w:lineRule="auto" w:after="0"/>
            </w:pPr>
            <w:r/>
            <w:r>
              <w:rPr>
                <w:rFonts w:ascii="Calibri" w:hAnsi="Calibri"/>
                <w:b/>
                <w:color w:val="172126"/>
                <w:sz w:val="15"/>
              </w:rPr>
              <w:t>CAD</w:t>
            </w:r>
          </w:p>
        </w:tc>
        <w:tc>
          <w:tcPr>
            <w:tcW w:type="dxa" w:w="8208"/>
          </w:tcPr>
          <w:p>
            <w:pPr>
              <w:spacing w:line="278" w:lineRule="auto" w:after="0"/>
            </w:pPr>
            <w:r/>
            <w:r>
              <w:rPr>
                <w:rFonts w:ascii="Consolas" w:hAnsi="Consolas"/>
                <w:b w:val="0"/>
                <w:color w:val="526068"/>
                <w:sz w:val="15"/>
              </w:rPr>
              <w:t>cad_extraction — units, layer/block/sheet counts, summary, SVG, render error</w:t>
            </w:r>
          </w:p>
        </w:tc>
      </w:tr>
      <w:tr>
        <w:tc>
          <w:tcPr>
            <w:tcW w:type="dxa" w:w="1728"/>
          </w:tcPr>
          <w:p>
            <w:pPr>
              <w:spacing w:line="278" w:lineRule="auto" w:after="0"/>
            </w:pPr>
            <w:r/>
            <w:r>
              <w:rPr>
                <w:rFonts w:ascii="Calibri" w:hAnsi="Calibri"/>
                <w:b/>
                <w:color w:val="172126"/>
                <w:sz w:val="15"/>
              </w:rPr>
              <w:t>BIM</w:t>
            </w:r>
          </w:p>
        </w:tc>
        <w:tc>
          <w:tcPr>
            <w:tcW w:type="dxa" w:w="8208"/>
          </w:tcPr>
          <w:p>
            <w:pPr>
              <w:spacing w:line="278" w:lineRule="auto" w:after="0"/>
            </w:pPr>
            <w:r/>
            <w:r>
              <w:rPr>
                <w:rFonts w:ascii="Consolas" w:hAnsi="Consolas"/>
                <w:b w:val="0"/>
                <w:color w:val="526068"/>
                <w:sz w:val="15"/>
              </w:rPr>
              <w:t>bim_document, bim_proposal (propose-then-apply), bim_authored_tool</w:t>
            </w:r>
          </w:p>
        </w:tc>
      </w:tr>
      <w:tr>
        <w:tc>
          <w:tcPr>
            <w:tcW w:type="dxa" w:w="1728"/>
          </w:tcPr>
          <w:p>
            <w:pPr>
              <w:spacing w:line="278" w:lineRule="auto" w:after="0"/>
            </w:pPr>
            <w:r/>
            <w:r>
              <w:rPr>
                <w:rFonts w:ascii="Calibri" w:hAnsi="Calibri"/>
                <w:b/>
                <w:color w:val="172126"/>
                <w:sz w:val="15"/>
              </w:rPr>
              <w:t>PCM core</w:t>
            </w:r>
          </w:p>
        </w:tc>
        <w:tc>
          <w:tcPr>
            <w:tcW w:type="dxa" w:w="8208"/>
          </w:tcPr>
          <w:p>
            <w:pPr>
              <w:spacing w:line="278" w:lineRule="auto" w:after="0"/>
            </w:pPr>
            <w:r/>
            <w:r>
              <w:rPr>
                <w:rFonts w:ascii="Consolas" w:hAnsi="Consolas"/>
                <w:b w:val="0"/>
                <w:color w:val="526068"/>
                <w:sz w:val="15"/>
              </w:rPr>
              <w:t>pcm_project_revision, pcm_coordinate_system, pcm_spatial_node</w:t>
            </w:r>
          </w:p>
        </w:tc>
      </w:tr>
      <w:tr>
        <w:tc>
          <w:tcPr>
            <w:tcW w:type="dxa" w:w="1728"/>
          </w:tcPr>
          <w:p>
            <w:pPr>
              <w:spacing w:line="278" w:lineRule="auto" w:after="0"/>
            </w:pPr>
            <w:r/>
            <w:r>
              <w:rPr>
                <w:rFonts w:ascii="Calibri" w:hAnsi="Calibri"/>
                <w:b/>
                <w:color w:val="172126"/>
                <w:sz w:val="15"/>
              </w:rPr>
              <w:t>PCM objects</w:t>
            </w:r>
          </w:p>
        </w:tc>
        <w:tc>
          <w:tcPr>
            <w:tcW w:type="dxa" w:w="8208"/>
          </w:tcPr>
          <w:p>
            <w:pPr>
              <w:spacing w:line="278" w:lineRule="auto" w:after="0"/>
            </w:pPr>
            <w:r/>
            <w:r>
              <w:rPr>
                <w:rFonts w:ascii="Consolas" w:hAnsi="Consolas"/>
                <w:b w:val="0"/>
                <w:color w:val="526068"/>
                <w:sz w:val="15"/>
              </w:rPr>
              <w:t>pcm_object_type, pcm_object, pcm_property_value, pcm_relationship</w:t>
            </w:r>
          </w:p>
        </w:tc>
      </w:tr>
      <w:tr>
        <w:tc>
          <w:tcPr>
            <w:tcW w:type="dxa" w:w="1728"/>
          </w:tcPr>
          <w:p>
            <w:pPr>
              <w:spacing w:line="278" w:lineRule="auto" w:after="0"/>
            </w:pPr>
            <w:r/>
            <w:r>
              <w:rPr>
                <w:rFonts w:ascii="Calibri" w:hAnsi="Calibri"/>
                <w:b/>
                <w:color w:val="172126"/>
                <w:sz w:val="15"/>
              </w:rPr>
              <w:t>PCM change</w:t>
            </w:r>
          </w:p>
        </w:tc>
        <w:tc>
          <w:tcPr>
            <w:tcW w:type="dxa" w:w="8208"/>
          </w:tcPr>
          <w:p>
            <w:pPr>
              <w:spacing w:line="278" w:lineRule="auto" w:after="0"/>
            </w:pPr>
            <w:r/>
            <w:r>
              <w:rPr>
                <w:rFonts w:ascii="Consolas" w:hAnsi="Consolas"/>
                <w:b w:val="0"/>
                <w:color w:val="526068"/>
                <w:sz w:val="15"/>
              </w:rPr>
              <w:t>pcm_change_set, pcm_change_operation, pcm_source_transform</w:t>
            </w:r>
          </w:p>
        </w:tc>
      </w:tr>
      <w:tr>
        <w:tc>
          <w:tcPr>
            <w:tcW w:type="dxa" w:w="1728"/>
          </w:tcPr>
          <w:p>
            <w:pPr>
              <w:spacing w:line="278" w:lineRule="auto" w:after="0"/>
            </w:pPr>
            <w:r/>
            <w:r>
              <w:rPr>
                <w:rFonts w:ascii="Calibri" w:hAnsi="Calibri"/>
                <w:b/>
                <w:color w:val="172126"/>
                <w:sz w:val="15"/>
              </w:rPr>
              <w:t>PCM output</w:t>
            </w:r>
          </w:p>
        </w:tc>
        <w:tc>
          <w:tcPr>
            <w:tcW w:type="dxa" w:w="8208"/>
          </w:tcPr>
          <w:p>
            <w:pPr>
              <w:spacing w:line="278" w:lineRule="auto" w:after="0"/>
            </w:pPr>
            <w:r/>
            <w:r>
              <w:rPr>
                <w:rFonts w:ascii="Consolas" w:hAnsi="Consolas"/>
                <w:b w:val="0"/>
                <w:color w:val="526068"/>
                <w:sz w:val="15"/>
              </w:rPr>
              <w:t>pcm_quantity, pcm_boq_map — how geometry becomes a bill</w:t>
            </w:r>
          </w:p>
        </w:tc>
      </w:tr>
    </w:tbl>
    <w:p>
      <w:pPr>
        <w:spacing w:after="60"/>
      </w:pPr>
    </w:p>
    <w:p>
      <w:pPr>
        <w:spacing w:before="260" w:after="80" w:line="307" w:lineRule="auto"/>
      </w:pPr>
      <w:r>
        <w:rPr>
          <w:rFonts w:ascii="Calibri" w:hAnsi="Calibri"/>
          <w:b/>
          <w:color w:val="172126"/>
          <w:sz w:val="22"/>
        </w:rPr>
        <w:t>1.7  Commercial, library and operations — 19 tables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1728"/>
            <w:shd w:val="clear" w:fill="F0F3F4"/>
          </w:tcPr>
          <w:p>
            <w:r/>
            <w:r>
              <w:rPr>
                <w:rFonts w:ascii="Calibri" w:hAnsi="Calibri"/>
                <w:b/>
                <w:color w:val="667279"/>
                <w:sz w:val="13"/>
              </w:rPr>
              <w:t>GROUP</w:t>
            </w:r>
          </w:p>
        </w:tc>
        <w:tc>
          <w:tcPr>
            <w:tcW w:type="dxa" w:w="8208"/>
            <w:shd w:val="clear" w:fill="F0F3F4"/>
          </w:tcPr>
          <w:p>
            <w:r/>
            <w:r>
              <w:rPr>
                <w:rFonts w:ascii="Calibri" w:hAnsi="Calibri"/>
                <w:b/>
                <w:color w:val="667279"/>
                <w:sz w:val="13"/>
              </w:rPr>
              <w:t>TABLES</w:t>
            </w:r>
          </w:p>
        </w:tc>
      </w:tr>
      <w:tr>
        <w:tc>
          <w:tcPr>
            <w:tcW w:type="dxa" w:w="1728"/>
          </w:tcPr>
          <w:p>
            <w:pPr>
              <w:spacing w:line="278" w:lineRule="auto" w:after="0"/>
            </w:pPr>
            <w:r/>
            <w:r>
              <w:rPr>
                <w:rFonts w:ascii="Calibri" w:hAnsi="Calibri"/>
                <w:b/>
                <w:color w:val="172126"/>
                <w:sz w:val="15"/>
              </w:rPr>
              <w:t>Procurement</w:t>
            </w:r>
          </w:p>
        </w:tc>
        <w:tc>
          <w:tcPr>
            <w:tcW w:type="dxa" w:w="8208"/>
          </w:tcPr>
          <w:p>
            <w:pPr>
              <w:spacing w:line="278" w:lineRule="auto" w:after="0"/>
            </w:pPr>
            <w:r/>
            <w:r>
              <w:rPr>
                <w:rFonts w:ascii="Consolas" w:hAnsi="Consolas"/>
                <w:b w:val="0"/>
                <w:color w:val="526068"/>
                <w:sz w:val="15"/>
              </w:rPr>
              <w:t>rfq, rfq_vendor, vendor, quote, quote_line</w:t>
            </w:r>
          </w:p>
        </w:tc>
      </w:tr>
      <w:tr>
        <w:tc>
          <w:tcPr>
            <w:tcW w:type="dxa" w:w="1728"/>
          </w:tcPr>
          <w:p>
            <w:pPr>
              <w:spacing w:line="278" w:lineRule="auto" w:after="0"/>
            </w:pPr>
            <w:r/>
            <w:r>
              <w:rPr>
                <w:rFonts w:ascii="Calibri" w:hAnsi="Calibri"/>
                <w:b/>
                <w:color w:val="172126"/>
                <w:sz w:val="15"/>
              </w:rPr>
              <w:t>Measurement</w:t>
            </w:r>
          </w:p>
        </w:tc>
        <w:tc>
          <w:tcPr>
            <w:tcW w:type="dxa" w:w="8208"/>
          </w:tcPr>
          <w:p>
            <w:pPr>
              <w:spacing w:line="278" w:lineRule="auto" w:after="0"/>
            </w:pPr>
            <w:r/>
            <w:r>
              <w:rPr>
                <w:rFonts w:ascii="Consolas" w:hAnsi="Consolas"/>
                <w:b w:val="0"/>
                <w:color w:val="526068"/>
                <w:sz w:val="15"/>
              </w:rPr>
              <w:t>measurement_rule, measurement_rule_set — the standards a takeoff is measured against</w:t>
            </w:r>
          </w:p>
        </w:tc>
      </w:tr>
      <w:tr>
        <w:tc>
          <w:tcPr>
            <w:tcW w:type="dxa" w:w="1728"/>
          </w:tcPr>
          <w:p>
            <w:pPr>
              <w:spacing w:line="278" w:lineRule="auto" w:after="0"/>
            </w:pPr>
            <w:r/>
            <w:r>
              <w:rPr>
                <w:rFonts w:ascii="Calibri" w:hAnsi="Calibri"/>
                <w:b/>
                <w:color w:val="172126"/>
                <w:sz w:val="15"/>
              </w:rPr>
              <w:t>Library</w:t>
            </w:r>
          </w:p>
        </w:tc>
        <w:tc>
          <w:tcPr>
            <w:tcW w:type="dxa" w:w="8208"/>
          </w:tcPr>
          <w:p>
            <w:pPr>
              <w:spacing w:line="278" w:lineRule="auto" w:after="0"/>
            </w:pPr>
            <w:r/>
            <w:r>
              <w:rPr>
                <w:rFonts w:ascii="Consolas" w:hAnsi="Consolas"/>
                <w:b w:val="0"/>
                <w:color w:val="526068"/>
                <w:sz w:val="15"/>
              </w:rPr>
              <w:t>library_entry — rate books, standards, precedent (24 rows)</w:t>
            </w:r>
          </w:p>
        </w:tc>
      </w:tr>
      <w:tr>
        <w:tc>
          <w:tcPr>
            <w:tcW w:type="dxa" w:w="1728"/>
          </w:tcPr>
          <w:p>
            <w:pPr>
              <w:spacing w:line="278" w:lineRule="auto" w:after="0"/>
            </w:pPr>
            <w:r/>
            <w:r>
              <w:rPr>
                <w:rFonts w:ascii="Calibri" w:hAnsi="Calibri"/>
                <w:b/>
                <w:color w:val="172126"/>
                <w:sz w:val="15"/>
              </w:rPr>
              <w:t>Learning</w:t>
            </w:r>
          </w:p>
        </w:tc>
        <w:tc>
          <w:tcPr>
            <w:tcW w:type="dxa" w:w="8208"/>
          </w:tcPr>
          <w:p>
            <w:pPr>
              <w:spacing w:line="278" w:lineRule="auto" w:after="0"/>
            </w:pPr>
            <w:r/>
            <w:r>
              <w:rPr>
                <w:rFonts w:ascii="Consolas" w:hAnsi="Consolas"/>
                <w:b w:val="0"/>
                <w:color w:val="526068"/>
                <w:sz w:val="15"/>
              </w:rPr>
              <w:t>learned_lesson — corrections fed back as guidance (currently empty)</w:t>
            </w:r>
          </w:p>
        </w:tc>
      </w:tr>
      <w:tr>
        <w:tc>
          <w:tcPr>
            <w:tcW w:type="dxa" w:w="1728"/>
          </w:tcPr>
          <w:p>
            <w:pPr>
              <w:spacing w:line="278" w:lineRule="auto" w:after="0"/>
            </w:pPr>
            <w:r/>
            <w:r>
              <w:rPr>
                <w:rFonts w:ascii="Calibri" w:hAnsi="Calibri"/>
                <w:b/>
                <w:color w:val="172126"/>
                <w:sz w:val="15"/>
              </w:rPr>
              <w:t>Programme</w:t>
            </w:r>
          </w:p>
        </w:tc>
        <w:tc>
          <w:tcPr>
            <w:tcW w:type="dxa" w:w="8208"/>
          </w:tcPr>
          <w:p>
            <w:pPr>
              <w:spacing w:line="278" w:lineRule="auto" w:after="0"/>
            </w:pPr>
            <w:r/>
            <w:r>
              <w:rPr>
                <w:rFonts w:ascii="Consolas" w:hAnsi="Consolas"/>
                <w:b w:val="0"/>
                <w:color w:val="526068"/>
                <w:sz w:val="15"/>
              </w:rPr>
              <w:t>project_programme — the computed CPM result</w:t>
            </w:r>
          </w:p>
        </w:tc>
      </w:tr>
      <w:tr>
        <w:tc>
          <w:tcPr>
            <w:tcW w:type="dxa" w:w="1728"/>
          </w:tcPr>
          <w:p>
            <w:pPr>
              <w:spacing w:line="278" w:lineRule="auto" w:after="0"/>
            </w:pPr>
            <w:r/>
            <w:r>
              <w:rPr>
                <w:rFonts w:ascii="Calibri" w:hAnsi="Calibri"/>
                <w:b/>
                <w:color w:val="172126"/>
                <w:sz w:val="15"/>
              </w:rPr>
              <w:t>Copilot</w:t>
            </w:r>
          </w:p>
        </w:tc>
        <w:tc>
          <w:tcPr>
            <w:tcW w:type="dxa" w:w="8208"/>
          </w:tcPr>
          <w:p>
            <w:pPr>
              <w:spacing w:line="278" w:lineRule="auto" w:after="0"/>
            </w:pPr>
            <w:r/>
            <w:r>
              <w:rPr>
                <w:rFonts w:ascii="Consolas" w:hAnsi="Consolas"/>
                <w:b w:val="0"/>
                <w:color w:val="526068"/>
                <w:sz w:val="15"/>
              </w:rPr>
              <w:t>orchestrator_conversation, orchestrator_message</w:t>
            </w:r>
          </w:p>
        </w:tc>
      </w:tr>
      <w:tr>
        <w:tc>
          <w:tcPr>
            <w:tcW w:type="dxa" w:w="1728"/>
          </w:tcPr>
          <w:p>
            <w:pPr>
              <w:spacing w:line="278" w:lineRule="auto" w:after="0"/>
            </w:pPr>
            <w:r/>
            <w:r>
              <w:rPr>
                <w:rFonts w:ascii="Calibri" w:hAnsi="Calibri"/>
                <w:b/>
                <w:color w:val="172126"/>
                <w:sz w:val="15"/>
              </w:rPr>
              <w:t>Entitlement</w:t>
            </w:r>
          </w:p>
        </w:tc>
        <w:tc>
          <w:tcPr>
            <w:tcW w:type="dxa" w:w="8208"/>
          </w:tcPr>
          <w:p>
            <w:pPr>
              <w:spacing w:line="278" w:lineRule="auto" w:after="0"/>
            </w:pPr>
            <w:r/>
            <w:r>
              <w:rPr>
                <w:rFonts w:ascii="Consolas" w:hAnsi="Consolas"/>
                <w:b w:val="0"/>
                <w:color w:val="526068"/>
                <w:sz w:val="15"/>
              </w:rPr>
              <w:t>entitlement_snapshot — what the Host says this tenant may use</w:t>
            </w:r>
          </w:p>
        </w:tc>
      </w:tr>
      <w:tr>
        <w:tc>
          <w:tcPr>
            <w:tcW w:type="dxa" w:w="1728"/>
          </w:tcPr>
          <w:p>
            <w:pPr>
              <w:spacing w:line="278" w:lineRule="auto" w:after="0"/>
            </w:pPr>
            <w:r/>
            <w:r>
              <w:rPr>
                <w:rFonts w:ascii="Calibri" w:hAnsi="Calibri"/>
                <w:b/>
                <w:color w:val="172126"/>
                <w:sz w:val="15"/>
              </w:rPr>
              <w:t>Outbox</w:t>
            </w:r>
          </w:p>
        </w:tc>
        <w:tc>
          <w:tcPr>
            <w:tcW w:type="dxa" w:w="8208"/>
          </w:tcPr>
          <w:p>
            <w:pPr>
              <w:spacing w:line="278" w:lineRule="auto" w:after="0"/>
            </w:pPr>
            <w:r/>
            <w:r>
              <w:rPr>
                <w:rFonts w:ascii="Consolas" w:hAnsi="Consolas"/>
                <w:b w:val="0"/>
                <w:color w:val="526068"/>
                <w:sz w:val="15"/>
              </w:rPr>
              <w:t>event_outbox, usage_outbox — reliable async delivery</w:t>
            </w:r>
          </w:p>
        </w:tc>
      </w:tr>
    </w:tbl>
    <w:p>
      <w:pPr>
        <w:spacing w:after="60"/>
      </w:pPr>
    </w:p>
    <w:p>
      <w:pPr>
        <w:spacing w:before="260" w:after="80" w:line="307" w:lineRule="auto"/>
      </w:pPr>
      <w:r>
        <w:rPr>
          <w:rFonts w:ascii="Calibri" w:hAnsi="Calibri"/>
          <w:b/>
          <w:color w:val="172126"/>
          <w:sz w:val="22"/>
        </w:rPr>
        <w:t>1.8  Tenant isolation: the fifteen exceptions</w:t>
      </w:r>
    </w:p>
    <w:p>
      <w:pPr>
        <w:spacing w:before="0" w:after="140" w:line="307" w:lineRule="auto"/>
      </w:pPr>
      <w:r>
        <w:rPr>
          <w:rFonts w:ascii="Georgia" w:hAnsi="Georgia"/>
          <w:b w:val="0"/>
          <w:color w:val="526068"/>
          <w:sz w:val="19"/>
        </w:rPr>
        <w:t>71 of 86 tables carry a tenant_id, and every query names it explicitly because MySQL has no row-level security. The fifteen that do not fall into three groups, all defensible: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584"/>
            <w:shd w:val="clear" w:fill="F0F3F4"/>
          </w:tcPr>
          <w:p>
            <w:r/>
            <w:r>
              <w:rPr>
                <w:rFonts w:ascii="Calibri" w:hAnsi="Calibri"/>
                <w:b/>
                <w:color w:val="667279"/>
                <w:sz w:val="13"/>
              </w:rPr>
              <w:t>GROUP</w:t>
            </w:r>
          </w:p>
        </w:tc>
        <w:tc>
          <w:tcPr>
            <w:tcW w:type="dxa" w:w="4752"/>
            <w:shd w:val="clear" w:fill="F0F3F4"/>
          </w:tcPr>
          <w:p>
            <w:r/>
            <w:r>
              <w:rPr>
                <w:rFonts w:ascii="Calibri" w:hAnsi="Calibri"/>
                <w:b/>
                <w:color w:val="667279"/>
                <w:sz w:val="13"/>
              </w:rPr>
              <w:t>TABLES</w:t>
            </w:r>
          </w:p>
        </w:tc>
        <w:tc>
          <w:tcPr>
            <w:tcW w:type="dxa" w:w="3600"/>
            <w:shd w:val="clear" w:fill="F0F3F4"/>
          </w:tcPr>
          <w:p>
            <w:r/>
            <w:r>
              <w:rPr>
                <w:rFonts w:ascii="Calibri" w:hAnsi="Calibri"/>
                <w:b/>
                <w:color w:val="667279"/>
                <w:sz w:val="13"/>
              </w:rPr>
              <w:t>WHY</w:t>
            </w:r>
          </w:p>
        </w:tc>
      </w:tr>
      <w:tr>
        <w:tc>
          <w:tcPr>
            <w:tcW w:type="dxa" w:w="1584"/>
          </w:tcPr>
          <w:p>
            <w:pPr>
              <w:spacing w:line="278" w:lineRule="auto" w:after="0"/>
            </w:pPr>
            <w:r/>
            <w:r>
              <w:rPr>
                <w:rFonts w:ascii="Calibri" w:hAnsi="Calibri"/>
                <w:b/>
                <w:color w:val="172126"/>
                <w:sz w:val="15"/>
              </w:rPr>
              <w:t>Platform catalogue</w:t>
            </w:r>
          </w:p>
        </w:tc>
        <w:tc>
          <w:tcPr>
            <w:tcW w:type="dxa" w:w="4752"/>
          </w:tcPr>
          <w:p>
            <w:pPr>
              <w:spacing w:line="278" w:lineRule="auto" w:after="0"/>
            </w:pPr>
            <w:r/>
            <w:r>
              <w:rPr>
                <w:rFonts w:ascii="Consolas" w:hAnsi="Consolas"/>
                <w:b w:val="0"/>
                <w:color w:val="526068"/>
                <w:sz w:val="15"/>
              </w:rPr>
              <w:t>agent, workflow, artifact_type, ai_model_registry, ai_prompt_version, tenant_permission, supervisor_profile, domain</w:t>
            </w:r>
          </w:p>
        </w:tc>
        <w:tc>
          <w:tcPr>
            <w:tcW w:type="dxa" w:w="3600"/>
          </w:tcPr>
          <w:p>
            <w:pPr>
              <w:spacing w:line="278" w:lineRule="auto" w:after="0"/>
            </w:pPr>
            <w:r/>
            <w:r>
              <w:rPr>
                <w:rFonts w:ascii="Calibri" w:hAnsi="Calibri"/>
                <w:b w:val="0"/>
                <w:color w:val="526068"/>
                <w:sz w:val="15"/>
              </w:rPr>
              <w:t>Shared definitions. Every tenant sees the same agents and the same permission catalogue</w:t>
            </w:r>
          </w:p>
        </w:tc>
      </w:tr>
      <w:tr>
        <w:tc>
          <w:tcPr>
            <w:tcW w:type="dxa" w:w="1584"/>
          </w:tcPr>
          <w:p>
            <w:pPr>
              <w:spacing w:line="278" w:lineRule="auto" w:after="0"/>
            </w:pPr>
            <w:r/>
            <w:r>
              <w:rPr>
                <w:rFonts w:ascii="Calibri" w:hAnsi="Calibri"/>
                <w:b/>
                <w:color w:val="172126"/>
                <w:sz w:val="15"/>
              </w:rPr>
              <w:t>Auth library</w:t>
            </w:r>
          </w:p>
        </w:tc>
        <w:tc>
          <w:tcPr>
            <w:tcW w:type="dxa" w:w="4752"/>
          </w:tcPr>
          <w:p>
            <w:pPr>
              <w:spacing w:line="278" w:lineRule="auto" w:after="0"/>
            </w:pPr>
            <w:r/>
            <w:r>
              <w:rPr>
                <w:rFonts w:ascii="Consolas" w:hAnsi="Consolas"/>
                <w:b w:val="0"/>
                <w:color w:val="526068"/>
                <w:sz w:val="15"/>
              </w:rPr>
              <w:t>user, account, session, verification, twoFactor</w:t>
            </w:r>
          </w:p>
        </w:tc>
        <w:tc>
          <w:tcPr>
            <w:tcW w:type="dxa" w:w="3600"/>
          </w:tcPr>
          <w:p>
            <w:pPr>
              <w:spacing w:line="278" w:lineRule="auto" w:after="0"/>
            </w:pPr>
            <w:r/>
            <w:r>
              <w:rPr>
                <w:rFonts w:ascii="Calibri" w:hAnsi="Calibri"/>
                <w:b w:val="0"/>
                <w:color w:val="526068"/>
                <w:sz w:val="15"/>
              </w:rPr>
              <w:t>Better Auth's own schema. Tenant membership is expressed in app_user and user_role, which ARE scoped</w:t>
            </w:r>
          </w:p>
        </w:tc>
      </w:tr>
      <w:tr>
        <w:tc>
          <w:tcPr>
            <w:tcW w:type="dxa" w:w="1584"/>
          </w:tcPr>
          <w:p>
            <w:pPr>
              <w:spacing w:line="278" w:lineRule="auto" w:after="0"/>
            </w:pPr>
            <w:r/>
            <w:r>
              <w:rPr>
                <w:rFonts w:ascii="Calibri" w:hAnsi="Calibri"/>
                <w:b/>
                <w:color w:val="172126"/>
                <w:sz w:val="15"/>
              </w:rPr>
              <w:t>Child rows</w:t>
            </w:r>
          </w:p>
        </w:tc>
        <w:tc>
          <w:tcPr>
            <w:tcW w:type="dxa" w:w="4752"/>
          </w:tcPr>
          <w:p>
            <w:pPr>
              <w:spacing w:line="278" w:lineRule="auto" w:after="0"/>
            </w:pPr>
            <w:r/>
            <w:r>
              <w:rPr>
                <w:rFonts w:ascii="Consolas" w:hAnsi="Consolas"/>
                <w:b w:val="0"/>
                <w:color w:val="526068"/>
                <w:sz w:val="15"/>
              </w:rPr>
              <w:t>quote_line, rfq_vendor</w:t>
            </w:r>
          </w:p>
        </w:tc>
        <w:tc>
          <w:tcPr>
            <w:tcW w:type="dxa" w:w="3600"/>
          </w:tcPr>
          <w:p>
            <w:pPr>
              <w:spacing w:line="278" w:lineRule="auto" w:after="0"/>
            </w:pPr>
            <w:r/>
            <w:r>
              <w:rPr>
                <w:rFonts w:ascii="Calibri" w:hAnsi="Calibri"/>
                <w:b w:val="0"/>
                <w:color w:val="526068"/>
                <w:sz w:val="15"/>
              </w:rPr>
              <w:t>Scoped through their parent's foreign key rather than repeating the column</w:t>
            </w:r>
          </w:p>
        </w:tc>
      </w:tr>
    </w:tbl>
    <w:p>
      <w:pPr>
        <w:spacing w:after="6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WORTH A PERIODIC RE-CHECK</w:t>
            </w:r>
          </w:p>
          <w:p>
            <w:pPr>
              <w:spacing w:before="60" w:line="302" w:lineRule="auto"/>
            </w:pPr>
            <w:r>
              <w:rPr>
                <w:rFonts w:ascii="Georgia" w:hAnsi="Georgia"/>
                <w:color w:val="172126"/>
                <w:sz w:val="17"/>
              </w:rPr>
              <w:t>The child-row exception is the one that erodes. A future query that reaches quote_line without joining quote has no tenant predicate and no static scan will miss it, because the column is not there to look for.</w:t>
            </w:r>
          </w:p>
        </w:tc>
      </w:tr>
    </w:tbl>
    <w:p>
      <w:pPr>
        <w:spacing w:after="60"/>
      </w:pPr>
    </w:p>
    <w:p>
      <w:r>
        <w:br w:type="page"/>
      </w:r>
    </w:p>
    <w:p>
      <w:pPr>
        <w:spacing w:before="0" w:after="60" w:line="307" w:lineRule="auto"/>
      </w:pPr>
      <w:r>
        <w:rPr>
          <w:rFonts w:ascii="Consolas" w:hAnsi="Consolas"/>
          <w:b/>
          <w:color w:val="087E75"/>
          <w:sz w:val="15"/>
        </w:rPr>
        <w:t>PART 2</w:t>
      </w:r>
    </w:p>
    <w:p>
      <w:pPr>
        <w:spacing w:before="0" w:after="160" w:line="252" w:lineRule="auto"/>
      </w:pPr>
      <w:r>
        <w:rPr>
          <w:rFonts w:ascii="Georgia" w:hAnsi="Georgia"/>
          <w:b/>
          <w:color w:val="172126"/>
          <w:sz w:val="38"/>
        </w:rPr>
        <w:t>The AI stack</w:t>
      </w:r>
    </w:p>
    <w:p>
      <w:pPr>
        <w:spacing w:before="0" w:after="200" w:line="307" w:lineRule="auto"/>
      </w:pPr>
      <w:r>
        <w:rPr>
          <w:rFonts w:ascii="Georgia" w:hAnsi="Georgia"/>
          <w:b w:val="0"/>
          <w:color w:val="526068"/>
          <w:sz w:val="21"/>
        </w:rPr>
        <w:t>What is actually used, what is configured but idle, and what is specified but absent.</w:t>
      </w:r>
    </w:p>
    <w:p>
      <w:pPr>
        <w:spacing w:before="260" w:after="80" w:line="307" w:lineRule="auto"/>
      </w:pPr>
      <w:r>
        <w:rPr>
          <w:rFonts w:ascii="Calibri" w:hAnsi="Calibri"/>
          <w:b/>
          <w:color w:val="172126"/>
          <w:sz w:val="22"/>
        </w:rPr>
        <w:t>2.1  Models and providers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728"/>
            <w:shd w:val="clear" w:fill="F0F3F4"/>
          </w:tcPr>
          <w:p>
            <w:r/>
            <w:r>
              <w:rPr>
                <w:rFonts w:ascii="Calibri" w:hAnsi="Calibri"/>
                <w:b/>
                <w:color w:val="667279"/>
                <w:sz w:val="13"/>
              </w:rPr>
              <w:t>LAYER</w:t>
            </w:r>
          </w:p>
        </w:tc>
        <w:tc>
          <w:tcPr>
            <w:tcW w:type="dxa" w:w="6192"/>
            <w:shd w:val="clear" w:fill="F0F3F4"/>
          </w:tcPr>
          <w:p>
            <w:r/>
            <w:r>
              <w:rPr>
                <w:rFonts w:ascii="Calibri" w:hAnsi="Calibri"/>
                <w:b/>
                <w:color w:val="667279"/>
                <w:sz w:val="13"/>
              </w:rPr>
              <w:t>CHOICE</w:t>
            </w:r>
          </w:p>
        </w:tc>
        <w:tc>
          <w:tcPr>
            <w:tcW w:type="dxa" w:w="1008"/>
            <w:shd w:val="clear" w:fill="F0F3F4"/>
          </w:tcPr>
          <w:p>
            <w:r/>
            <w:r>
              <w:rPr>
                <w:rFonts w:ascii="Calibri" w:hAnsi="Calibri"/>
                <w:b/>
                <w:color w:val="667279"/>
                <w:sz w:val="13"/>
              </w:rPr>
              <w:t>STATE</w:t>
            </w:r>
          </w:p>
        </w:tc>
      </w:tr>
      <w:tr>
        <w:tc>
          <w:tcPr>
            <w:tcW w:type="dxa" w:w="1728"/>
          </w:tcPr>
          <w:p>
            <w:pPr>
              <w:spacing w:line="278" w:lineRule="auto" w:after="0"/>
            </w:pPr>
            <w:r/>
            <w:r>
              <w:rPr>
                <w:rFonts w:ascii="Calibri" w:hAnsi="Calibri"/>
                <w:b/>
                <w:color w:val="172126"/>
                <w:sz w:val="15"/>
              </w:rPr>
              <w:t>Provider</w:t>
            </w:r>
          </w:p>
        </w:tc>
        <w:tc>
          <w:tcPr>
            <w:tcW w:type="dxa" w:w="6192"/>
          </w:tcPr>
          <w:p>
            <w:pPr>
              <w:spacing w:line="278" w:lineRule="auto" w:after="0"/>
            </w:pPr>
            <w:r/>
            <w:r>
              <w:rPr>
                <w:rFonts w:ascii="Calibri" w:hAnsi="Calibri"/>
                <w:b w:val="0"/>
                <w:color w:val="526068"/>
                <w:sz w:val="15"/>
              </w:rPr>
              <w:t>Anthropic — the only one wired</w:t>
            </w:r>
          </w:p>
        </w:tc>
        <w:tc>
          <w:tcPr>
            <w:tcW w:type="dxa" w:w="1008"/>
            <w:shd w:val="clear" w:fill="E6F3F1"/>
          </w:tcPr>
          <w:p>
            <w:pPr>
              <w:spacing w:line="278" w:lineRule="auto" w:after="0"/>
            </w:pPr>
            <w:r/>
            <w:r>
              <w:rPr>
                <w:rFonts w:ascii="Calibri" w:hAnsi="Calibri"/>
                <w:b/>
                <w:color w:val="087E75"/>
                <w:sz w:val="15"/>
              </w:rPr>
              <w:t>Built</w:t>
            </w:r>
          </w:p>
        </w:tc>
      </w:tr>
      <w:tr>
        <w:tc>
          <w:tcPr>
            <w:tcW w:type="dxa" w:w="1728"/>
          </w:tcPr>
          <w:p>
            <w:pPr>
              <w:spacing w:line="278" w:lineRule="auto" w:after="0"/>
            </w:pPr>
            <w:r/>
            <w:r>
              <w:rPr>
                <w:rFonts w:ascii="Calibri" w:hAnsi="Calibri"/>
                <w:b/>
                <w:color w:val="172126"/>
                <w:sz w:val="15"/>
              </w:rPr>
              <w:t>Frontier</w:t>
            </w:r>
          </w:p>
        </w:tc>
        <w:tc>
          <w:tcPr>
            <w:tcW w:type="dxa" w:w="6192"/>
          </w:tcPr>
          <w:p>
            <w:pPr>
              <w:spacing w:line="278" w:lineRule="auto" w:after="0"/>
            </w:pPr>
            <w:r/>
            <w:r>
              <w:rPr>
                <w:rFonts w:ascii="Calibri" w:hAnsi="Calibri"/>
                <w:b w:val="0"/>
                <w:color w:val="526068"/>
                <w:sz w:val="15"/>
              </w:rPr>
              <w:t>claude-opus-4-8 via frontier-reasoning / frontier-multimodal</w:t>
            </w:r>
          </w:p>
        </w:tc>
        <w:tc>
          <w:tcPr>
            <w:tcW w:type="dxa" w:w="1008"/>
            <w:shd w:val="clear" w:fill="E6F3F1"/>
          </w:tcPr>
          <w:p>
            <w:pPr>
              <w:spacing w:line="278" w:lineRule="auto" w:after="0"/>
            </w:pPr>
            <w:r/>
            <w:r>
              <w:rPr>
                <w:rFonts w:ascii="Calibri" w:hAnsi="Calibri"/>
                <w:b/>
                <w:color w:val="087E75"/>
                <w:sz w:val="15"/>
              </w:rPr>
              <w:t>Built</w:t>
            </w:r>
          </w:p>
        </w:tc>
      </w:tr>
      <w:tr>
        <w:tc>
          <w:tcPr>
            <w:tcW w:type="dxa" w:w="1728"/>
          </w:tcPr>
          <w:p>
            <w:pPr>
              <w:spacing w:line="278" w:lineRule="auto" w:after="0"/>
            </w:pPr>
            <w:r/>
            <w:r>
              <w:rPr>
                <w:rFonts w:ascii="Calibri" w:hAnsi="Calibri"/>
                <w:b/>
                <w:color w:val="172126"/>
                <w:sz w:val="15"/>
              </w:rPr>
              <w:t>Standard</w:t>
            </w:r>
          </w:p>
        </w:tc>
        <w:tc>
          <w:tcPr>
            <w:tcW w:type="dxa" w:w="6192"/>
          </w:tcPr>
          <w:p>
            <w:pPr>
              <w:spacing w:line="278" w:lineRule="auto" w:after="0"/>
            </w:pPr>
            <w:r/>
            <w:r>
              <w:rPr>
                <w:rFonts w:ascii="Calibri" w:hAnsi="Calibri"/>
                <w:b w:val="0"/>
                <w:color w:val="526068"/>
                <w:sz w:val="15"/>
              </w:rPr>
              <w:t>claude-sonnet-5 via preckon-reasoning / preckon-multimodal</w:t>
            </w:r>
          </w:p>
        </w:tc>
        <w:tc>
          <w:tcPr>
            <w:tcW w:type="dxa" w:w="1008"/>
            <w:shd w:val="clear" w:fill="E6F3F1"/>
          </w:tcPr>
          <w:p>
            <w:pPr>
              <w:spacing w:line="278" w:lineRule="auto" w:after="0"/>
            </w:pPr>
            <w:r/>
            <w:r>
              <w:rPr>
                <w:rFonts w:ascii="Calibri" w:hAnsi="Calibri"/>
                <w:b/>
                <w:color w:val="087E75"/>
                <w:sz w:val="15"/>
              </w:rPr>
              <w:t>Built</w:t>
            </w:r>
          </w:p>
        </w:tc>
      </w:tr>
      <w:tr>
        <w:tc>
          <w:tcPr>
            <w:tcW w:type="dxa" w:w="1728"/>
          </w:tcPr>
          <w:p>
            <w:pPr>
              <w:spacing w:line="278" w:lineRule="auto" w:after="0"/>
            </w:pPr>
            <w:r/>
            <w:r>
              <w:rPr>
                <w:rFonts w:ascii="Calibri" w:hAnsi="Calibri"/>
                <w:b/>
                <w:color w:val="172126"/>
                <w:sz w:val="15"/>
              </w:rPr>
              <w:t>Routing</w:t>
            </w:r>
          </w:p>
        </w:tc>
        <w:tc>
          <w:tcPr>
            <w:tcW w:type="dxa" w:w="6192"/>
          </w:tcPr>
          <w:p>
            <w:pPr>
              <w:spacing w:line="278" w:lineRule="auto" w:after="0"/>
            </w:pPr>
            <w:r/>
            <w:r>
              <w:rPr>
                <w:rFonts w:ascii="Calibri" w:hAnsi="Calibri"/>
                <w:b w:val="0"/>
                <w:color w:val="526068"/>
                <w:sz w:val="15"/>
              </w:rPr>
              <w:t>claude-haiku-4-5 via preckon-small</w:t>
            </w:r>
          </w:p>
        </w:tc>
        <w:tc>
          <w:tcPr>
            <w:tcW w:type="dxa" w:w="1008"/>
            <w:shd w:val="clear" w:fill="E6F3F1"/>
          </w:tcPr>
          <w:p>
            <w:pPr>
              <w:spacing w:line="278" w:lineRule="auto" w:after="0"/>
            </w:pPr>
            <w:r/>
            <w:r>
              <w:rPr>
                <w:rFonts w:ascii="Calibri" w:hAnsi="Calibri"/>
                <w:b/>
                <w:color w:val="087E75"/>
                <w:sz w:val="15"/>
              </w:rPr>
              <w:t>Built</w:t>
            </w:r>
          </w:p>
        </w:tc>
      </w:tr>
      <w:tr>
        <w:tc>
          <w:tcPr>
            <w:tcW w:type="dxa" w:w="1728"/>
          </w:tcPr>
          <w:p>
            <w:pPr>
              <w:spacing w:line="278" w:lineRule="auto" w:after="0"/>
            </w:pPr>
            <w:r/>
            <w:r>
              <w:rPr>
                <w:rFonts w:ascii="Calibri" w:hAnsi="Calibri"/>
                <w:b/>
                <w:color w:val="172126"/>
                <w:sz w:val="15"/>
              </w:rPr>
              <w:t>Embeddings</w:t>
            </w:r>
          </w:p>
        </w:tc>
        <w:tc>
          <w:tcPr>
            <w:tcW w:type="dxa" w:w="6192"/>
          </w:tcPr>
          <w:p>
            <w:pPr>
              <w:spacing w:line="278" w:lineRule="auto" w:after="0"/>
            </w:pPr>
            <w:r/>
            <w:r>
              <w:rPr>
                <w:rFonts w:ascii="Calibri" w:hAnsi="Calibri"/>
                <w:b w:val="0"/>
                <w:color w:val="526068"/>
                <w:sz w:val="15"/>
              </w:rPr>
              <w:t>None. No OpenAI, no Voyage, no local encoder</w:t>
            </w:r>
          </w:p>
        </w:tc>
        <w:tc>
          <w:tcPr>
            <w:tcW w:type="dxa" w:w="1008"/>
            <w:shd w:val="clear" w:fill="FBEAE8"/>
          </w:tcPr>
          <w:p>
            <w:pPr>
              <w:spacing w:line="278" w:lineRule="auto" w:after="0"/>
            </w:pPr>
            <w:r/>
            <w:r>
              <w:rPr>
                <w:rFonts w:ascii="Calibri" w:hAnsi="Calibri"/>
                <w:b/>
                <w:color w:val="B42318"/>
                <w:sz w:val="15"/>
              </w:rPr>
              <w:t>Absent</w:t>
            </w:r>
          </w:p>
        </w:tc>
      </w:tr>
      <w:tr>
        <w:tc>
          <w:tcPr>
            <w:tcW w:type="dxa" w:w="1728"/>
          </w:tcPr>
          <w:p>
            <w:pPr>
              <w:spacing w:line="278" w:lineRule="auto" w:after="0"/>
            </w:pPr>
            <w:r/>
            <w:r>
              <w:rPr>
                <w:rFonts w:ascii="Calibri" w:hAnsi="Calibri"/>
                <w:b/>
                <w:color w:val="172126"/>
                <w:sz w:val="15"/>
              </w:rPr>
              <w:t>Second provider</w:t>
            </w:r>
          </w:p>
        </w:tc>
        <w:tc>
          <w:tcPr>
            <w:tcW w:type="dxa" w:w="6192"/>
          </w:tcPr>
          <w:p>
            <w:pPr>
              <w:spacing w:line="278" w:lineRule="auto" w:after="0"/>
            </w:pPr>
            <w:r/>
            <w:r>
              <w:rPr>
                <w:rFonts w:ascii="Calibri" w:hAnsi="Calibri"/>
                <w:b w:val="0"/>
                <w:color w:val="526068"/>
                <w:sz w:val="15"/>
              </w:rPr>
              <w:t>None. An outage stops all AI work</w:t>
            </w:r>
          </w:p>
        </w:tc>
        <w:tc>
          <w:tcPr>
            <w:tcW w:type="dxa" w:w="1008"/>
            <w:shd w:val="clear" w:fill="FBEAE8"/>
          </w:tcPr>
          <w:p>
            <w:pPr>
              <w:spacing w:line="278" w:lineRule="auto" w:after="0"/>
            </w:pPr>
            <w:r/>
            <w:r>
              <w:rPr>
                <w:rFonts w:ascii="Calibri" w:hAnsi="Calibri"/>
                <w:b/>
                <w:color w:val="B42318"/>
                <w:sz w:val="15"/>
              </w:rPr>
              <w:t>Absent</w:t>
            </w:r>
          </w:p>
        </w:tc>
      </w:tr>
      <w:tr>
        <w:tc>
          <w:tcPr>
            <w:tcW w:type="dxa" w:w="1728"/>
          </w:tcPr>
          <w:p>
            <w:pPr>
              <w:spacing w:line="278" w:lineRule="auto" w:after="0"/>
            </w:pPr>
            <w:r/>
            <w:r>
              <w:rPr>
                <w:rFonts w:ascii="Calibri" w:hAnsi="Calibri"/>
                <w:b/>
                <w:color w:val="172126"/>
                <w:sz w:val="15"/>
              </w:rPr>
              <w:t>Self-hosted</w:t>
            </w:r>
          </w:p>
        </w:tc>
        <w:tc>
          <w:tcPr>
            <w:tcW w:type="dxa" w:w="6192"/>
          </w:tcPr>
          <w:p>
            <w:pPr>
              <w:spacing w:line="278" w:lineRule="auto" w:after="0"/>
            </w:pPr>
            <w:r/>
            <w:r>
              <w:rPr>
                <w:rFonts w:ascii="Calibri" w:hAnsi="Calibri"/>
                <w:b w:val="0"/>
                <w:color w:val="526068"/>
                <w:sz w:val="15"/>
              </w:rPr>
              <w:t>Ollama present on the host, not wired into the fabric</w:t>
            </w:r>
          </w:p>
        </w:tc>
        <w:tc>
          <w:tcPr>
            <w:tcW w:type="dxa" w:w="1008"/>
          </w:tcPr>
          <w:p>
            <w:pPr>
              <w:spacing w:line="278" w:lineRule="auto" w:after="0"/>
            </w:pPr>
            <w:r/>
            <w:r>
              <w:rPr>
                <w:rFonts w:ascii="Calibri" w:hAnsi="Calibri"/>
                <w:b/>
                <w:color w:val="667279"/>
                <w:sz w:val="15"/>
              </w:rPr>
              <w:t>Planned</w:t>
            </w:r>
          </w:p>
        </w:tc>
      </w:tr>
    </w:tbl>
    <w:p>
      <w:pPr>
        <w:spacing w:after="60"/>
      </w:pPr>
    </w:p>
    <w:p>
      <w:pPr>
        <w:spacing w:before="260" w:after="80" w:line="307" w:lineRule="auto"/>
      </w:pPr>
      <w:r>
        <w:rPr>
          <w:rFonts w:ascii="Calibri" w:hAnsi="Calibri"/>
          <w:b/>
          <w:color w:val="172126"/>
          <w:sz w:val="22"/>
        </w:rPr>
        <w:t>2.2  The governed path</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request</w:t>
              <w:br/>
              <w:t xml:space="preserve">  -&gt; ai/policy.ts        may this data reach this boundary?</w:t>
              <w:br/>
              <w:t xml:space="preserve">  -&gt; ai/registry.ts      which model does this alias mean, at what rate?</w:t>
              <w:br/>
              <w:t xml:space="preserve">  -&gt; ai/budget.ts        token / cost / latency / tier ceilings</w:t>
              <w:br/>
              <w:t xml:space="preserve">  -&gt; ai/govern.ts        asks all three, in one place, pure</w:t>
              <w:br/>
              <w:t xml:space="preserve">  -&gt; ai/cache.ts         has this exact question been asked?</w:t>
              <w:br/>
              <w:t xml:space="preserve">  -&gt; ai/prompt-store.ts  which prompt version?</w:t>
              <w:br/>
              <w:t xml:space="preserve">  -&gt; worker              stateless, zero deps, holds the key</w:t>
              <w:br/>
              <w:t xml:space="preserve">  -&gt; ai_usage_ledger     one row per attempt</w:t>
            </w:r>
          </w:p>
        </w:tc>
      </w:tr>
    </w:tbl>
    <w:p>
      <w:pPr>
        <w:spacing w:after="40"/>
      </w:pPr>
    </w:p>
    <w:p>
      <w:pPr>
        <w:spacing w:before="260" w:after="80" w:line="307" w:lineRule="auto"/>
      </w:pPr>
      <w:r>
        <w:rPr>
          <w:rFonts w:ascii="Calibri" w:hAnsi="Calibri"/>
          <w:b/>
          <w:color w:val="172126"/>
          <w:sz w:val="22"/>
        </w:rPr>
        <w:t>2.3  Retrieval and knowledge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016"/>
            <w:shd w:val="clear" w:fill="F0F3F4"/>
          </w:tcPr>
          <w:p>
            <w:r/>
            <w:r>
              <w:rPr>
                <w:rFonts w:ascii="Calibri" w:hAnsi="Calibri"/>
                <w:b/>
                <w:color w:val="667279"/>
                <w:sz w:val="13"/>
              </w:rPr>
              <w:t>COMPONENT</w:t>
            </w:r>
          </w:p>
        </w:tc>
        <w:tc>
          <w:tcPr>
            <w:tcW w:type="dxa" w:w="5904"/>
            <w:shd w:val="clear" w:fill="F0F3F4"/>
          </w:tcPr>
          <w:p>
            <w:r/>
            <w:r>
              <w:rPr>
                <w:rFonts w:ascii="Calibri" w:hAnsi="Calibri"/>
                <w:b/>
                <w:color w:val="667279"/>
                <w:sz w:val="13"/>
              </w:rPr>
              <w:t>IMPLEMENTATION</w:t>
            </w:r>
          </w:p>
        </w:tc>
        <w:tc>
          <w:tcPr>
            <w:tcW w:type="dxa" w:w="1008"/>
            <w:shd w:val="clear" w:fill="F0F3F4"/>
          </w:tcPr>
          <w:p>
            <w:r/>
            <w:r>
              <w:rPr>
                <w:rFonts w:ascii="Calibri" w:hAnsi="Calibri"/>
                <w:b/>
                <w:color w:val="667279"/>
                <w:sz w:val="13"/>
              </w:rPr>
              <w:t>STATE</w:t>
            </w:r>
          </w:p>
        </w:tc>
      </w:tr>
      <w:tr>
        <w:tc>
          <w:tcPr>
            <w:tcW w:type="dxa" w:w="2016"/>
          </w:tcPr>
          <w:p>
            <w:pPr>
              <w:spacing w:line="278" w:lineRule="auto" w:after="0"/>
            </w:pPr>
            <w:r/>
            <w:r>
              <w:rPr>
                <w:rFonts w:ascii="Calibri" w:hAnsi="Calibri"/>
                <w:b/>
                <w:color w:val="172126"/>
                <w:sz w:val="15"/>
              </w:rPr>
              <w:t>Search</w:t>
            </w:r>
          </w:p>
        </w:tc>
        <w:tc>
          <w:tcPr>
            <w:tcW w:type="dxa" w:w="5904"/>
          </w:tcPr>
          <w:p>
            <w:pPr>
              <w:spacing w:line="278" w:lineRule="auto" w:after="0"/>
            </w:pPr>
            <w:r/>
            <w:r>
              <w:rPr>
                <w:rFonts w:ascii="Calibri" w:hAnsi="Calibri"/>
                <w:b w:val="0"/>
                <w:color w:val="526068"/>
                <w:sz w:val="15"/>
              </w:rPr>
              <w:t>MySQL FULLTEXT, natural-language mode, with an identifier boost and a LIKE fallback</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Chunking</w:t>
            </w:r>
          </w:p>
        </w:tc>
        <w:tc>
          <w:tcPr>
            <w:tcW w:type="dxa" w:w="5904"/>
          </w:tcPr>
          <w:p>
            <w:pPr>
              <w:spacing w:line="278" w:lineRule="auto" w:after="0"/>
            </w:pPr>
            <w:r/>
            <w:r>
              <w:rPr>
                <w:rFonts w:ascii="Calibri" w:hAnsi="Calibri"/>
                <w:b w:val="0"/>
                <w:color w:val="526068"/>
                <w:sz w:val="15"/>
              </w:rPr>
              <w:t>Paragraph then sentence boundaries — never mid-sentence unless a sentence exceeds the budget</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Vector search</w:t>
            </w:r>
          </w:p>
        </w:tc>
        <w:tc>
          <w:tcPr>
            <w:tcW w:type="dxa" w:w="5904"/>
          </w:tcPr>
          <w:p>
            <w:pPr>
              <w:spacing w:line="278" w:lineRule="auto" w:after="0"/>
            </w:pPr>
            <w:r/>
            <w:r>
              <w:rPr>
                <w:rFonts w:ascii="Calibri" w:hAnsi="Calibri"/>
                <w:b w:val="0"/>
                <w:color w:val="526068"/>
                <w:sz w:val="15"/>
              </w:rPr>
              <w:t>chunk.embedding column exists; nothing writes it</w:t>
            </w:r>
          </w:p>
        </w:tc>
        <w:tc>
          <w:tcPr>
            <w:tcW w:type="dxa" w:w="1008"/>
            <w:shd w:val="clear" w:fill="FBEAE8"/>
          </w:tcPr>
          <w:p>
            <w:pPr>
              <w:spacing w:line="278" w:lineRule="auto" w:after="0"/>
            </w:pPr>
            <w:r/>
            <w:r>
              <w:rPr>
                <w:rFonts w:ascii="Calibri" w:hAnsi="Calibri"/>
                <w:b/>
                <w:color w:val="B42318"/>
                <w:sz w:val="15"/>
              </w:rPr>
              <w:t>Absent</w:t>
            </w:r>
          </w:p>
        </w:tc>
      </w:tr>
      <w:tr>
        <w:tc>
          <w:tcPr>
            <w:tcW w:type="dxa" w:w="2016"/>
          </w:tcPr>
          <w:p>
            <w:pPr>
              <w:spacing w:line="278" w:lineRule="auto" w:after="0"/>
            </w:pPr>
            <w:r/>
            <w:r>
              <w:rPr>
                <w:rFonts w:ascii="Calibri" w:hAnsi="Calibri"/>
                <w:b/>
                <w:color w:val="172126"/>
                <w:sz w:val="15"/>
              </w:rPr>
              <w:t>Reranking</w:t>
            </w:r>
          </w:p>
        </w:tc>
        <w:tc>
          <w:tcPr>
            <w:tcW w:type="dxa" w:w="5904"/>
          </w:tcPr>
          <w:p>
            <w:pPr>
              <w:spacing w:line="278" w:lineRule="auto" w:after="0"/>
            </w:pPr>
            <w:r/>
            <w:r>
              <w:rPr>
                <w:rFonts w:ascii="Calibri" w:hAnsi="Calibri"/>
                <w:b w:val="0"/>
                <w:color w:val="526068"/>
                <w:sz w:val="15"/>
              </w:rPr>
              <w:t>None</w:t>
            </w:r>
          </w:p>
        </w:tc>
        <w:tc>
          <w:tcPr>
            <w:tcW w:type="dxa" w:w="1008"/>
            <w:shd w:val="clear" w:fill="FBEAE8"/>
          </w:tcPr>
          <w:p>
            <w:pPr>
              <w:spacing w:line="278" w:lineRule="auto" w:after="0"/>
            </w:pPr>
            <w:r/>
            <w:r>
              <w:rPr>
                <w:rFonts w:ascii="Calibri" w:hAnsi="Calibri"/>
                <w:b/>
                <w:color w:val="B42318"/>
                <w:sz w:val="15"/>
              </w:rPr>
              <w:t>Absent</w:t>
            </w:r>
          </w:p>
        </w:tc>
      </w:tr>
      <w:tr>
        <w:tc>
          <w:tcPr>
            <w:tcW w:type="dxa" w:w="2016"/>
          </w:tcPr>
          <w:p>
            <w:pPr>
              <w:spacing w:line="278" w:lineRule="auto" w:after="0"/>
            </w:pPr>
            <w:r/>
            <w:r>
              <w:rPr>
                <w:rFonts w:ascii="Calibri" w:hAnsi="Calibri"/>
                <w:b/>
                <w:color w:val="172126"/>
                <w:sz w:val="15"/>
              </w:rPr>
              <w:t>Domain knowledge</w:t>
            </w:r>
          </w:p>
        </w:tc>
        <w:tc>
          <w:tcPr>
            <w:tcW w:type="dxa" w:w="5904"/>
          </w:tcPr>
          <w:p>
            <w:pPr>
              <w:spacing w:line="278" w:lineRule="auto" w:after="0"/>
            </w:pPr>
            <w:r/>
            <w:r>
              <w:rPr>
                <w:rFonts w:ascii="Calibri" w:hAnsi="Calibri"/>
                <w:b w:val="0"/>
                <w:color w:val="526068"/>
                <w:sz w:val="15"/>
              </w:rPr>
              <w:t>worker/src/knowledge.mjs — unit normalisation, estimating judgement, dependency-free</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Few-shot</w:t>
            </w:r>
          </w:p>
        </w:tc>
        <w:tc>
          <w:tcPr>
            <w:tcW w:type="dxa" w:w="5904"/>
          </w:tcPr>
          <w:p>
            <w:pPr>
              <w:spacing w:line="278" w:lineRule="auto" w:after="0"/>
            </w:pPr>
            <w:r/>
            <w:r>
              <w:rPr>
                <w:rFonts w:ascii="Calibri" w:hAnsi="Calibri"/>
                <w:b w:val="0"/>
                <w:color w:val="526068"/>
                <w:sz w:val="15"/>
              </w:rPr>
              <w:t>worker/src/exemplars.mjs — worked BOQ examples selected by relevance</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Disciplines</w:t>
            </w:r>
          </w:p>
        </w:tc>
        <w:tc>
          <w:tcPr>
            <w:tcW w:type="dxa" w:w="5904"/>
          </w:tcPr>
          <w:p>
            <w:pPr>
              <w:spacing w:line="278" w:lineRule="auto" w:after="0"/>
            </w:pPr>
            <w:r/>
            <w:r>
              <w:rPr>
                <w:rFonts w:ascii="Calibri" w:hAnsi="Calibri"/>
                <w:b w:val="0"/>
                <w:color w:val="526068"/>
                <w:sz w:val="15"/>
              </w:rPr>
              <w:t>worker/src/disciplines.mjs — per-discipline measurement conventions</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Rate books</w:t>
            </w:r>
          </w:p>
        </w:tc>
        <w:tc>
          <w:tcPr>
            <w:tcW w:type="dxa" w:w="5904"/>
          </w:tcPr>
          <w:p>
            <w:pPr>
              <w:spacing w:line="278" w:lineRule="auto" w:after="0"/>
            </w:pPr>
            <w:r/>
            <w:r>
              <w:rPr>
                <w:rFonts w:ascii="Calibri" w:hAnsi="Calibri"/>
                <w:b w:val="0"/>
                <w:color w:val="526068"/>
                <w:sz w:val="15"/>
              </w:rPr>
              <w:t>library_entry, 24 rows</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Feedback loop</w:t>
            </w:r>
          </w:p>
        </w:tc>
        <w:tc>
          <w:tcPr>
            <w:tcW w:type="dxa" w:w="5904"/>
          </w:tcPr>
          <w:p>
            <w:pPr>
              <w:spacing w:line="278" w:lineRule="auto" w:after="0"/>
            </w:pPr>
            <w:r/>
            <w:r>
              <w:rPr>
                <w:rFonts w:ascii="Calibri" w:hAnsi="Calibri"/>
                <w:b w:val="0"/>
                <w:color w:val="526068"/>
                <w:sz w:val="15"/>
              </w:rPr>
              <w:t>learned_lesson — table and module exist, no rows</w:t>
            </w:r>
          </w:p>
        </w:tc>
        <w:tc>
          <w:tcPr>
            <w:tcW w:type="dxa" w:w="1008"/>
            <w:shd w:val="clear" w:fill="FBF0E0"/>
          </w:tcPr>
          <w:p>
            <w:pPr>
              <w:spacing w:line="278" w:lineRule="auto" w:after="0"/>
            </w:pPr>
            <w:r/>
            <w:r>
              <w:rPr>
                <w:rFonts w:ascii="Calibri" w:hAnsi="Calibri"/>
                <w:b/>
                <w:color w:val="A56000"/>
                <w:sz w:val="15"/>
              </w:rPr>
              <w:t>Partial</w:t>
            </w:r>
          </w:p>
        </w:tc>
      </w:tr>
      <w:tr>
        <w:tc>
          <w:tcPr>
            <w:tcW w:type="dxa" w:w="2016"/>
          </w:tcPr>
          <w:p>
            <w:pPr>
              <w:spacing w:line="278" w:lineRule="auto" w:after="0"/>
            </w:pPr>
            <w:r/>
            <w:r>
              <w:rPr>
                <w:rFonts w:ascii="Calibri" w:hAnsi="Calibri"/>
                <w:b/>
                <w:color w:val="172126"/>
                <w:sz w:val="15"/>
              </w:rPr>
              <w:t>Knowledge graph</w:t>
            </w:r>
          </w:p>
        </w:tc>
        <w:tc>
          <w:tcPr>
            <w:tcW w:type="dxa" w:w="5904"/>
          </w:tcPr>
          <w:p>
            <w:pPr>
              <w:spacing w:line="278" w:lineRule="auto" w:after="0"/>
            </w:pPr>
            <w:r/>
            <w:r>
              <w:rPr>
                <w:rFonts w:ascii="Calibri" w:hAnsi="Calibri"/>
                <w:b w:val="0"/>
                <w:color w:val="526068"/>
                <w:sz w:val="15"/>
              </w:rPr>
              <w:t>Specified across a whole PEB volume. No graph store in the schema</w:t>
            </w:r>
          </w:p>
        </w:tc>
        <w:tc>
          <w:tcPr>
            <w:tcW w:type="dxa" w:w="1008"/>
            <w:shd w:val="clear" w:fill="FBEAE8"/>
          </w:tcPr>
          <w:p>
            <w:pPr>
              <w:spacing w:line="278" w:lineRule="auto" w:after="0"/>
            </w:pPr>
            <w:r/>
            <w:r>
              <w:rPr>
                <w:rFonts w:ascii="Calibri" w:hAnsi="Calibri"/>
                <w:b/>
                <w:color w:val="B42318"/>
                <w:sz w:val="15"/>
              </w:rPr>
              <w:t>Absent</w:t>
            </w:r>
          </w:p>
        </w:tc>
      </w:tr>
    </w:tbl>
    <w:p>
      <w:pPr>
        <w:spacing w:after="60"/>
      </w:pP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10080"/>
      </w:tblGrid>
      <w:tr>
        <w:tc>
          <w:tcPr>
            <w:tcW w:type="dxa" w:w="10080"/>
            <w:shd w:val="clear" w:fill="E6F3F1"/>
          </w:tcPr>
          <w:p>
            <w:r/>
            <w:r>
              <w:rPr>
                <w:rFonts w:ascii="Calibri" w:hAnsi="Calibri"/>
                <w:b/>
                <w:color w:val="087E75"/>
                <w:sz w:val="14"/>
              </w:rPr>
              <w:t>WHY LEXICAL RATHER THAN VECTOR</w:t>
            </w:r>
          </w:p>
          <w:p>
            <w:pPr>
              <w:spacing w:before="60" w:line="302" w:lineRule="auto"/>
            </w:pPr>
            <w:r>
              <w:rPr>
                <w:rFonts w:ascii="Georgia" w:hAnsi="Georgia"/>
                <w:color w:val="172126"/>
                <w:sz w:val="17"/>
              </w:rPr>
              <w:t>Construction questions are dominated by exact identifiers — A-201, BOQ-CIV-001, SECTION 03 30 00. A literal match on those beats a passage that is merely about the same topic, and FULLTEXT drops tokens that short, which is what the LIKE fallback exists for. Embeddings would have been the fashionable answer and a worse one. The column is there if a semantic layer is ever wanted.</w:t>
            </w:r>
          </w:p>
        </w:tc>
      </w:tr>
    </w:tbl>
    <w:p>
      <w:pPr>
        <w:spacing w:after="60"/>
      </w:pPr>
    </w:p>
    <w:p>
      <w:pPr>
        <w:spacing w:before="260" w:after="80" w:line="307" w:lineRule="auto"/>
      </w:pPr>
      <w:r>
        <w:rPr>
          <w:rFonts w:ascii="Calibri" w:hAnsi="Calibri"/>
          <w:b/>
          <w:color w:val="172126"/>
          <w:sz w:val="22"/>
        </w:rPr>
        <w:t>2.4  Tooling and evaluation</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160"/>
            <w:shd w:val="clear" w:fill="F0F3F4"/>
          </w:tcPr>
          <w:p>
            <w:r/>
            <w:r>
              <w:rPr>
                <w:rFonts w:ascii="Calibri" w:hAnsi="Calibri"/>
                <w:b/>
                <w:color w:val="667279"/>
                <w:sz w:val="13"/>
              </w:rPr>
              <w:t>COMPONENT</w:t>
            </w:r>
          </w:p>
        </w:tc>
        <w:tc>
          <w:tcPr>
            <w:tcW w:type="dxa" w:w="5760"/>
            <w:shd w:val="clear" w:fill="F0F3F4"/>
          </w:tcPr>
          <w:p>
            <w:r/>
            <w:r>
              <w:rPr>
                <w:rFonts w:ascii="Calibri" w:hAnsi="Calibri"/>
                <w:b/>
                <w:color w:val="667279"/>
                <w:sz w:val="13"/>
              </w:rPr>
              <w:t>IMPLEMENTATION</w:t>
            </w:r>
          </w:p>
        </w:tc>
        <w:tc>
          <w:tcPr>
            <w:tcW w:type="dxa" w:w="1008"/>
            <w:shd w:val="clear" w:fill="F0F3F4"/>
          </w:tcPr>
          <w:p>
            <w:r/>
            <w:r>
              <w:rPr>
                <w:rFonts w:ascii="Calibri" w:hAnsi="Calibri"/>
                <w:b/>
                <w:color w:val="667279"/>
                <w:sz w:val="13"/>
              </w:rPr>
              <w:t>STATE</w:t>
            </w:r>
          </w:p>
        </w:tc>
      </w:tr>
      <w:tr>
        <w:tc>
          <w:tcPr>
            <w:tcW w:type="dxa" w:w="2160"/>
          </w:tcPr>
          <w:p>
            <w:pPr>
              <w:spacing w:line="278" w:lineRule="auto" w:after="0"/>
            </w:pPr>
            <w:r/>
            <w:r>
              <w:rPr>
                <w:rFonts w:ascii="Calibri" w:hAnsi="Calibri"/>
                <w:b/>
                <w:color w:val="172126"/>
                <w:sz w:val="15"/>
              </w:rPr>
              <w:t>Tool registry</w:t>
            </w:r>
          </w:p>
        </w:tc>
        <w:tc>
          <w:tcPr>
            <w:tcW w:type="dxa" w:w="5760"/>
          </w:tcPr>
          <w:p>
            <w:pPr>
              <w:spacing w:line="278" w:lineRule="auto" w:after="0"/>
            </w:pPr>
            <w:r/>
            <w:r>
              <w:rPr>
                <w:rFonts w:ascii="Calibri" w:hAnsi="Calibri"/>
                <w:b w:val="0"/>
                <w:color w:val="526068"/>
                <w:sz w:val="15"/>
              </w:rPr>
              <w:t>10 read-only CAD tools + a BIM registry with user-authored tools</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Agentic loop</w:t>
            </w:r>
          </w:p>
        </w:tc>
        <w:tc>
          <w:tcPr>
            <w:tcW w:type="dxa" w:w="5760"/>
          </w:tcPr>
          <w:p>
            <w:pPr>
              <w:spacing w:line="278" w:lineRule="auto" w:after="0"/>
            </w:pPr>
            <w:r/>
            <w:r>
              <w:rPr>
                <w:rFonts w:ascii="Calibri" w:hAnsi="Calibri"/>
                <w:b w:val="0"/>
                <w:color w:val="526068"/>
                <w:sz w:val="15"/>
              </w:rPr>
              <w:t>worker/src/agentic-loop.mjs, 157 lines, no framework</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Vision</w:t>
            </w:r>
          </w:p>
        </w:tc>
        <w:tc>
          <w:tcPr>
            <w:tcW w:type="dxa" w:w="5760"/>
          </w:tcPr>
          <w:p>
            <w:pPr>
              <w:spacing w:line="278" w:lineRule="auto" w:after="0"/>
            </w:pPr>
            <w:r/>
            <w:r>
              <w:rPr>
                <w:rFonts w:ascii="Calibri" w:hAnsi="Calibri"/>
                <w:b w:val="0"/>
                <w:color w:val="526068"/>
                <w:sz w:val="15"/>
              </w:rPr>
              <w:t>worker/src/vision.mjs — rasterised PDF sheets via the CAD sidecar</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Tool selection scoring</w:t>
            </w:r>
          </w:p>
        </w:tc>
        <w:tc>
          <w:tcPr>
            <w:tcW w:type="dxa" w:w="5760"/>
          </w:tcPr>
          <w:p>
            <w:pPr>
              <w:spacing w:line="278" w:lineRule="auto" w:after="0"/>
            </w:pPr>
            <w:r/>
            <w:r>
              <w:rPr>
                <w:rFonts w:ascii="Calibri" w:hAnsi="Calibri"/>
                <w:b w:val="0"/>
                <w:color w:val="526068"/>
                <w:sz w:val="15"/>
              </w:rPr>
              <w:t>25-case corpus, 92% top-1, gated in CI</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Retrieval scoring</w:t>
            </w:r>
          </w:p>
        </w:tc>
        <w:tc>
          <w:tcPr>
            <w:tcW w:type="dxa" w:w="5760"/>
          </w:tcPr>
          <w:p>
            <w:pPr>
              <w:spacing w:line="278" w:lineRule="auto" w:after="0"/>
            </w:pPr>
            <w:r/>
            <w:r>
              <w:rPr>
                <w:rFonts w:ascii="Calibri" w:hAnsi="Calibri"/>
                <w:b w:val="0"/>
                <w:color w:val="526068"/>
                <w:sz w:val="15"/>
              </w:rPr>
              <w:t>precision@1, recall@5, MRR over a per-project corpus</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Citation fidelity</w:t>
            </w:r>
          </w:p>
        </w:tc>
        <w:tc>
          <w:tcPr>
            <w:tcW w:type="dxa" w:w="5760"/>
          </w:tcPr>
          <w:p>
            <w:pPr>
              <w:spacing w:line="278" w:lineRule="auto" w:after="0"/>
            </w:pPr>
            <w:r/>
            <w:r>
              <w:rPr>
                <w:rFonts w:ascii="Calibri" w:hAnsi="Calibri"/>
                <w:b w:val="0"/>
                <w:color w:val="526068"/>
                <w:sz w:val="15"/>
              </w:rPr>
              <w:t>Every number in a claim must appear in the cited passage</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Extraction accuracy</w:t>
            </w:r>
          </w:p>
        </w:tc>
        <w:tc>
          <w:tcPr>
            <w:tcW w:type="dxa" w:w="5760"/>
          </w:tcPr>
          <w:p>
            <w:pPr>
              <w:spacing w:line="278" w:lineRule="auto" w:after="0"/>
            </w:pPr>
            <w:r/>
            <w:r>
              <w:rPr>
                <w:rFonts w:ascii="Calibri" w:hAnsi="Calibri"/>
                <w:b w:val="0"/>
                <w:color w:val="526068"/>
                <w:sz w:val="15"/>
              </w:rPr>
              <w:t>Needs a golden project with known-correct answers</w:t>
            </w:r>
          </w:p>
        </w:tc>
        <w:tc>
          <w:tcPr>
            <w:tcW w:type="dxa" w:w="1008"/>
            <w:shd w:val="clear" w:fill="FBEAE8"/>
          </w:tcPr>
          <w:p>
            <w:pPr>
              <w:spacing w:line="278" w:lineRule="auto" w:after="0"/>
            </w:pPr>
            <w:r/>
            <w:r>
              <w:rPr>
                <w:rFonts w:ascii="Calibri" w:hAnsi="Calibri"/>
                <w:b/>
                <w:color w:val="B42318"/>
                <w:sz w:val="15"/>
              </w:rPr>
              <w:t>Absent</w:t>
            </w:r>
          </w:p>
        </w:tc>
      </w:tr>
      <w:tr>
        <w:tc>
          <w:tcPr>
            <w:tcW w:type="dxa" w:w="2160"/>
          </w:tcPr>
          <w:p>
            <w:pPr>
              <w:spacing w:line="278" w:lineRule="auto" w:after="0"/>
            </w:pPr>
            <w:r/>
            <w:r>
              <w:rPr>
                <w:rFonts w:ascii="Calibri" w:hAnsi="Calibri"/>
                <w:b/>
                <w:color w:val="172126"/>
                <w:sz w:val="15"/>
              </w:rPr>
              <w:t>Agent framework</w:t>
            </w:r>
          </w:p>
        </w:tc>
        <w:tc>
          <w:tcPr>
            <w:tcW w:type="dxa" w:w="5760"/>
          </w:tcPr>
          <w:p>
            <w:pPr>
              <w:spacing w:line="278" w:lineRule="auto" w:after="0"/>
            </w:pPr>
            <w:r/>
            <w:r>
              <w:rPr>
                <w:rFonts w:ascii="Calibri" w:hAnsi="Calibri"/>
                <w:b w:val="0"/>
                <w:color w:val="526068"/>
                <w:sz w:val="15"/>
              </w:rPr>
              <w:t>None. No LangChain, no LlamaIndex — the worker may have no dependencies</w:t>
            </w:r>
          </w:p>
        </w:tc>
        <w:tc>
          <w:tcPr>
            <w:tcW w:type="dxa" w:w="1008"/>
            <w:shd w:val="clear" w:fill="FBEAE8"/>
          </w:tcPr>
          <w:p>
            <w:pPr>
              <w:spacing w:line="278" w:lineRule="auto" w:after="0"/>
            </w:pPr>
            <w:r/>
            <w:r>
              <w:rPr>
                <w:rFonts w:ascii="Calibri" w:hAnsi="Calibri"/>
                <w:b/>
                <w:color w:val="B42318"/>
                <w:sz w:val="15"/>
              </w:rPr>
              <w:t>Absent</w:t>
            </w:r>
          </w:p>
        </w:tc>
      </w:tr>
      <w:tr>
        <w:tc>
          <w:tcPr>
            <w:tcW w:type="dxa" w:w="2160"/>
          </w:tcPr>
          <w:p>
            <w:pPr>
              <w:spacing w:line="278" w:lineRule="auto" w:after="0"/>
            </w:pPr>
            <w:r/>
            <w:r>
              <w:rPr>
                <w:rFonts w:ascii="Calibri" w:hAnsi="Calibri"/>
                <w:b/>
                <w:color w:val="172126"/>
                <w:sz w:val="15"/>
              </w:rPr>
              <w:t>Observability SaaS</w:t>
            </w:r>
          </w:p>
        </w:tc>
        <w:tc>
          <w:tcPr>
            <w:tcW w:type="dxa" w:w="5760"/>
          </w:tcPr>
          <w:p>
            <w:pPr>
              <w:spacing w:line="278" w:lineRule="auto" w:after="0"/>
            </w:pPr>
            <w:r/>
            <w:r>
              <w:rPr>
                <w:rFonts w:ascii="Calibri" w:hAnsi="Calibri"/>
                <w:b w:val="0"/>
                <w:color w:val="526068"/>
                <w:sz w:val="15"/>
              </w:rPr>
              <w:t>None. The ledger already answers more about this domain</w:t>
            </w:r>
          </w:p>
        </w:tc>
        <w:tc>
          <w:tcPr>
            <w:tcW w:type="dxa" w:w="1008"/>
            <w:shd w:val="clear" w:fill="FBEAE8"/>
          </w:tcPr>
          <w:p>
            <w:pPr>
              <w:spacing w:line="278" w:lineRule="auto" w:after="0"/>
            </w:pPr>
            <w:r/>
            <w:r>
              <w:rPr>
                <w:rFonts w:ascii="Calibri" w:hAnsi="Calibri"/>
                <w:b/>
                <w:color w:val="B42318"/>
                <w:sz w:val="15"/>
              </w:rPr>
              <w:t>Absent</w:t>
            </w:r>
          </w:p>
        </w:tc>
      </w:tr>
    </w:tbl>
    <w:p>
      <w:pPr>
        <w:spacing w:after="60"/>
      </w:pPr>
    </w:p>
    <w:p>
      <w:pPr>
        <w:spacing w:before="260" w:after="80" w:line="307" w:lineRule="auto"/>
      </w:pPr>
      <w:r>
        <w:rPr>
          <w:rFonts w:ascii="Calibri" w:hAnsi="Calibri"/>
          <w:b/>
          <w:color w:val="172126"/>
          <w:sz w:val="22"/>
        </w:rPr>
        <w:t>2.5  Prompt caching — configured and returning nothing</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cache hits in 180 calls          0</w:t>
              <w:br/>
              <w:t>common prefix between two calls  12 characters</w:t>
              <w:br/>
              <w:t>shared brief sitting after it    ~9,000 characters</w:t>
            </w:r>
          </w:p>
        </w:tc>
      </w:tr>
    </w:tbl>
    <w:p>
      <w:pPr>
        <w:spacing w:after="40"/>
      </w:pPr>
    </w:p>
    <w:p>
      <w:pPr>
        <w:spacing w:before="0" w:after="140" w:line="307" w:lineRule="auto"/>
      </w:pPr>
      <w:r>
        <w:rPr>
          <w:rFonts w:ascii="Georgia" w:hAnsi="Georgia"/>
          <w:b w:val="0"/>
          <w:color w:val="526068"/>
          <w:sz w:val="19"/>
        </w:rPr>
        <w:t>The breakpoint sits after a per-specialist persona, so the shared material it exists to reuse is unreachable. Every call writes a fresh entry at a 1.25× premium and reads nothing back — currently worse than switching caching off. Reordering the prompt is the same bytes in a different order and should remove half to two thirds of the input bill.</w:t>
      </w:r>
    </w:p>
    <w:p>
      <w:r>
        <w:br w:type="page"/>
      </w:r>
    </w:p>
    <w:p>
      <w:pPr>
        <w:spacing w:before="0" w:after="60" w:line="307" w:lineRule="auto"/>
      </w:pPr>
      <w:r>
        <w:rPr>
          <w:rFonts w:ascii="Consolas" w:hAnsi="Consolas"/>
          <w:b/>
          <w:color w:val="087E75"/>
          <w:sz w:val="15"/>
        </w:rPr>
        <w:t>PART 3</w:t>
      </w:r>
    </w:p>
    <w:p>
      <w:pPr>
        <w:spacing w:before="0" w:after="160" w:line="252" w:lineRule="auto"/>
      </w:pPr>
      <w:r>
        <w:rPr>
          <w:rFonts w:ascii="Georgia" w:hAnsi="Georgia"/>
          <w:b/>
          <w:color w:val="172126"/>
          <w:sz w:val="38"/>
        </w:rPr>
        <w:t>Branches</w:t>
      </w:r>
    </w:p>
    <w:p>
      <w:pPr>
        <w:spacing w:before="0" w:after="200" w:line="307" w:lineRule="auto"/>
      </w:pPr>
      <w:r>
        <w:rPr>
          <w:rFonts w:ascii="Georgia" w:hAnsi="Georgia"/>
          <w:b w:val="0"/>
          <w:color w:val="526068"/>
          <w:sz w:val="21"/>
        </w:rPr>
        <w:t>Four repositories, nine branches. Divergence measured against each repository's own main.</w:t>
      </w:r>
    </w:p>
    <w:p>
      <w:pPr>
        <w:spacing w:before="260" w:after="80" w:line="307" w:lineRule="auto"/>
      </w:pPr>
      <w:r>
        <w:rPr>
          <w:rFonts w:ascii="Calibri" w:hAnsi="Calibri"/>
          <w:b/>
          <w:color w:val="172126"/>
          <w:sz w:val="22"/>
        </w:rPr>
        <w:t>3.1  Repositories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520"/>
        <w:gridCol w:w="2520"/>
        <w:gridCol w:w="2520"/>
        <w:gridCol w:w="2520"/>
      </w:tblGrid>
      <w:tr>
        <w:tc>
          <w:tcPr>
            <w:tcW w:type="dxa" w:w="2736"/>
            <w:shd w:val="clear" w:fill="F0F3F4"/>
          </w:tcPr>
          <w:p>
            <w:r/>
            <w:r>
              <w:rPr>
                <w:rFonts w:ascii="Calibri" w:hAnsi="Calibri"/>
                <w:b/>
                <w:color w:val="667279"/>
                <w:sz w:val="13"/>
              </w:rPr>
              <w:t>REPOSITORY</w:t>
            </w:r>
          </w:p>
        </w:tc>
        <w:tc>
          <w:tcPr>
            <w:tcW w:type="dxa" w:w="1152"/>
            <w:shd w:val="clear" w:fill="F0F3F4"/>
          </w:tcPr>
          <w:p>
            <w:r/>
            <w:r>
              <w:rPr>
                <w:rFonts w:ascii="Calibri" w:hAnsi="Calibri"/>
                <w:b/>
                <w:color w:val="667279"/>
                <w:sz w:val="13"/>
              </w:rPr>
              <w:t>VISIBILITY</w:t>
            </w:r>
          </w:p>
        </w:tc>
        <w:tc>
          <w:tcPr>
            <w:tcW w:type="dxa" w:w="4752"/>
            <w:shd w:val="clear" w:fill="F0F3F4"/>
          </w:tcPr>
          <w:p>
            <w:r/>
            <w:r>
              <w:rPr>
                <w:rFonts w:ascii="Calibri" w:hAnsi="Calibri"/>
                <w:b/>
                <w:color w:val="667279"/>
                <w:sz w:val="13"/>
              </w:rPr>
              <w:t>ROLE</w:t>
            </w:r>
          </w:p>
        </w:tc>
        <w:tc>
          <w:tcPr>
            <w:tcW w:type="dxa" w:w="1296"/>
            <w:shd w:val="clear" w:fill="F0F3F4"/>
          </w:tcPr>
          <w:p>
            <w:r/>
            <w:r>
              <w:rPr>
                <w:rFonts w:ascii="Calibri" w:hAnsi="Calibri"/>
                <w:b/>
                <w:color w:val="667279"/>
                <w:sz w:val="13"/>
              </w:rPr>
              <w:t>MAIN</w:t>
            </w:r>
          </w:p>
        </w:tc>
      </w:tr>
      <w:tr>
        <w:tc>
          <w:tcPr>
            <w:tcW w:type="dxa" w:w="2736"/>
          </w:tcPr>
          <w:p>
            <w:pPr>
              <w:spacing w:line="278" w:lineRule="auto" w:after="0"/>
            </w:pPr>
            <w:r/>
            <w:r>
              <w:rPr>
                <w:rFonts w:ascii="Calibri" w:hAnsi="Calibri"/>
                <w:b/>
                <w:color w:val="172126"/>
                <w:sz w:val="15"/>
              </w:rPr>
              <w:t>divya053/newcomplete</w:t>
            </w:r>
          </w:p>
        </w:tc>
        <w:tc>
          <w:tcPr>
            <w:tcW w:type="dxa" w:w="1152"/>
          </w:tcPr>
          <w:p>
            <w:pPr>
              <w:spacing w:line="278" w:lineRule="auto" w:after="0"/>
            </w:pPr>
            <w:r/>
            <w:r>
              <w:rPr>
                <w:rFonts w:ascii="Calibri" w:hAnsi="Calibri"/>
                <w:b w:val="0"/>
                <w:color w:val="526068"/>
                <w:sz w:val="15"/>
              </w:rPr>
              <w:t>PUBLIC</w:t>
            </w:r>
          </w:p>
        </w:tc>
        <w:tc>
          <w:tcPr>
            <w:tcW w:type="dxa" w:w="4752"/>
          </w:tcPr>
          <w:p>
            <w:pPr>
              <w:spacing w:line="278" w:lineRule="auto" w:after="0"/>
            </w:pPr>
            <w:r/>
            <w:r>
              <w:rPr>
                <w:rFonts w:ascii="Calibri" w:hAnsi="Calibri"/>
                <w:b w:val="0"/>
                <w:color w:val="526068"/>
                <w:sz w:val="15"/>
              </w:rPr>
              <w:t>Working monorepo. Autosync pushes every ten minutes</w:t>
            </w:r>
          </w:p>
        </w:tc>
        <w:tc>
          <w:tcPr>
            <w:tcW w:type="dxa" w:w="1296"/>
          </w:tcPr>
          <w:p>
            <w:pPr>
              <w:spacing w:line="278" w:lineRule="auto" w:after="0"/>
            </w:pPr>
            <w:r/>
            <w:r>
              <w:rPr>
                <w:rFonts w:ascii="Consolas" w:hAnsi="Consolas"/>
                <w:b w:val="0"/>
                <w:color w:val="526068"/>
                <w:sz w:val="15"/>
              </w:rPr>
              <w:t>ddde426d</w:t>
            </w:r>
          </w:p>
        </w:tc>
      </w:tr>
      <w:tr>
        <w:tc>
          <w:tcPr>
            <w:tcW w:type="dxa" w:w="2736"/>
          </w:tcPr>
          <w:p>
            <w:pPr>
              <w:spacing w:line="278" w:lineRule="auto" w:after="0"/>
            </w:pPr>
            <w:r/>
            <w:r>
              <w:rPr>
                <w:rFonts w:ascii="Calibri" w:hAnsi="Calibri"/>
                <w:b/>
                <w:color w:val="172126"/>
                <w:sz w:val="15"/>
              </w:rPr>
              <w:t>techsmeinc/preckon-system</w:t>
            </w:r>
          </w:p>
        </w:tc>
        <w:tc>
          <w:tcPr>
            <w:tcW w:type="dxa" w:w="1152"/>
          </w:tcPr>
          <w:p>
            <w:pPr>
              <w:spacing w:line="278" w:lineRule="auto" w:after="0"/>
            </w:pPr>
            <w:r/>
            <w:r>
              <w:rPr>
                <w:rFonts w:ascii="Calibri" w:hAnsi="Calibri"/>
                <w:b w:val="0"/>
                <w:color w:val="526068"/>
                <w:sz w:val="15"/>
              </w:rPr>
              <w:t>private</w:t>
            </w:r>
          </w:p>
        </w:tc>
        <w:tc>
          <w:tcPr>
            <w:tcW w:type="dxa" w:w="4752"/>
          </w:tcPr>
          <w:p>
            <w:pPr>
              <w:spacing w:line="278" w:lineRule="auto" w:after="0"/>
            </w:pPr>
            <w:r/>
            <w:r>
              <w:rPr>
                <w:rFonts w:ascii="Calibri" w:hAnsi="Calibri"/>
                <w:b w:val="0"/>
                <w:color w:val="526068"/>
                <w:sz w:val="15"/>
              </w:rPr>
              <w:t>The organisation artefact — subtree of Preckon-system/</w:t>
            </w:r>
          </w:p>
        </w:tc>
        <w:tc>
          <w:tcPr>
            <w:tcW w:type="dxa" w:w="1296"/>
          </w:tcPr>
          <w:p>
            <w:pPr>
              <w:spacing w:line="278" w:lineRule="auto" w:after="0"/>
            </w:pPr>
            <w:r/>
            <w:r>
              <w:rPr>
                <w:rFonts w:ascii="Consolas" w:hAnsi="Consolas"/>
                <w:b w:val="0"/>
                <w:color w:val="526068"/>
                <w:sz w:val="15"/>
              </w:rPr>
              <w:t>59ff2f44</w:t>
            </w:r>
          </w:p>
        </w:tc>
      </w:tr>
      <w:tr>
        <w:tc>
          <w:tcPr>
            <w:tcW w:type="dxa" w:w="2736"/>
          </w:tcPr>
          <w:p>
            <w:pPr>
              <w:spacing w:line="278" w:lineRule="auto" w:after="0"/>
            </w:pPr>
            <w:r/>
            <w:r>
              <w:rPr>
                <w:rFonts w:ascii="Calibri" w:hAnsi="Calibri"/>
                <w:b/>
                <w:color w:val="172126"/>
                <w:sz w:val="15"/>
              </w:rPr>
              <w:t>techsmeinc/preckon-tenant</w:t>
            </w:r>
          </w:p>
        </w:tc>
        <w:tc>
          <w:tcPr>
            <w:tcW w:type="dxa" w:w="1152"/>
          </w:tcPr>
          <w:p>
            <w:pPr>
              <w:spacing w:line="278" w:lineRule="auto" w:after="0"/>
            </w:pPr>
            <w:r/>
            <w:r>
              <w:rPr>
                <w:rFonts w:ascii="Calibri" w:hAnsi="Calibri"/>
                <w:b w:val="0"/>
                <w:color w:val="526068"/>
                <w:sz w:val="15"/>
              </w:rPr>
              <w:t>private</w:t>
            </w:r>
          </w:p>
        </w:tc>
        <w:tc>
          <w:tcPr>
            <w:tcW w:type="dxa" w:w="4752"/>
          </w:tcPr>
          <w:p>
            <w:pPr>
              <w:spacing w:line="278" w:lineRule="auto" w:after="0"/>
            </w:pPr>
            <w:r/>
            <w:r>
              <w:rPr>
                <w:rFonts w:ascii="Calibri" w:hAnsi="Calibri"/>
                <w:b w:val="0"/>
                <w:color w:val="526068"/>
                <w:sz w:val="15"/>
              </w:rPr>
              <w:t>Tenant plane at its root. What the server deploys from</w:t>
            </w:r>
          </w:p>
        </w:tc>
        <w:tc>
          <w:tcPr>
            <w:tcW w:type="dxa" w:w="1296"/>
          </w:tcPr>
          <w:p>
            <w:pPr>
              <w:spacing w:line="278" w:lineRule="auto" w:after="0"/>
            </w:pPr>
            <w:r/>
            <w:r>
              <w:rPr>
                <w:rFonts w:ascii="Consolas" w:hAnsi="Consolas"/>
                <w:b w:val="0"/>
                <w:color w:val="526068"/>
                <w:sz w:val="15"/>
              </w:rPr>
              <w:t>218713cb</w:t>
            </w:r>
          </w:p>
        </w:tc>
      </w:tr>
      <w:tr>
        <w:tc>
          <w:tcPr>
            <w:tcW w:type="dxa" w:w="2736"/>
          </w:tcPr>
          <w:p>
            <w:pPr>
              <w:spacing w:line="278" w:lineRule="auto" w:after="0"/>
            </w:pPr>
            <w:r/>
            <w:r>
              <w:rPr>
                <w:rFonts w:ascii="Calibri" w:hAnsi="Calibri"/>
                <w:b/>
                <w:color w:val="172126"/>
                <w:sz w:val="15"/>
              </w:rPr>
              <w:t>techsmeinc/preckon-host</w:t>
            </w:r>
          </w:p>
        </w:tc>
        <w:tc>
          <w:tcPr>
            <w:tcW w:type="dxa" w:w="1152"/>
          </w:tcPr>
          <w:p>
            <w:pPr>
              <w:spacing w:line="278" w:lineRule="auto" w:after="0"/>
            </w:pPr>
            <w:r/>
            <w:r>
              <w:rPr>
                <w:rFonts w:ascii="Calibri" w:hAnsi="Calibri"/>
                <w:b w:val="0"/>
                <w:color w:val="526068"/>
                <w:sz w:val="15"/>
              </w:rPr>
              <w:t>private</w:t>
            </w:r>
          </w:p>
        </w:tc>
        <w:tc>
          <w:tcPr>
            <w:tcW w:type="dxa" w:w="4752"/>
          </w:tcPr>
          <w:p>
            <w:pPr>
              <w:spacing w:line="278" w:lineRule="auto" w:after="0"/>
            </w:pPr>
            <w:r/>
            <w:r>
              <w:rPr>
                <w:rFonts w:ascii="Calibri" w:hAnsi="Calibri"/>
                <w:b w:val="0"/>
                <w:color w:val="526068"/>
                <w:sz w:val="15"/>
              </w:rPr>
              <w:t>Host plane at its root</w:t>
            </w:r>
          </w:p>
        </w:tc>
        <w:tc>
          <w:tcPr>
            <w:tcW w:type="dxa" w:w="1296"/>
          </w:tcPr>
          <w:p>
            <w:pPr>
              <w:spacing w:line="278" w:lineRule="auto" w:after="0"/>
            </w:pPr>
            <w:r/>
            <w:r>
              <w:rPr>
                <w:rFonts w:ascii="Consolas" w:hAnsi="Consolas"/>
                <w:b w:val="0"/>
                <w:color w:val="526068"/>
                <w:sz w:val="15"/>
              </w:rPr>
              <w:t>47114737</w:t>
            </w:r>
          </w:p>
        </w:tc>
      </w:tr>
    </w:tbl>
    <w:p>
      <w:pPr>
        <w:spacing w:after="60"/>
      </w:pP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THE PUBLIC ONE IS THE PROBLEM, NOT THE BRANCHES</w:t>
            </w:r>
          </w:p>
          <w:p>
            <w:pPr>
              <w:spacing w:before="60" w:line="302" w:lineRule="auto"/>
            </w:pPr>
            <w:r>
              <w:rPr>
                <w:rFonts w:ascii="Georgia" w:hAnsi="Georgia"/>
                <w:color w:val="172126"/>
                <w:sz w:val="17"/>
              </w:rPr>
              <w:t>divya053/newcomplete is public and has been receiving the entire source every ten minutes since July, including a file of working production credentials in its history. The three organisation repositories are private. This is the open decision from the September engineering report and it sits above anything in this section.</w:t>
            </w:r>
          </w:p>
        </w:tc>
      </w:tr>
    </w:tbl>
    <w:p>
      <w:pPr>
        <w:spacing w:after="60"/>
      </w:pPr>
    </w:p>
    <w:p>
      <w:pPr>
        <w:spacing w:before="260" w:after="80" w:line="307" w:lineRule="auto"/>
      </w:pPr>
      <w:r>
        <w:rPr>
          <w:rFonts w:ascii="Calibri" w:hAnsi="Calibri"/>
          <w:b/>
          <w:color w:val="172126"/>
          <w:sz w:val="22"/>
        </w:rPr>
        <w:t>3.2  Branch state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1680"/>
        <w:gridCol w:w="1680"/>
        <w:gridCol w:w="1680"/>
        <w:gridCol w:w="1680"/>
        <w:gridCol w:w="1680"/>
        <w:gridCol w:w="1680"/>
      </w:tblGrid>
      <w:tr>
        <w:tc>
          <w:tcPr>
            <w:tcW w:type="dxa" w:w="2880"/>
            <w:shd w:val="clear" w:fill="F0F3F4"/>
          </w:tcPr>
          <w:p>
            <w:r/>
            <w:r>
              <w:rPr>
                <w:rFonts w:ascii="Calibri" w:hAnsi="Calibri"/>
                <w:b/>
                <w:color w:val="667279"/>
                <w:sz w:val="13"/>
              </w:rPr>
              <w:t>BRANCH</w:t>
            </w:r>
          </w:p>
        </w:tc>
        <w:tc>
          <w:tcPr>
            <w:tcW w:type="dxa" w:w="1080"/>
            <w:shd w:val="clear" w:fill="F0F3F4"/>
          </w:tcPr>
          <w:p>
            <w:r/>
            <w:r>
              <w:rPr>
                <w:rFonts w:ascii="Calibri" w:hAnsi="Calibri"/>
                <w:b/>
                <w:color w:val="667279"/>
                <w:sz w:val="13"/>
              </w:rPr>
              <w:t>REPO</w:t>
            </w:r>
          </w:p>
        </w:tc>
        <w:tc>
          <w:tcPr>
            <w:tcW w:type="dxa" w:w="720"/>
            <w:shd w:val="clear" w:fill="F0F3F4"/>
          </w:tcPr>
          <w:p>
            <w:r/>
            <w:r>
              <w:rPr>
                <w:rFonts w:ascii="Calibri" w:hAnsi="Calibri"/>
                <w:b/>
                <w:color w:val="667279"/>
                <w:sz w:val="13"/>
              </w:rPr>
              <w:t>AHEAD</w:t>
            </w:r>
          </w:p>
        </w:tc>
        <w:tc>
          <w:tcPr>
            <w:tcW w:type="dxa" w:w="792"/>
            <w:shd w:val="clear" w:fill="F0F3F4"/>
          </w:tcPr>
          <w:p>
            <w:r/>
            <w:r>
              <w:rPr>
                <w:rFonts w:ascii="Calibri" w:hAnsi="Calibri"/>
                <w:b/>
                <w:color w:val="667279"/>
                <w:sz w:val="13"/>
              </w:rPr>
              <w:t>BEHIND</w:t>
            </w:r>
          </w:p>
        </w:tc>
        <w:tc>
          <w:tcPr>
            <w:tcW w:type="dxa" w:w="1296"/>
            <w:shd w:val="clear" w:fill="F0F3F4"/>
          </w:tcPr>
          <w:p>
            <w:r/>
            <w:r>
              <w:rPr>
                <w:rFonts w:ascii="Calibri" w:hAnsi="Calibri"/>
                <w:b/>
                <w:color w:val="667279"/>
                <w:sz w:val="13"/>
              </w:rPr>
              <w:t>LAST</w:t>
            </w:r>
          </w:p>
        </w:tc>
        <w:tc>
          <w:tcPr>
            <w:tcW w:type="dxa" w:w="1584"/>
            <w:shd w:val="clear" w:fill="F0F3F4"/>
          </w:tcPr>
          <w:p>
            <w:r/>
            <w:r>
              <w:rPr>
                <w:rFonts w:ascii="Calibri" w:hAnsi="Calibri"/>
                <w:b/>
                <w:color w:val="667279"/>
                <w:sz w:val="13"/>
              </w:rPr>
              <w:t>RECOMMENDATION</w:t>
            </w:r>
          </w:p>
        </w:tc>
      </w:tr>
      <w:tr>
        <w:tc>
          <w:tcPr>
            <w:tcW w:type="dxa" w:w="2880"/>
          </w:tcPr>
          <w:p>
            <w:pPr>
              <w:spacing w:line="278" w:lineRule="auto" w:after="0"/>
            </w:pPr>
            <w:r/>
            <w:r>
              <w:rPr>
                <w:rFonts w:ascii="Calibri" w:hAnsi="Calibri"/>
                <w:b/>
                <w:color w:val="172126"/>
                <w:sz w:val="15"/>
              </w:rPr>
              <w:t>main</w:t>
            </w:r>
          </w:p>
        </w:tc>
        <w:tc>
          <w:tcPr>
            <w:tcW w:type="dxa" w:w="1080"/>
          </w:tcPr>
          <w:p>
            <w:pPr>
              <w:spacing w:line="278" w:lineRule="auto" w:after="0"/>
            </w:pPr>
            <w:r/>
            <w:r>
              <w:rPr>
                <w:rFonts w:ascii="Calibri" w:hAnsi="Calibri"/>
                <w:b w:val="0"/>
                <w:color w:val="526068"/>
                <w:sz w:val="15"/>
              </w:rPr>
              <w:t>all four</w:t>
            </w:r>
          </w:p>
        </w:tc>
        <w:tc>
          <w:tcPr>
            <w:tcW w:type="dxa" w:w="720"/>
          </w:tcPr>
          <w:p>
            <w:pPr>
              <w:spacing w:line="278" w:lineRule="auto" w:after="0"/>
            </w:pPr>
            <w:r/>
            <w:r>
              <w:rPr>
                <w:rFonts w:ascii="Consolas" w:hAnsi="Consolas"/>
                <w:b w:val="0"/>
                <w:color w:val="526068"/>
                <w:sz w:val="15"/>
              </w:rPr>
              <w:t>—</w:t>
            </w:r>
          </w:p>
        </w:tc>
        <w:tc>
          <w:tcPr>
            <w:tcW w:type="dxa" w:w="792"/>
          </w:tcPr>
          <w:p>
            <w:pPr>
              <w:spacing w:line="278" w:lineRule="auto" w:after="0"/>
            </w:pPr>
            <w:r/>
            <w:r>
              <w:rPr>
                <w:rFonts w:ascii="Consolas" w:hAnsi="Consolas"/>
                <w:b w:val="0"/>
                <w:color w:val="526068"/>
                <w:sz w:val="15"/>
              </w:rPr>
              <w:t>—</w:t>
            </w:r>
          </w:p>
        </w:tc>
        <w:tc>
          <w:tcPr>
            <w:tcW w:type="dxa" w:w="1296"/>
          </w:tcPr>
          <w:p>
            <w:pPr>
              <w:spacing w:line="278" w:lineRule="auto" w:after="0"/>
            </w:pPr>
            <w:r/>
            <w:r>
              <w:rPr>
                <w:rFonts w:ascii="Consolas" w:hAnsi="Consolas"/>
                <w:b w:val="0"/>
                <w:color w:val="526068"/>
                <w:sz w:val="15"/>
              </w:rPr>
              <w:t>2026-09-01/03</w:t>
            </w:r>
          </w:p>
        </w:tc>
        <w:tc>
          <w:tcPr>
            <w:tcW w:type="dxa" w:w="1584"/>
            <w:shd w:val="clear" w:fill="E6F3F1"/>
          </w:tcPr>
          <w:p>
            <w:pPr>
              <w:spacing w:line="278" w:lineRule="auto" w:after="0"/>
            </w:pPr>
            <w:r/>
            <w:r>
              <w:rPr>
                <w:rFonts w:ascii="Calibri" w:hAnsi="Calibri"/>
                <w:b/>
                <w:color w:val="087E75"/>
                <w:sz w:val="15"/>
              </w:rPr>
              <w:t>Live</w:t>
            </w:r>
          </w:p>
        </w:tc>
      </w:tr>
      <w:tr>
        <w:tc>
          <w:tcPr>
            <w:tcW w:type="dxa" w:w="2880"/>
          </w:tcPr>
          <w:p>
            <w:pPr>
              <w:spacing w:line="278" w:lineRule="auto" w:after="0"/>
            </w:pPr>
            <w:r/>
            <w:r>
              <w:rPr>
                <w:rFonts w:ascii="Calibri" w:hAnsi="Calibri"/>
                <w:b/>
                <w:color w:val="172126"/>
                <w:sz w:val="15"/>
              </w:rPr>
              <w:t>agent/t01a-credential-hygiene</w:t>
            </w:r>
          </w:p>
        </w:tc>
        <w:tc>
          <w:tcPr>
            <w:tcW w:type="dxa" w:w="1080"/>
          </w:tcPr>
          <w:p>
            <w:pPr>
              <w:spacing w:line="278" w:lineRule="auto" w:after="0"/>
            </w:pPr>
            <w:r/>
            <w:r>
              <w:rPr>
                <w:rFonts w:ascii="Calibri" w:hAnsi="Calibri"/>
                <w:b w:val="0"/>
                <w:color w:val="526068"/>
                <w:sz w:val="15"/>
              </w:rPr>
              <w:t>tenant</w:t>
            </w:r>
          </w:p>
        </w:tc>
        <w:tc>
          <w:tcPr>
            <w:tcW w:type="dxa" w:w="720"/>
          </w:tcPr>
          <w:p>
            <w:pPr>
              <w:spacing w:line="278" w:lineRule="auto" w:after="0"/>
            </w:pPr>
            <w:r/>
            <w:r>
              <w:rPr>
                <w:rFonts w:ascii="Consolas" w:hAnsi="Consolas"/>
                <w:b w:val="0"/>
                <w:color w:val="526068"/>
                <w:sz w:val="15"/>
              </w:rPr>
              <w:t>0</w:t>
            </w:r>
          </w:p>
        </w:tc>
        <w:tc>
          <w:tcPr>
            <w:tcW w:type="dxa" w:w="792"/>
          </w:tcPr>
          <w:p>
            <w:pPr>
              <w:spacing w:line="278" w:lineRule="auto" w:after="0"/>
            </w:pPr>
            <w:r/>
            <w:r>
              <w:rPr>
                <w:rFonts w:ascii="Consolas" w:hAnsi="Consolas"/>
                <w:b w:val="0"/>
                <w:color w:val="526068"/>
                <w:sz w:val="15"/>
              </w:rPr>
              <w:t>3</w:t>
            </w:r>
          </w:p>
        </w:tc>
        <w:tc>
          <w:tcPr>
            <w:tcW w:type="dxa" w:w="1296"/>
          </w:tcPr>
          <w:p>
            <w:pPr>
              <w:spacing w:line="278" w:lineRule="auto" w:after="0"/>
            </w:pPr>
            <w:r/>
            <w:r>
              <w:rPr>
                <w:rFonts w:ascii="Consolas" w:hAnsi="Consolas"/>
                <w:b w:val="0"/>
                <w:color w:val="526068"/>
                <w:sz w:val="15"/>
              </w:rPr>
              <w:t>2026-09-01</w:t>
            </w:r>
          </w:p>
        </w:tc>
        <w:tc>
          <w:tcPr>
            <w:tcW w:type="dxa" w:w="1584"/>
            <w:shd w:val="clear" w:fill="FBF0E0"/>
          </w:tcPr>
          <w:p>
            <w:pPr>
              <w:spacing w:line="278" w:lineRule="auto" w:after="0"/>
            </w:pPr>
            <w:r/>
            <w:r>
              <w:rPr>
                <w:rFonts w:ascii="Calibri" w:hAnsi="Calibri"/>
                <w:b/>
                <w:color w:val="A56000"/>
                <w:sz w:val="15"/>
              </w:rPr>
              <w:t>Delete</w:t>
            </w:r>
          </w:p>
        </w:tc>
      </w:tr>
      <w:tr>
        <w:tc>
          <w:tcPr>
            <w:tcW w:type="dxa" w:w="2880"/>
          </w:tcPr>
          <w:p>
            <w:pPr>
              <w:spacing w:line="278" w:lineRule="auto" w:after="0"/>
            </w:pPr>
            <w:r/>
            <w:r>
              <w:rPr>
                <w:rFonts w:ascii="Calibri" w:hAnsi="Calibri"/>
                <w:b/>
                <w:color w:val="172126"/>
                <w:sz w:val="15"/>
              </w:rPr>
              <w:t>agent/t01-security-ci-peb-sync-v1</w:t>
            </w:r>
          </w:p>
        </w:tc>
        <w:tc>
          <w:tcPr>
            <w:tcW w:type="dxa" w:w="1080"/>
          </w:tcPr>
          <w:p>
            <w:pPr>
              <w:spacing w:line="278" w:lineRule="auto" w:after="0"/>
            </w:pPr>
            <w:r/>
            <w:r>
              <w:rPr>
                <w:rFonts w:ascii="Calibri" w:hAnsi="Calibri"/>
                <w:b w:val="0"/>
                <w:color w:val="526068"/>
                <w:sz w:val="15"/>
              </w:rPr>
              <w:t>tenant</w:t>
            </w:r>
          </w:p>
        </w:tc>
        <w:tc>
          <w:tcPr>
            <w:tcW w:type="dxa" w:w="720"/>
          </w:tcPr>
          <w:p>
            <w:pPr>
              <w:spacing w:line="278" w:lineRule="auto" w:after="0"/>
            </w:pPr>
            <w:r/>
            <w:r>
              <w:rPr>
                <w:rFonts w:ascii="Consolas" w:hAnsi="Consolas"/>
                <w:b w:val="0"/>
                <w:color w:val="526068"/>
                <w:sz w:val="15"/>
              </w:rPr>
              <w:t>0</w:t>
            </w:r>
          </w:p>
        </w:tc>
        <w:tc>
          <w:tcPr>
            <w:tcW w:type="dxa" w:w="792"/>
          </w:tcPr>
          <w:p>
            <w:pPr>
              <w:spacing w:line="278" w:lineRule="auto" w:after="0"/>
            </w:pPr>
            <w:r/>
            <w:r>
              <w:rPr>
                <w:rFonts w:ascii="Consolas" w:hAnsi="Consolas"/>
                <w:b w:val="0"/>
                <w:color w:val="526068"/>
                <w:sz w:val="15"/>
              </w:rPr>
              <w:t>209</w:t>
            </w:r>
          </w:p>
        </w:tc>
        <w:tc>
          <w:tcPr>
            <w:tcW w:type="dxa" w:w="1296"/>
          </w:tcPr>
          <w:p>
            <w:pPr>
              <w:spacing w:line="278" w:lineRule="auto" w:after="0"/>
            </w:pPr>
            <w:r/>
            <w:r>
              <w:rPr>
                <w:rFonts w:ascii="Consolas" w:hAnsi="Consolas"/>
                <w:b w:val="0"/>
                <w:color w:val="526068"/>
                <w:sz w:val="15"/>
              </w:rPr>
              <w:t>2026-08-26</w:t>
            </w:r>
          </w:p>
        </w:tc>
        <w:tc>
          <w:tcPr>
            <w:tcW w:type="dxa" w:w="1584"/>
            <w:shd w:val="clear" w:fill="FBF0E0"/>
          </w:tcPr>
          <w:p>
            <w:pPr>
              <w:spacing w:line="278" w:lineRule="auto" w:after="0"/>
            </w:pPr>
            <w:r/>
            <w:r>
              <w:rPr>
                <w:rFonts w:ascii="Calibri" w:hAnsi="Calibri"/>
                <w:b/>
                <w:color w:val="A56000"/>
                <w:sz w:val="15"/>
              </w:rPr>
              <w:t>Delete</w:t>
            </w:r>
          </w:p>
        </w:tc>
      </w:tr>
      <w:tr>
        <w:tc>
          <w:tcPr>
            <w:tcW w:type="dxa" w:w="2880"/>
          </w:tcPr>
          <w:p>
            <w:pPr>
              <w:spacing w:line="278" w:lineRule="auto" w:after="0"/>
            </w:pPr>
            <w:r/>
            <w:r>
              <w:rPr>
                <w:rFonts w:ascii="Calibri" w:hAnsi="Calibri"/>
                <w:b/>
                <w:color w:val="172126"/>
                <w:sz w:val="15"/>
              </w:rPr>
              <w:t>pre-sync-2026-08-13</w:t>
            </w:r>
          </w:p>
        </w:tc>
        <w:tc>
          <w:tcPr>
            <w:tcW w:type="dxa" w:w="1080"/>
          </w:tcPr>
          <w:p>
            <w:pPr>
              <w:spacing w:line="278" w:lineRule="auto" w:after="0"/>
            </w:pPr>
            <w:r/>
            <w:r>
              <w:rPr>
                <w:rFonts w:ascii="Calibri" w:hAnsi="Calibri"/>
                <w:b w:val="0"/>
                <w:color w:val="526068"/>
                <w:sz w:val="15"/>
              </w:rPr>
              <w:t>tenant</w:t>
            </w:r>
          </w:p>
        </w:tc>
        <w:tc>
          <w:tcPr>
            <w:tcW w:type="dxa" w:w="720"/>
          </w:tcPr>
          <w:p>
            <w:pPr>
              <w:spacing w:line="278" w:lineRule="auto" w:after="0"/>
            </w:pPr>
            <w:r/>
            <w:r>
              <w:rPr>
                <w:rFonts w:ascii="Consolas" w:hAnsi="Consolas"/>
                <w:b w:val="0"/>
                <w:color w:val="526068"/>
                <w:sz w:val="15"/>
              </w:rPr>
              <w:t>2</w:t>
            </w:r>
          </w:p>
        </w:tc>
        <w:tc>
          <w:tcPr>
            <w:tcW w:type="dxa" w:w="792"/>
          </w:tcPr>
          <w:p>
            <w:pPr>
              <w:spacing w:line="278" w:lineRule="auto" w:after="0"/>
            </w:pPr>
            <w:r/>
            <w:r>
              <w:rPr>
                <w:rFonts w:ascii="Consolas" w:hAnsi="Consolas"/>
                <w:b w:val="0"/>
                <w:color w:val="526068"/>
                <w:sz w:val="15"/>
              </w:rPr>
              <w:t>510</w:t>
            </w:r>
          </w:p>
        </w:tc>
        <w:tc>
          <w:tcPr>
            <w:tcW w:type="dxa" w:w="1296"/>
          </w:tcPr>
          <w:p>
            <w:pPr>
              <w:spacing w:line="278" w:lineRule="auto" w:after="0"/>
            </w:pPr>
            <w:r/>
            <w:r>
              <w:rPr>
                <w:rFonts w:ascii="Consolas" w:hAnsi="Consolas"/>
                <w:b w:val="0"/>
                <w:color w:val="526068"/>
                <w:sz w:val="15"/>
              </w:rPr>
              <w:t>2026-07-28</w:t>
            </w:r>
          </w:p>
        </w:tc>
        <w:tc>
          <w:tcPr>
            <w:tcW w:type="dxa" w:w="1584"/>
          </w:tcPr>
          <w:p>
            <w:pPr>
              <w:spacing w:line="278" w:lineRule="auto" w:after="0"/>
            </w:pPr>
            <w:r/>
            <w:r>
              <w:rPr>
                <w:rFonts w:ascii="Calibri" w:hAnsi="Calibri"/>
                <w:b/>
                <w:color w:val="087E75"/>
                <w:sz w:val="15"/>
              </w:rPr>
              <w:t>Keep</w:t>
            </w:r>
          </w:p>
        </w:tc>
      </w:tr>
      <w:tr>
        <w:tc>
          <w:tcPr>
            <w:tcW w:type="dxa" w:w="2880"/>
          </w:tcPr>
          <w:p>
            <w:pPr>
              <w:spacing w:line="278" w:lineRule="auto" w:after="0"/>
            </w:pPr>
            <w:r/>
            <w:r>
              <w:rPr>
                <w:rFonts w:ascii="Calibri" w:hAnsi="Calibri"/>
                <w:b/>
                <w:color w:val="172126"/>
                <w:sz w:val="15"/>
              </w:rPr>
              <w:t>agent/h01-security-ci-peb-sync-v1</w:t>
            </w:r>
          </w:p>
        </w:tc>
        <w:tc>
          <w:tcPr>
            <w:tcW w:type="dxa" w:w="1080"/>
          </w:tcPr>
          <w:p>
            <w:pPr>
              <w:spacing w:line="278" w:lineRule="auto" w:after="0"/>
            </w:pPr>
            <w:r/>
            <w:r>
              <w:rPr>
                <w:rFonts w:ascii="Calibri" w:hAnsi="Calibri"/>
                <w:b w:val="0"/>
                <w:color w:val="526068"/>
                <w:sz w:val="15"/>
              </w:rPr>
              <w:t>host</w:t>
            </w:r>
          </w:p>
        </w:tc>
        <w:tc>
          <w:tcPr>
            <w:tcW w:type="dxa" w:w="720"/>
          </w:tcPr>
          <w:p>
            <w:pPr>
              <w:spacing w:line="278" w:lineRule="auto" w:after="0"/>
            </w:pPr>
            <w:r/>
            <w:r>
              <w:rPr>
                <w:rFonts w:ascii="Consolas" w:hAnsi="Consolas"/>
                <w:b w:val="0"/>
                <w:color w:val="526068"/>
                <w:sz w:val="15"/>
              </w:rPr>
              <w:t>0</w:t>
            </w:r>
          </w:p>
        </w:tc>
        <w:tc>
          <w:tcPr>
            <w:tcW w:type="dxa" w:w="792"/>
          </w:tcPr>
          <w:p>
            <w:pPr>
              <w:spacing w:line="278" w:lineRule="auto" w:after="0"/>
            </w:pPr>
            <w:r/>
            <w:r>
              <w:rPr>
                <w:rFonts w:ascii="Consolas" w:hAnsi="Consolas"/>
                <w:b w:val="0"/>
                <w:color w:val="526068"/>
                <w:sz w:val="15"/>
              </w:rPr>
              <w:t>3</w:t>
            </w:r>
          </w:p>
        </w:tc>
        <w:tc>
          <w:tcPr>
            <w:tcW w:type="dxa" w:w="1296"/>
          </w:tcPr>
          <w:p>
            <w:pPr>
              <w:spacing w:line="278" w:lineRule="auto" w:after="0"/>
            </w:pPr>
            <w:r/>
            <w:r>
              <w:rPr>
                <w:rFonts w:ascii="Consolas" w:hAnsi="Consolas"/>
                <w:b w:val="0"/>
                <w:color w:val="526068"/>
                <w:sz w:val="15"/>
              </w:rPr>
              <w:t>2026-08-25</w:t>
            </w:r>
          </w:p>
        </w:tc>
        <w:tc>
          <w:tcPr>
            <w:tcW w:type="dxa" w:w="1584"/>
            <w:shd w:val="clear" w:fill="FBF0E0"/>
          </w:tcPr>
          <w:p>
            <w:pPr>
              <w:spacing w:line="278" w:lineRule="auto" w:after="0"/>
            </w:pPr>
            <w:r/>
            <w:r>
              <w:rPr>
                <w:rFonts w:ascii="Calibri" w:hAnsi="Calibri"/>
                <w:b/>
                <w:color w:val="A56000"/>
                <w:sz w:val="15"/>
              </w:rPr>
              <w:t>Delete</w:t>
            </w:r>
          </w:p>
        </w:tc>
      </w:tr>
      <w:tr>
        <w:tc>
          <w:tcPr>
            <w:tcW w:type="dxa" w:w="2880"/>
          </w:tcPr>
          <w:p>
            <w:pPr>
              <w:spacing w:line="278" w:lineRule="auto" w:after="0"/>
            </w:pPr>
            <w:r/>
            <w:r>
              <w:rPr>
                <w:rFonts w:ascii="Calibri" w:hAnsi="Calibri"/>
                <w:b/>
                <w:color w:val="172126"/>
                <w:sz w:val="15"/>
              </w:rPr>
              <w:t>spec/retrofit-2026-09-01</w:t>
            </w:r>
          </w:p>
        </w:tc>
        <w:tc>
          <w:tcPr>
            <w:tcW w:type="dxa" w:w="1080"/>
          </w:tcPr>
          <w:p>
            <w:pPr>
              <w:spacing w:line="278" w:lineRule="auto" w:after="0"/>
            </w:pPr>
            <w:r/>
            <w:r>
              <w:rPr>
                <w:rFonts w:ascii="Calibri" w:hAnsi="Calibri"/>
                <w:b w:val="0"/>
                <w:color w:val="526068"/>
                <w:sz w:val="15"/>
              </w:rPr>
              <w:t>bible</w:t>
            </w:r>
          </w:p>
        </w:tc>
        <w:tc>
          <w:tcPr>
            <w:tcW w:type="dxa" w:w="720"/>
          </w:tcPr>
          <w:p>
            <w:pPr>
              <w:spacing w:line="278" w:lineRule="auto" w:after="0"/>
            </w:pPr>
            <w:r/>
            <w:r>
              <w:rPr>
                <w:rFonts w:ascii="Consolas" w:hAnsi="Consolas"/>
                <w:b w:val="0"/>
                <w:color w:val="526068"/>
                <w:sz w:val="15"/>
              </w:rPr>
              <w:t>1</w:t>
            </w:r>
          </w:p>
        </w:tc>
        <w:tc>
          <w:tcPr>
            <w:tcW w:type="dxa" w:w="792"/>
          </w:tcPr>
          <w:p>
            <w:pPr>
              <w:spacing w:line="278" w:lineRule="auto" w:after="0"/>
            </w:pPr>
            <w:r/>
            <w:r>
              <w:rPr>
                <w:rFonts w:ascii="Consolas" w:hAnsi="Consolas"/>
                <w:b w:val="0"/>
                <w:color w:val="526068"/>
                <w:sz w:val="15"/>
              </w:rPr>
              <w:t>0</w:t>
            </w:r>
          </w:p>
        </w:tc>
        <w:tc>
          <w:tcPr>
            <w:tcW w:type="dxa" w:w="1296"/>
          </w:tcPr>
          <w:p>
            <w:pPr>
              <w:spacing w:line="278" w:lineRule="auto" w:after="0"/>
            </w:pPr>
            <w:r/>
            <w:r>
              <w:rPr>
                <w:rFonts w:ascii="Consolas" w:hAnsi="Consolas"/>
                <w:b w:val="0"/>
                <w:color w:val="526068"/>
                <w:sz w:val="15"/>
              </w:rPr>
              <w:t>2026-09-01</w:t>
            </w:r>
          </w:p>
        </w:tc>
        <w:tc>
          <w:tcPr>
            <w:tcW w:type="dxa" w:w="1584"/>
            <w:shd w:val="clear" w:fill="E6F3F1"/>
          </w:tcPr>
          <w:p>
            <w:pPr>
              <w:spacing w:line="278" w:lineRule="auto" w:after="0"/>
            </w:pPr>
            <w:r/>
            <w:r>
              <w:rPr>
                <w:rFonts w:ascii="Calibri" w:hAnsi="Calibri"/>
                <w:b/>
                <w:color w:val="087E75"/>
                <w:sz w:val="15"/>
              </w:rPr>
              <w:t>Merged</w:t>
            </w:r>
          </w:p>
        </w:tc>
      </w:tr>
    </w:tbl>
    <w:p>
      <w:pPr>
        <w:spacing w:after="60"/>
      </w:pPr>
    </w:p>
    <w:p>
      <w:pPr>
        <w:spacing w:before="260" w:after="80" w:line="307" w:lineRule="auto"/>
      </w:pPr>
      <w:r>
        <w:rPr>
          <w:rFonts w:ascii="Calibri" w:hAnsi="Calibri"/>
          <w:b/>
          <w:color w:val="172126"/>
          <w:sz w:val="22"/>
        </w:rPr>
        <w:t>3.3  What each one is</w:t>
      </w:r>
    </w:p>
    <w:p>
      <w:pPr>
        <w:spacing w:before="0" w:after="100" w:line="307" w:lineRule="auto"/>
      </w:pPr>
      <w:r>
        <w:rPr>
          <w:rFonts w:ascii="Georgia" w:hAnsi="Georgia"/>
          <w:b w:val="0"/>
          <w:color w:val="526068"/>
          <w:sz w:val="19"/>
        </w:rPr>
        <w:t>agent/t01a-credential-hygiene — pull request #5. Twelve commits that all reached main by another route; conflicts resolved so the branch is now identical to main. Merging it adds nothing; closing it says what actually happened.</w:t>
      </w:r>
    </w:p>
    <w:p>
      <w:pPr>
        <w:spacing w:before="0" w:after="100" w:line="307" w:lineRule="auto"/>
      </w:pPr>
      <w:r>
        <w:rPr>
          <w:rFonts w:ascii="Georgia" w:hAnsi="Georgia"/>
          <w:b w:val="0"/>
          <w:color w:val="526068"/>
          <w:sz w:val="19"/>
        </w:rPr>
        <w:t>agent/t01-security-ci-peb-sync-v1 and agent/h01-… — merged pull request #1 on each plane, 209 and 3 commits behind respectively. Their work is in main. Safe to delete.</w:t>
      </w:r>
    </w:p>
    <w:p>
      <w:pPr>
        <w:spacing w:before="0" w:after="100" w:line="307" w:lineRule="auto"/>
      </w:pPr>
      <w:r>
        <w:rPr>
          <w:rFonts w:ascii="Georgia" w:hAnsi="Georgia"/>
          <w:b w:val="0"/>
          <w:color w:val="526068"/>
          <w:sz w:val="19"/>
        </w:rPr>
        <w:t>pre-sync-2026-08-13 — the ONLY branch with commits main does not have: 2 ahead, 510 behind, untouched since 28 July. Named as a pre-sync snapshot, so those two commits are probably a checkpoint rather than unshipped work — but they should be read before it is deleted, which is why it is the one marked Keep.</w:t>
      </w:r>
    </w:p>
    <w:p>
      <w:pPr>
        <w:spacing w:before="0" w:after="100" w:line="307" w:lineRule="auto"/>
      </w:pPr>
      <w:r>
        <w:rPr>
          <w:rFonts w:ascii="Georgia" w:hAnsi="Georgia"/>
          <w:b w:val="0"/>
          <w:color w:val="526068"/>
          <w:sz w:val="19"/>
        </w:rPr>
        <w:t>spec/retrofit-2026-09-01 — the Engineering Bible branch recording this cycle's security and AI findings against PEB-PLT-306 and PEB-AIP-100, with ADR-0002. Awaiting review.</w:t>
      </w:r>
    </w:p>
    <w:p>
      <w:pPr>
        <w:spacing w:before="260" w:after="80" w:line="307" w:lineRule="auto"/>
      </w:pPr>
      <w:r>
        <w:rPr>
          <w:rFonts w:ascii="Calibri" w:hAnsi="Calibri"/>
          <w:b/>
          <w:color w:val="172126"/>
          <w:sz w:val="22"/>
        </w:rPr>
        <w:t>3.4  Publishing</w:t>
      </w:r>
    </w:p>
    <w:p>
      <w:pPr>
        <w:spacing w:before="0" w:after="140" w:line="307" w:lineRule="auto"/>
      </w:pPr>
      <w:r>
        <w:rPr>
          <w:rFonts w:ascii="Georgia" w:hAnsi="Georgia"/>
          <w:b w:val="0"/>
          <w:color w:val="526068"/>
          <w:sz w:val="19"/>
        </w:rPr>
        <w:t>A nightly job at 02:30 publishes all three organisation repositories. It merges each remote before pushing rather than force-pushing: two directories had been deleted directly on GitHub, and a force-push of a fresh subtree split would have resurrected fourteen files somebody deliberately removed, silently, on a schedule. A genuine conflict stops that target rather than picking a winner with nobody reading.</w:t>
      </w:r>
    </w:p>
    <w:p>
      <w:pPr>
        <w:spacing w:before="0" w:after="140" w:line="307" w:lineRule="auto"/>
      </w:pPr>
      <w:r>
        <w:rPr>
          <w:rFonts w:ascii="Georgia" w:hAnsi="Georgia"/>
          <w:b w:val="0"/>
          <w:color w:val="526068"/>
          <w:sz w:val="19"/>
        </w:rPr>
        <w:t>preckon-host is the exception. Its history has no common ancestor with the monorepo subtree, so git refuses to merge them at all — it is published by overlay on top of its own commits instead. That is safe only while the monorepo is the authority on shared files, which is why the host's Next.js baseline and its capture-shapes hardening were pulled back into the monorepo before that path was enabled.</w:t>
      </w:r>
    </w:p>
    <w:p>
      <w:r>
        <w:br w:type="page"/>
      </w:r>
    </w:p>
    <w:p>
      <w:pPr>
        <w:spacing w:before="0" w:after="60" w:line="307" w:lineRule="auto"/>
      </w:pPr>
      <w:r>
        <w:rPr>
          <w:rFonts w:ascii="Consolas" w:hAnsi="Consolas"/>
          <w:b/>
          <w:color w:val="087E75"/>
          <w:sz w:val="15"/>
        </w:rPr>
        <w:t>PART 4</w:t>
      </w:r>
    </w:p>
    <w:p>
      <w:pPr>
        <w:spacing w:before="0" w:after="160" w:line="252" w:lineRule="auto"/>
      </w:pPr>
      <w:r>
        <w:rPr>
          <w:rFonts w:ascii="Georgia" w:hAnsi="Georgia"/>
          <w:b/>
          <w:color w:val="172126"/>
          <w:sz w:val="38"/>
        </w:rPr>
        <w:t>Tenant isolation — what stands in for row-level security</w:t>
      </w:r>
    </w:p>
    <w:p>
      <w:pPr>
        <w:spacing w:before="0" w:after="200" w:line="307" w:lineRule="auto"/>
      </w:pPr>
      <w:r>
        <w:rPr>
          <w:rFonts w:ascii="Georgia" w:hAnsi="Georgia"/>
          <w:b w:val="0"/>
          <w:color w:val="526068"/>
          <w:sz w:val="21"/>
        </w:rPr>
        <w:t>MySQL has no RLS. There is no policy engine to point at, so isolation is a discipline with a machine holding the line.</w:t>
      </w:r>
    </w:p>
    <w:p>
      <w:pPr>
        <w:spacing w:before="260" w:after="80" w:line="307" w:lineRule="auto"/>
      </w:pPr>
      <w:r>
        <w:rPr>
          <w:rFonts w:ascii="Calibri" w:hAnsi="Calibri"/>
          <w:b/>
          <w:color w:val="172126"/>
          <w:sz w:val="22"/>
        </w:rPr>
        <w:t>4.1  Why there is no RLS policy to show you</w:t>
      </w:r>
    </w:p>
    <w:p>
      <w:pPr>
        <w:spacing w:before="0" w:after="140" w:line="307" w:lineRule="auto"/>
      </w:pPr>
      <w:r>
        <w:rPr>
          <w:rFonts w:ascii="Georgia" w:hAnsi="Georgia"/>
          <w:b w:val="0"/>
          <w:color w:val="526068"/>
          <w:sz w:val="19"/>
        </w:rPr>
        <w:t>PostgreSQL would let a policy live beside the table and apply to every query whether the author remembered it or not. MySQL 8 has no equivalent, so there is no shared view to fall back on: every statement must state its own tenant. That is the whole risk — a query that forgets is not rejected, it simply returns somebody else's data.</w:t>
      </w:r>
    </w:p>
    <w:p>
      <w:pPr>
        <w:spacing w:before="0" w:after="140" w:line="307" w:lineRule="auto"/>
      </w:pPr>
      <w:r>
        <w:rPr>
          <w:rFonts w:ascii="Georgia" w:hAnsi="Georgia"/>
          <w:b w:val="0"/>
          <w:color w:val="526068"/>
          <w:sz w:val="19"/>
        </w:rPr>
        <w:t>The failure is also the one least likely to be caught in review. A WHERE project_id = ? looks complete, reads naturally, and is wrong only in what it omits.</w:t>
      </w:r>
    </w:p>
    <w:p>
      <w:pPr>
        <w:spacing w:before="260" w:after="80" w:line="307" w:lineRule="auto"/>
      </w:pPr>
      <w:r>
        <w:rPr>
          <w:rFonts w:ascii="Calibri" w:hAnsi="Calibri"/>
          <w:b/>
          <w:color w:val="172126"/>
          <w:sz w:val="22"/>
        </w:rPr>
        <w:t>4.2  Four layers, from outermost in</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296"/>
            <w:shd w:val="clear" w:fill="F0F3F4"/>
          </w:tcPr>
          <w:p>
            <w:r/>
            <w:r>
              <w:rPr>
                <w:rFonts w:ascii="Calibri" w:hAnsi="Calibri"/>
                <w:b/>
                <w:color w:val="667279"/>
                <w:sz w:val="13"/>
              </w:rPr>
              <w:t>LAYER</w:t>
            </w:r>
          </w:p>
        </w:tc>
        <w:tc>
          <w:tcPr>
            <w:tcW w:type="dxa" w:w="6336"/>
            <w:shd w:val="clear" w:fill="F0F3F4"/>
          </w:tcPr>
          <w:p>
            <w:r/>
            <w:r>
              <w:rPr>
                <w:rFonts w:ascii="Calibri" w:hAnsi="Calibri"/>
                <w:b/>
                <w:color w:val="667279"/>
                <w:sz w:val="13"/>
              </w:rPr>
              <w:t>MECHANISM</w:t>
            </w:r>
          </w:p>
        </w:tc>
        <w:tc>
          <w:tcPr>
            <w:tcW w:type="dxa" w:w="2304"/>
            <w:shd w:val="clear" w:fill="F0F3F4"/>
          </w:tcPr>
          <w:p>
            <w:r/>
            <w:r>
              <w:rPr>
                <w:rFonts w:ascii="Calibri" w:hAnsi="Calibri"/>
                <w:b/>
                <w:color w:val="667279"/>
                <w:sz w:val="13"/>
              </w:rPr>
              <w:t>ENFORCED BY</w:t>
            </w:r>
          </w:p>
        </w:tc>
      </w:tr>
      <w:tr>
        <w:tc>
          <w:tcPr>
            <w:tcW w:type="dxa" w:w="1296"/>
          </w:tcPr>
          <w:p>
            <w:pPr>
              <w:spacing w:line="278" w:lineRule="auto" w:after="0"/>
            </w:pPr>
            <w:r/>
            <w:r>
              <w:rPr>
                <w:rFonts w:ascii="Calibri" w:hAnsi="Calibri"/>
                <w:b/>
                <w:color w:val="172126"/>
                <w:sz w:val="15"/>
              </w:rPr>
              <w:t>Session</w:t>
            </w:r>
          </w:p>
        </w:tc>
        <w:tc>
          <w:tcPr>
            <w:tcW w:type="dxa" w:w="6336"/>
          </w:tcPr>
          <w:p>
            <w:pPr>
              <w:spacing w:line="278" w:lineRule="auto" w:after="0"/>
            </w:pPr>
            <w:r/>
            <w:r>
              <w:rPr>
                <w:rFonts w:ascii="Calibri" w:hAnsi="Calibri"/>
                <w:b w:val="0"/>
                <w:color w:val="526068"/>
                <w:sz w:val="15"/>
              </w:rPr>
              <w:t>The authenticated context carries tenant_id. It is never read from a request body or a query parameter</w:t>
            </w:r>
          </w:p>
        </w:tc>
        <w:tc>
          <w:tcPr>
            <w:tcW w:type="dxa" w:w="2304"/>
          </w:tcPr>
          <w:p>
            <w:pPr>
              <w:spacing w:line="278" w:lineRule="auto" w:after="0"/>
            </w:pPr>
            <w:r/>
            <w:r>
              <w:rPr>
                <w:rFonts w:ascii="Calibri" w:hAnsi="Calibri"/>
                <w:b w:val="0"/>
                <w:color w:val="526068"/>
                <w:sz w:val="15"/>
              </w:rPr>
              <w:t>lib/context.ts</w:t>
            </w:r>
          </w:p>
        </w:tc>
      </w:tr>
      <w:tr>
        <w:tc>
          <w:tcPr>
            <w:tcW w:type="dxa" w:w="1296"/>
          </w:tcPr>
          <w:p>
            <w:pPr>
              <w:spacing w:line="278" w:lineRule="auto" w:after="0"/>
            </w:pPr>
            <w:r/>
            <w:r>
              <w:rPr>
                <w:rFonts w:ascii="Calibri" w:hAnsi="Calibri"/>
                <w:b/>
                <w:color w:val="172126"/>
                <w:sz w:val="15"/>
              </w:rPr>
              <w:t>Permission</w:t>
            </w:r>
          </w:p>
        </w:tc>
        <w:tc>
          <w:tcPr>
            <w:tcW w:type="dxa" w:w="6336"/>
          </w:tcPr>
          <w:p>
            <w:pPr>
              <w:spacing w:line="278" w:lineRule="auto" w:after="0"/>
            </w:pPr>
            <w:r/>
            <w:r>
              <w:rPr>
                <w:rFonts w:ascii="Calibri" w:hAnsi="Calibri"/>
                <w:b w:val="0"/>
                <w:color w:val="526068"/>
                <w:sz w:val="15"/>
              </w:rPr>
              <w:t>requirePermission(ctx, key) on every route. UI absence is not authorization — a viewer calling a mutating endpoint directly gets 403</w:t>
            </w:r>
          </w:p>
        </w:tc>
        <w:tc>
          <w:tcPr>
            <w:tcW w:type="dxa" w:w="2304"/>
          </w:tcPr>
          <w:p>
            <w:pPr>
              <w:spacing w:line="278" w:lineRule="auto" w:after="0"/>
            </w:pPr>
            <w:r/>
            <w:r>
              <w:rPr>
                <w:rFonts w:ascii="Calibri" w:hAnsi="Calibri"/>
                <w:b w:val="0"/>
                <w:color w:val="526068"/>
                <w:sz w:val="15"/>
              </w:rPr>
              <w:t>91 route handlers</w:t>
            </w:r>
          </w:p>
        </w:tc>
      </w:tr>
      <w:tr>
        <w:tc>
          <w:tcPr>
            <w:tcW w:type="dxa" w:w="1296"/>
          </w:tcPr>
          <w:p>
            <w:pPr>
              <w:spacing w:line="278" w:lineRule="auto" w:after="0"/>
            </w:pPr>
            <w:r/>
            <w:r>
              <w:rPr>
                <w:rFonts w:ascii="Calibri" w:hAnsi="Calibri"/>
                <w:b/>
                <w:color w:val="172126"/>
                <w:sz w:val="15"/>
              </w:rPr>
              <w:t>Resource</w:t>
            </w:r>
          </w:p>
        </w:tc>
        <w:tc>
          <w:tcPr>
            <w:tcW w:type="dxa" w:w="6336"/>
          </w:tcPr>
          <w:p>
            <w:pPr>
              <w:spacing w:line="278" w:lineRule="auto" w:after="0"/>
            </w:pPr>
            <w:r/>
            <w:r>
              <w:rPr>
                <w:rFonts w:ascii="Calibri" w:hAnsi="Calibri"/>
                <w:b w:val="0"/>
                <w:color w:val="526068"/>
                <w:sz w:val="15"/>
              </w:rPr>
              <w:t>requireProject(ctx, pid) resolves the project WITHIN the tenant. A cross-tenant id therefore cannot resolve</w:t>
            </w:r>
          </w:p>
        </w:tc>
        <w:tc>
          <w:tcPr>
            <w:tcW w:type="dxa" w:w="2304"/>
          </w:tcPr>
          <w:p>
            <w:pPr>
              <w:spacing w:line="278" w:lineRule="auto" w:after="0"/>
            </w:pPr>
            <w:r/>
            <w:r>
              <w:rPr>
                <w:rFonts w:ascii="Calibri" w:hAnsi="Calibri"/>
                <w:b w:val="0"/>
                <w:color w:val="526068"/>
                <w:sz w:val="15"/>
              </w:rPr>
              <w:t>lib/context.ts</w:t>
            </w:r>
          </w:p>
        </w:tc>
      </w:tr>
      <w:tr>
        <w:tc>
          <w:tcPr>
            <w:tcW w:type="dxa" w:w="1296"/>
          </w:tcPr>
          <w:p>
            <w:pPr>
              <w:spacing w:line="278" w:lineRule="auto" w:after="0"/>
            </w:pPr>
            <w:r/>
            <w:r>
              <w:rPr>
                <w:rFonts w:ascii="Calibri" w:hAnsi="Calibri"/>
                <w:b/>
                <w:color w:val="172126"/>
                <w:sz w:val="15"/>
              </w:rPr>
              <w:t>Query</w:t>
            </w:r>
          </w:p>
        </w:tc>
        <w:tc>
          <w:tcPr>
            <w:tcW w:type="dxa" w:w="6336"/>
          </w:tcPr>
          <w:p>
            <w:pPr>
              <w:spacing w:line="278" w:lineRule="auto" w:after="0"/>
            </w:pPr>
            <w:r/>
            <w:r>
              <w:rPr>
                <w:rFonts w:ascii="Calibri" w:hAnsi="Calibri"/>
                <w:b w:val="0"/>
                <w:color w:val="526068"/>
                <w:sz w:val="15"/>
              </w:rPr>
              <w:t>Every SQL statement against a tenant-scoped table names tenant_id in its predicate</w:t>
            </w:r>
          </w:p>
        </w:tc>
        <w:tc>
          <w:tcPr>
            <w:tcW w:type="dxa" w:w="2304"/>
          </w:tcPr>
          <w:p>
            <w:pPr>
              <w:spacing w:line="278" w:lineRule="auto" w:after="0"/>
            </w:pPr>
            <w:r/>
            <w:r>
              <w:rPr>
                <w:rFonts w:ascii="Calibri" w:hAnsi="Calibri"/>
                <w:b w:val="0"/>
                <w:color w:val="526068"/>
                <w:sz w:val="15"/>
              </w:rPr>
              <w:t>tenant-scoping.test.ts</w:t>
            </w:r>
          </w:p>
        </w:tc>
      </w:tr>
    </w:tbl>
    <w:p>
      <w:pPr>
        <w:spacing w:after="60"/>
      </w:pPr>
    </w:p>
    <w:p>
      <w:pPr>
        <w:spacing w:before="260" w:after="80" w:line="307" w:lineRule="auto"/>
      </w:pPr>
      <w:r>
        <w:rPr>
          <w:rFonts w:ascii="Calibri" w:hAnsi="Calibri"/>
          <w:b/>
          <w:color w:val="172126"/>
          <w:sz w:val="22"/>
        </w:rPr>
        <w:t>4.3  The static scan is the actual control</w:t>
      </w:r>
    </w:p>
    <w:p>
      <w:pPr>
        <w:spacing w:before="0" w:after="140" w:line="307" w:lineRule="auto"/>
      </w:pPr>
      <w:r>
        <w:rPr>
          <w:rFonts w:ascii="Georgia" w:hAnsi="Georgia"/>
          <w:b w:val="0"/>
          <w:color w:val="526068"/>
          <w:sz w:val="19"/>
        </w:rPr>
        <w:t>test/tenant-scoping.test.ts reads the SOURCE, not the database. It derives the set of tenant-scoped tables from schema.sql rather than a maintained list, then walks every SQL statement in the codebase and fails if one touches such a table without constraining the tenant.</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 from the test's own header</w:t>
              <w:br/>
              <w:t>// The integration suite proves isolation holds on the paths it exercises.</w:t>
              <w:br/>
              <w:t>// This proves something different, and for a boundary like this one more</w:t>
              <w:br/>
              <w:t>// useful: that no query ANYWHERE reads or writes a tenant-scoped table</w:t>
              <w:br/>
              <w:t>// without saying which tenant. It reads the source rather than the</w:t>
              <w:br/>
              <w:t>// database, so it runs in CI with no MySQL, on every pull request, and it</w:t>
              <w:br/>
              <w:t>// covers queries nobody wrote a test for.</w:t>
            </w:r>
          </w:p>
        </w:tc>
      </w:tr>
    </w:tbl>
    <w:p>
      <w:pPr>
        <w:spacing w:after="40"/>
      </w:pPr>
    </w:p>
    <w:p>
      <w:pPr>
        <w:spacing w:before="0" w:after="140" w:line="307" w:lineRule="auto"/>
      </w:pPr>
      <w:r>
        <w:rPr>
          <w:rFonts w:ascii="Georgia" w:hAnsi="Georgia"/>
          <w:b w:val="0"/>
          <w:color w:val="526068"/>
          <w:sz w:val="19"/>
        </w:rPr>
        <w:t>Because the table list comes from the schema, adding a tenant-scoped table automatically extends the scan. Eight tests, no database, every pull request.</w:t>
      </w:r>
    </w:p>
    <w:p>
      <w:pPr>
        <w:spacing w:before="260" w:after="80" w:line="307" w:lineRule="auto"/>
      </w:pPr>
      <w:r>
        <w:rPr>
          <w:rFonts w:ascii="Calibri" w:hAnsi="Calibri"/>
          <w:b/>
          <w:color w:val="172126"/>
          <w:sz w:val="22"/>
        </w:rPr>
        <w:t>4.4  404, not 403</w:t>
      </w:r>
    </w:p>
    <w:p>
      <w:pPr>
        <w:spacing w:before="0" w:after="140" w:line="307" w:lineRule="auto"/>
      </w:pPr>
      <w:r>
        <w:rPr>
          <w:rFonts w:ascii="Georgia" w:hAnsi="Georgia"/>
          <w:b w:val="0"/>
          <w:color w:val="526068"/>
          <w:sz w:val="19"/>
        </w:rPr>
        <w:t>A cross-tenant read by direct object id answers 404. A 403 would confirm the id exists, which turns an authorization boundary into an enumeration oracle: an attacker learns which project ids are real by the difference between the two responses.</w:t>
      </w:r>
    </w:p>
    <w:p>
      <w:pPr>
        <w:spacing w:before="260" w:after="80" w:line="307" w:lineRule="auto"/>
      </w:pPr>
      <w:r>
        <w:rPr>
          <w:rFonts w:ascii="Calibri" w:hAnsi="Calibri"/>
          <w:b/>
          <w:color w:val="172126"/>
          <w:sz w:val="22"/>
        </w:rPr>
        <w:t>4.5  Where the discipline is thinnest</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440"/>
            <w:shd w:val="clear" w:fill="F0F3F4"/>
          </w:tcPr>
          <w:p>
            <w:r/>
            <w:r>
              <w:rPr>
                <w:rFonts w:ascii="Calibri" w:hAnsi="Calibri"/>
                <w:b/>
                <w:color w:val="667279"/>
                <w:sz w:val="13"/>
              </w:rPr>
              <w:t>EXPOSURE</w:t>
            </w:r>
          </w:p>
        </w:tc>
        <w:tc>
          <w:tcPr>
            <w:tcW w:type="dxa" w:w="5616"/>
            <w:shd w:val="clear" w:fill="F0F3F4"/>
          </w:tcPr>
          <w:p>
            <w:r/>
            <w:r>
              <w:rPr>
                <w:rFonts w:ascii="Calibri" w:hAnsi="Calibri"/>
                <w:b/>
                <w:color w:val="667279"/>
                <w:sz w:val="13"/>
              </w:rPr>
              <w:t>WHY IT IS WEAKER</w:t>
            </w:r>
          </w:p>
        </w:tc>
        <w:tc>
          <w:tcPr>
            <w:tcW w:type="dxa" w:w="2880"/>
            <w:shd w:val="clear" w:fill="F0F3F4"/>
          </w:tcPr>
          <w:p>
            <w:r/>
            <w:r>
              <w:rPr>
                <w:rFonts w:ascii="Calibri" w:hAnsi="Calibri"/>
                <w:b/>
                <w:color w:val="667279"/>
                <w:sz w:val="13"/>
              </w:rPr>
              <w:t>MITIGATION TODAY</w:t>
            </w:r>
          </w:p>
        </w:tc>
      </w:tr>
      <w:tr>
        <w:tc>
          <w:tcPr>
            <w:tcW w:type="dxa" w:w="1440"/>
          </w:tcPr>
          <w:p>
            <w:pPr>
              <w:spacing w:line="278" w:lineRule="auto" w:after="0"/>
            </w:pPr>
            <w:r/>
            <w:r>
              <w:rPr>
                <w:rFonts w:ascii="Calibri" w:hAnsi="Calibri"/>
                <w:b/>
                <w:color w:val="172126"/>
                <w:sz w:val="15"/>
              </w:rPr>
              <w:t>Child rows</w:t>
            </w:r>
          </w:p>
        </w:tc>
        <w:tc>
          <w:tcPr>
            <w:tcW w:type="dxa" w:w="5616"/>
          </w:tcPr>
          <w:p>
            <w:pPr>
              <w:spacing w:line="278" w:lineRule="auto" w:after="0"/>
            </w:pPr>
            <w:r/>
            <w:r>
              <w:rPr>
                <w:rFonts w:ascii="Calibri" w:hAnsi="Calibri"/>
                <w:b w:val="0"/>
                <w:color w:val="526068"/>
                <w:sz w:val="15"/>
              </w:rPr>
              <w:t>quote_line and rfq_vendor have no tenant_id and are scoped through their parent. A query reaching them without joining the parent has no predicate — and the scan cannot flag a missing column that was never there</w:t>
            </w:r>
          </w:p>
        </w:tc>
        <w:tc>
          <w:tcPr>
            <w:tcW w:type="dxa" w:w="2880"/>
          </w:tcPr>
          <w:p>
            <w:pPr>
              <w:spacing w:line="278" w:lineRule="auto" w:after="0"/>
            </w:pPr>
            <w:r/>
            <w:r>
              <w:rPr>
                <w:rFonts w:ascii="Calibri" w:hAnsi="Calibri"/>
                <w:b w:val="0"/>
                <w:color w:val="526068"/>
                <w:sz w:val="15"/>
              </w:rPr>
              <w:t>Review. This is the one place the automated control does not reach</w:t>
            </w:r>
          </w:p>
        </w:tc>
      </w:tr>
      <w:tr>
        <w:tc>
          <w:tcPr>
            <w:tcW w:type="dxa" w:w="1440"/>
          </w:tcPr>
          <w:p>
            <w:pPr>
              <w:spacing w:line="278" w:lineRule="auto" w:after="0"/>
            </w:pPr>
            <w:r/>
            <w:r>
              <w:rPr>
                <w:rFonts w:ascii="Calibri" w:hAnsi="Calibri"/>
                <w:b/>
                <w:color w:val="172126"/>
                <w:sz w:val="15"/>
              </w:rPr>
              <w:t>The AI worker</w:t>
            </w:r>
          </w:p>
        </w:tc>
        <w:tc>
          <w:tcPr>
            <w:tcW w:type="dxa" w:w="5616"/>
          </w:tcPr>
          <w:p>
            <w:pPr>
              <w:spacing w:line="278" w:lineRule="auto" w:after="0"/>
            </w:pPr>
            <w:r/>
            <w:r>
              <w:rPr>
                <w:rFonts w:ascii="Calibri" w:hAnsi="Calibri"/>
                <w:b w:val="0"/>
                <w:color w:val="526068"/>
                <w:sz w:val="15"/>
              </w:rPr>
              <w:t>Runs outside the database entirely and is handed a tenant_id on the job envelope</w:t>
            </w:r>
          </w:p>
        </w:tc>
        <w:tc>
          <w:tcPr>
            <w:tcW w:type="dxa" w:w="2880"/>
          </w:tcPr>
          <w:p>
            <w:pPr>
              <w:spacing w:line="278" w:lineRule="auto" w:after="0"/>
            </w:pPr>
            <w:r/>
            <w:r>
              <w:rPr>
                <w:rFonts w:ascii="Calibri" w:hAnsi="Calibri"/>
                <w:b w:val="0"/>
                <w:color w:val="526068"/>
                <w:sz w:val="15"/>
              </w:rPr>
              <w:t>It has no database handle, so it cannot read across tenants even if it wanted to</w:t>
            </w:r>
          </w:p>
        </w:tc>
      </w:tr>
      <w:tr>
        <w:tc>
          <w:tcPr>
            <w:tcW w:type="dxa" w:w="1440"/>
          </w:tcPr>
          <w:p>
            <w:pPr>
              <w:spacing w:line="278" w:lineRule="auto" w:after="0"/>
            </w:pPr>
            <w:r/>
            <w:r>
              <w:rPr>
                <w:rFonts w:ascii="Calibri" w:hAnsi="Calibri"/>
                <w:b/>
                <w:color w:val="172126"/>
                <w:sz w:val="15"/>
              </w:rPr>
              <w:t>Retrieval</w:t>
            </w:r>
          </w:p>
        </w:tc>
        <w:tc>
          <w:tcPr>
            <w:tcW w:type="dxa" w:w="5616"/>
          </w:tcPr>
          <w:p>
            <w:pPr>
              <w:spacing w:line="278" w:lineRule="auto" w:after="0"/>
            </w:pPr>
            <w:r/>
            <w:r>
              <w:rPr>
                <w:rFonts w:ascii="Calibri" w:hAnsi="Calibri"/>
                <w:b w:val="0"/>
                <w:color w:val="526068"/>
                <w:sz w:val="15"/>
              </w:rPr>
              <w:t>chunk carries tenant_id and project_id, and search filters on both</w:t>
            </w:r>
          </w:p>
        </w:tc>
        <w:tc>
          <w:tcPr>
            <w:tcW w:type="dxa" w:w="2880"/>
          </w:tcPr>
          <w:p>
            <w:pPr>
              <w:spacing w:line="278" w:lineRule="auto" w:after="0"/>
            </w:pPr>
            <w:r/>
            <w:r>
              <w:rPr>
                <w:rFonts w:ascii="Calibri" w:hAnsi="Calibri"/>
                <w:b w:val="0"/>
                <w:color w:val="526068"/>
                <w:sz w:val="15"/>
              </w:rPr>
              <w:t>Covered by the scan</w:t>
            </w:r>
          </w:p>
        </w:tc>
      </w:tr>
    </w:tbl>
    <w:p>
      <w:pPr>
        <w:spacing w:after="6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THE HONEST SUMMARY</w:t>
            </w:r>
          </w:p>
          <w:p>
            <w:pPr>
              <w:spacing w:before="60" w:line="302" w:lineRule="auto"/>
            </w:pPr>
            <w:r>
              <w:rPr>
                <w:rFonts w:ascii="Georgia" w:hAnsi="Georgia"/>
                <w:color w:val="172126"/>
                <w:sz w:val="17"/>
              </w:rPr>
              <w:t>Isolation here is not a policy the database enforces; it is a rule the code follows and a test that refuses to let it stop following. That is weaker than real RLS and stronger than review alone. If the platform ever moves to PostgreSQL, RLS is the single largest safety upgrade available and should be taken.</w:t>
            </w:r>
          </w:p>
        </w:tc>
      </w:tr>
    </w:tbl>
    <w:p>
      <w:pPr>
        <w:spacing w:after="60"/>
      </w:pPr>
    </w:p>
    <w:p>
      <w:r>
        <w:br w:type="page"/>
      </w:r>
    </w:p>
    <w:p>
      <w:pPr>
        <w:spacing w:before="0" w:after="60" w:line="307" w:lineRule="auto"/>
      </w:pPr>
      <w:r>
        <w:rPr>
          <w:rFonts w:ascii="Consolas" w:hAnsi="Consolas"/>
          <w:b/>
          <w:color w:val="087E75"/>
          <w:sz w:val="15"/>
        </w:rPr>
        <w:t>PART 5</w:t>
      </w:r>
    </w:p>
    <w:p>
      <w:pPr>
        <w:spacing w:before="0" w:after="160" w:line="252" w:lineRule="auto"/>
      </w:pPr>
      <w:r>
        <w:rPr>
          <w:rFonts w:ascii="Georgia" w:hAnsi="Georgia"/>
          <w:b/>
          <w:color w:val="172126"/>
          <w:sz w:val="38"/>
        </w:rPr>
        <w:t>API surface and contracts</w:t>
      </w:r>
    </w:p>
    <w:p>
      <w:pPr>
        <w:spacing w:before="0" w:after="200" w:line="307" w:lineRule="auto"/>
      </w:pPr>
      <w:r>
        <w:rPr>
          <w:rFonts w:ascii="Georgia" w:hAnsi="Georgia"/>
          <w:b w:val="0"/>
          <w:color w:val="526068"/>
          <w:sz w:val="21"/>
        </w:rPr>
        <w:t>91 routes, versioned, uniformly wrapped — and no published specification.</w:t>
      </w:r>
    </w:p>
    <w:p>
      <w:pPr>
        <w:spacing w:before="260" w:after="80" w:line="307" w:lineRule="auto"/>
      </w:pPr>
      <w:r>
        <w:rPr>
          <w:rFonts w:ascii="Calibri" w:hAnsi="Calibri"/>
          <w:b/>
          <w:color w:val="172126"/>
          <w:sz w:val="22"/>
        </w:rPr>
        <w:t>5.1  There is no OpenAPI or Swagger document</w:t>
      </w:r>
    </w:p>
    <w:p>
      <w:pPr>
        <w:spacing w:before="0" w:after="140" w:line="307" w:lineRule="auto"/>
      </w:pPr>
      <w:r>
        <w:rPr>
          <w:rFonts w:ascii="Georgia" w:hAnsi="Georgia"/>
          <w:b w:val="0"/>
          <w:color w:val="526068"/>
          <w:sz w:val="19"/>
        </w:rPr>
        <w:t>Searched: no openapi.json, no openapi.yaml, no swagger file, no generator in the build, no spec route. This is a real gap rather than an oversight to gloss — an integrator has nothing machine-readable to consume, and the Integration Hub the Bible specifies will need one before a customer connector can be written against it.</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736"/>
            <w:shd w:val="clear" w:fill="F0F3F4"/>
          </w:tcPr>
          <w:p>
            <w:r/>
            <w:r>
              <w:rPr>
                <w:rFonts w:ascii="Calibri" w:hAnsi="Calibri"/>
                <w:b/>
                <w:color w:val="667279"/>
                <w:sz w:val="13"/>
              </w:rPr>
              <w:t>WHAT EXISTS INSTEAD</w:t>
            </w:r>
          </w:p>
        </w:tc>
        <w:tc>
          <w:tcPr>
            <w:tcW w:type="dxa" w:w="3744"/>
            <w:shd w:val="clear" w:fill="F0F3F4"/>
          </w:tcPr>
          <w:p>
            <w:r/>
            <w:r>
              <w:rPr>
                <w:rFonts w:ascii="Calibri" w:hAnsi="Calibri"/>
                <w:b/>
                <w:color w:val="667279"/>
                <w:sz w:val="13"/>
              </w:rPr>
              <w:t>WHAT IT GIVES YOU</w:t>
            </w:r>
          </w:p>
        </w:tc>
        <w:tc>
          <w:tcPr>
            <w:tcW w:type="dxa" w:w="3456"/>
            <w:shd w:val="clear" w:fill="F0F3F4"/>
          </w:tcPr>
          <w:p>
            <w:r/>
            <w:r>
              <w:rPr>
                <w:rFonts w:ascii="Calibri" w:hAnsi="Calibri"/>
                <w:b/>
                <w:color w:val="667279"/>
                <w:sz w:val="13"/>
              </w:rPr>
              <w:t>WHAT IT DOES NOT</w:t>
            </w:r>
          </w:p>
        </w:tc>
      </w:tr>
      <w:tr>
        <w:tc>
          <w:tcPr>
            <w:tcW w:type="dxa" w:w="2736"/>
          </w:tcPr>
          <w:p>
            <w:pPr>
              <w:spacing w:line="278" w:lineRule="auto" w:after="0"/>
            </w:pPr>
            <w:r/>
            <w:r>
              <w:rPr>
                <w:rFonts w:ascii="Calibri" w:hAnsi="Calibri"/>
                <w:b/>
                <w:color w:val="172126"/>
                <w:sz w:val="15"/>
              </w:rPr>
              <w:t>route() wrapper on all 91 handlers</w:t>
            </w:r>
          </w:p>
        </w:tc>
        <w:tc>
          <w:tcPr>
            <w:tcW w:type="dxa" w:w="3744"/>
          </w:tcPr>
          <w:p>
            <w:pPr>
              <w:spacing w:line="278" w:lineRule="auto" w:after="0"/>
            </w:pPr>
            <w:r/>
            <w:r>
              <w:rPr>
                <w:rFonts w:ascii="Calibri" w:hAnsi="Calibri"/>
                <w:b w:val="0"/>
                <w:color w:val="526068"/>
                <w:sz w:val="15"/>
              </w:rPr>
              <w:t>Uniform auth, error shape, request id, logging</w:t>
            </w:r>
          </w:p>
        </w:tc>
        <w:tc>
          <w:tcPr>
            <w:tcW w:type="dxa" w:w="3456"/>
          </w:tcPr>
          <w:p>
            <w:pPr>
              <w:spacing w:line="278" w:lineRule="auto" w:after="0"/>
            </w:pPr>
            <w:r/>
            <w:r>
              <w:rPr>
                <w:rFonts w:ascii="Calibri" w:hAnsi="Calibri"/>
                <w:b w:val="0"/>
                <w:color w:val="526068"/>
                <w:sz w:val="15"/>
              </w:rPr>
              <w:t>No published schema</w:t>
            </w:r>
          </w:p>
        </w:tc>
      </w:tr>
      <w:tr>
        <w:tc>
          <w:tcPr>
            <w:tcW w:type="dxa" w:w="2736"/>
          </w:tcPr>
          <w:p>
            <w:pPr>
              <w:spacing w:line="278" w:lineRule="auto" w:after="0"/>
            </w:pPr>
            <w:r/>
            <w:r>
              <w:rPr>
                <w:rFonts w:ascii="Calibri" w:hAnsi="Calibri"/>
                <w:b/>
                <w:color w:val="172126"/>
                <w:sz w:val="15"/>
              </w:rPr>
              <w:t>zod schemas on request bodies</w:t>
            </w:r>
          </w:p>
        </w:tc>
        <w:tc>
          <w:tcPr>
            <w:tcW w:type="dxa" w:w="3744"/>
          </w:tcPr>
          <w:p>
            <w:pPr>
              <w:spacing w:line="278" w:lineRule="auto" w:after="0"/>
            </w:pPr>
            <w:r/>
            <w:r>
              <w:rPr>
                <w:rFonts w:ascii="Calibri" w:hAnsi="Calibri"/>
                <w:b w:val="0"/>
                <w:color w:val="526068"/>
                <w:sz w:val="15"/>
              </w:rPr>
              <w:t>Validation at the boundary with a real message, not a cast</w:t>
            </w:r>
          </w:p>
        </w:tc>
        <w:tc>
          <w:tcPr>
            <w:tcW w:type="dxa" w:w="3456"/>
          </w:tcPr>
          <w:p>
            <w:pPr>
              <w:spacing w:line="278" w:lineRule="auto" w:after="0"/>
            </w:pPr>
            <w:r/>
            <w:r>
              <w:rPr>
                <w:rFonts w:ascii="Calibri" w:hAnsi="Calibri"/>
                <w:b w:val="0"/>
                <w:color w:val="526068"/>
                <w:sz w:val="15"/>
              </w:rPr>
              <w:t>Not exported as a spec</w:t>
            </w:r>
          </w:p>
        </w:tc>
      </w:tr>
      <w:tr>
        <w:tc>
          <w:tcPr>
            <w:tcW w:type="dxa" w:w="2736"/>
          </w:tcPr>
          <w:p>
            <w:pPr>
              <w:spacing w:line="278" w:lineRule="auto" w:after="0"/>
            </w:pPr>
            <w:r/>
            <w:r>
              <w:rPr>
                <w:rFonts w:ascii="Calibri" w:hAnsi="Calibri"/>
                <w:b/>
                <w:color w:val="172126"/>
                <w:sz w:val="15"/>
              </w:rPr>
              <w:t>TypeScript types shared client and server</w:t>
            </w:r>
          </w:p>
        </w:tc>
        <w:tc>
          <w:tcPr>
            <w:tcW w:type="dxa" w:w="3744"/>
          </w:tcPr>
          <w:p>
            <w:pPr>
              <w:spacing w:line="278" w:lineRule="auto" w:after="0"/>
            </w:pPr>
            <w:r/>
            <w:r>
              <w:rPr>
                <w:rFonts w:ascii="Calibri" w:hAnsi="Calibri"/>
                <w:b w:val="0"/>
                <w:color w:val="526068"/>
                <w:sz w:val="15"/>
              </w:rPr>
              <w:t>Compile-time safety inside the monorepo</w:t>
            </w:r>
          </w:p>
        </w:tc>
        <w:tc>
          <w:tcPr>
            <w:tcW w:type="dxa" w:w="3456"/>
          </w:tcPr>
          <w:p>
            <w:pPr>
              <w:spacing w:line="278" w:lineRule="auto" w:after="0"/>
            </w:pPr>
            <w:r/>
            <w:r>
              <w:rPr>
                <w:rFonts w:ascii="Calibri" w:hAnsi="Calibri"/>
                <w:b w:val="0"/>
                <w:color w:val="526068"/>
                <w:sz w:val="15"/>
              </w:rPr>
              <w:t>Nothing for an external caller</w:t>
            </w:r>
          </w:p>
        </w:tc>
      </w:tr>
      <w:tr>
        <w:tc>
          <w:tcPr>
            <w:tcW w:type="dxa" w:w="2736"/>
          </w:tcPr>
          <w:p>
            <w:pPr>
              <w:spacing w:line="278" w:lineRule="auto" w:after="0"/>
            </w:pPr>
            <w:r/>
            <w:r>
              <w:rPr>
                <w:rFonts w:ascii="Calibri" w:hAnsi="Calibri"/>
                <w:b/>
                <w:color w:val="172126"/>
                <w:sz w:val="15"/>
              </w:rPr>
              <w:t>Consistent envelope and error codes</w:t>
            </w:r>
          </w:p>
        </w:tc>
        <w:tc>
          <w:tcPr>
            <w:tcW w:type="dxa" w:w="3744"/>
          </w:tcPr>
          <w:p>
            <w:pPr>
              <w:spacing w:line="278" w:lineRule="auto" w:after="0"/>
            </w:pPr>
            <w:r/>
            <w:r>
              <w:rPr>
                <w:rFonts w:ascii="Calibri" w:hAnsi="Calibri"/>
                <w:b w:val="0"/>
                <w:color w:val="526068"/>
                <w:sz w:val="15"/>
              </w:rPr>
              <w:t>Predictable responses</w:t>
            </w:r>
          </w:p>
        </w:tc>
        <w:tc>
          <w:tcPr>
            <w:tcW w:type="dxa" w:w="3456"/>
          </w:tcPr>
          <w:p>
            <w:pPr>
              <w:spacing w:line="278" w:lineRule="auto" w:after="0"/>
            </w:pPr>
            <w:r/>
            <w:r>
              <w:rPr>
                <w:rFonts w:ascii="Calibri" w:hAnsi="Calibri"/>
                <w:b w:val="0"/>
                <w:color w:val="526068"/>
                <w:sz w:val="15"/>
              </w:rPr>
              <w:t>Undocumented outside the source</w:t>
            </w:r>
          </w:p>
        </w:tc>
      </w:tr>
    </w:tbl>
    <w:p>
      <w:pPr>
        <w:spacing w:after="60"/>
      </w:pP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10080"/>
      </w:tblGrid>
      <w:tr>
        <w:tc>
          <w:tcPr>
            <w:tcW w:type="dxa" w:w="10080"/>
            <w:shd w:val="clear" w:fill="E6F3F1"/>
          </w:tcPr>
          <w:p>
            <w:r/>
            <w:r>
              <w:rPr>
                <w:rFonts w:ascii="Calibri" w:hAnsi="Calibri"/>
                <w:b/>
                <w:color w:val="087E75"/>
                <w:sz w:val="14"/>
              </w:rPr>
              <w:t>RECOMMENDED</w:t>
            </w:r>
          </w:p>
          <w:p>
            <w:pPr>
              <w:spacing w:before="60" w:line="302" w:lineRule="auto"/>
            </w:pPr>
            <w:r>
              <w:rPr>
                <w:rFonts w:ascii="Georgia" w:hAnsi="Georgia"/>
                <w:color w:val="172126"/>
                <w:sz w:val="17"/>
              </w:rPr>
              <w:t>zod-to-openapi over the existing schemas would produce a spec from what the code already declares, rather than a hand-written document that drifts. That is a small job and it unblocks anyone integrating.</w:t>
            </w:r>
          </w:p>
        </w:tc>
      </w:tr>
    </w:tbl>
    <w:p>
      <w:pPr>
        <w:spacing w:after="60"/>
      </w:pPr>
    </w:p>
    <w:p>
      <w:pPr>
        <w:spacing w:before="260" w:after="80" w:line="307" w:lineRule="auto"/>
      </w:pPr>
      <w:r>
        <w:rPr>
          <w:rFonts w:ascii="Calibri" w:hAnsi="Calibri"/>
          <w:b/>
          <w:color w:val="172126"/>
          <w:sz w:val="22"/>
        </w:rPr>
        <w:t>5.2  Route conventions</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/api/v1/...                       versioned public surface, session auth</w:t>
              <w:br/>
              <w:t>/api/v1/projects/{pid}/...        project-scoped; requireProject resolves within tenant</w:t>
              <w:br/>
              <w:t>/api/internal/...                 service-to-service, INTERNAL_SERVICE_TOKEN</w:t>
              <w:br/>
              <w:t>/api/auth/[...all]                Better Auth, minus registration</w:t>
              <w:br/>
              <w:t>/api/healthz                      liveness</w:t>
            </w:r>
          </w:p>
        </w:tc>
      </w:tr>
    </w:tbl>
    <w:p>
      <w:pPr>
        <w:spacing w:after="40"/>
      </w:pP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728"/>
            <w:shd w:val="clear" w:fill="F0F3F4"/>
          </w:tcPr>
          <w:p>
            <w:r/>
            <w:r>
              <w:rPr>
                <w:rFonts w:ascii="Calibri" w:hAnsi="Calibri"/>
                <w:b/>
                <w:color w:val="667279"/>
                <w:sz w:val="13"/>
              </w:rPr>
              <w:t>GROUP</w:t>
            </w:r>
          </w:p>
        </w:tc>
        <w:tc>
          <w:tcPr>
            <w:tcW w:type="dxa" w:w="864"/>
            <w:shd w:val="clear" w:fill="F0F3F4"/>
          </w:tcPr>
          <w:p>
            <w:r/>
            <w:r>
              <w:rPr>
                <w:rFonts w:ascii="Calibri" w:hAnsi="Calibri"/>
                <w:b/>
                <w:color w:val="667279"/>
                <w:sz w:val="13"/>
              </w:rPr>
              <w:t>ROUTES</w:t>
            </w:r>
          </w:p>
        </w:tc>
        <w:tc>
          <w:tcPr>
            <w:tcW w:type="dxa" w:w="7344"/>
            <w:shd w:val="clear" w:fill="F0F3F4"/>
          </w:tcPr>
          <w:p>
            <w:r/>
            <w:r>
              <w:rPr>
                <w:rFonts w:ascii="Calibri" w:hAnsi="Calibri"/>
                <w:b/>
                <w:color w:val="667279"/>
                <w:sz w:val="13"/>
              </w:rPr>
              <w:t>NOTES</w:t>
            </w:r>
          </w:p>
        </w:tc>
      </w:tr>
      <w:tr>
        <w:tc>
          <w:tcPr>
            <w:tcW w:type="dxa" w:w="1728"/>
          </w:tcPr>
          <w:p>
            <w:pPr>
              <w:spacing w:line="278" w:lineRule="auto" w:after="0"/>
            </w:pPr>
            <w:r/>
            <w:r>
              <w:rPr>
                <w:rFonts w:ascii="Calibri" w:hAnsi="Calibri"/>
                <w:b/>
                <w:color w:val="172126"/>
                <w:sz w:val="15"/>
              </w:rPr>
              <w:t>Project-scoped</w:t>
            </w:r>
          </w:p>
        </w:tc>
        <w:tc>
          <w:tcPr>
            <w:tcW w:type="dxa" w:w="864"/>
          </w:tcPr>
          <w:p>
            <w:pPr>
              <w:spacing w:line="278" w:lineRule="auto" w:after="0"/>
            </w:pPr>
            <w:r/>
            <w:r>
              <w:rPr>
                <w:rFonts w:ascii="Calibri" w:hAnsi="Calibri"/>
                <w:b w:val="0"/>
                <w:color w:val="526068"/>
                <w:sz w:val="15"/>
              </w:rPr>
              <w:t>~55</w:t>
            </w:r>
          </w:p>
        </w:tc>
        <w:tc>
          <w:tcPr>
            <w:tcW w:type="dxa" w:w="7344"/>
          </w:tcPr>
          <w:p>
            <w:pPr>
              <w:spacing w:line="278" w:lineRule="auto" w:after="0"/>
            </w:pPr>
            <w:r/>
            <w:r>
              <w:rPr>
                <w:rFonts w:ascii="Calibri" w:hAnsi="Calibri"/>
                <w:b w:val="0"/>
                <w:color w:val="526068"/>
                <w:sz w:val="15"/>
              </w:rPr>
              <w:t>artifacts, runs, files, documents, boq, programme, bim, cad, pcm, transmittals, review-queue, pursuit, narrative, standards</w:t>
            </w:r>
          </w:p>
        </w:tc>
      </w:tr>
      <w:tr>
        <w:tc>
          <w:tcPr>
            <w:tcW w:type="dxa" w:w="1728"/>
          </w:tcPr>
          <w:p>
            <w:pPr>
              <w:spacing w:line="278" w:lineRule="auto" w:after="0"/>
            </w:pPr>
            <w:r/>
            <w:r>
              <w:rPr>
                <w:rFonts w:ascii="Calibri" w:hAnsi="Calibri"/>
                <w:b/>
                <w:color w:val="172126"/>
                <w:sz w:val="15"/>
              </w:rPr>
              <w:t>Tenant-level</w:t>
            </w:r>
          </w:p>
        </w:tc>
        <w:tc>
          <w:tcPr>
            <w:tcW w:type="dxa" w:w="864"/>
          </w:tcPr>
          <w:p>
            <w:pPr>
              <w:spacing w:line="278" w:lineRule="auto" w:after="0"/>
            </w:pPr>
            <w:r/>
            <w:r>
              <w:rPr>
                <w:rFonts w:ascii="Calibri" w:hAnsi="Calibri"/>
                <w:b w:val="0"/>
                <w:color w:val="526068"/>
                <w:sz w:val="15"/>
              </w:rPr>
              <w:t>~20</w:t>
            </w:r>
          </w:p>
        </w:tc>
        <w:tc>
          <w:tcPr>
            <w:tcW w:type="dxa" w:w="7344"/>
          </w:tcPr>
          <w:p>
            <w:pPr>
              <w:spacing w:line="278" w:lineRule="auto" w:after="0"/>
            </w:pPr>
            <w:r/>
            <w:r>
              <w:rPr>
                <w:rFonts w:ascii="Calibri" w:hAnsi="Calibri"/>
                <w:b w:val="0"/>
                <w:color w:val="526068"/>
                <w:sz w:val="15"/>
              </w:rPr>
              <w:t>users, roles, settings, library, workflows, entitlements, usage, audit, desktop, learning</w:t>
            </w:r>
          </w:p>
        </w:tc>
      </w:tr>
      <w:tr>
        <w:tc>
          <w:tcPr>
            <w:tcW w:type="dxa" w:w="1728"/>
          </w:tcPr>
          <w:p>
            <w:pPr>
              <w:spacing w:line="278" w:lineRule="auto" w:after="0"/>
            </w:pPr>
            <w:r/>
            <w:r>
              <w:rPr>
                <w:rFonts w:ascii="Calibri" w:hAnsi="Calibri"/>
                <w:b/>
                <w:color w:val="172126"/>
                <w:sz w:val="15"/>
              </w:rPr>
              <w:t>Internal</w:t>
            </w:r>
          </w:p>
        </w:tc>
        <w:tc>
          <w:tcPr>
            <w:tcW w:type="dxa" w:w="864"/>
          </w:tcPr>
          <w:p>
            <w:pPr>
              <w:spacing w:line="278" w:lineRule="auto" w:after="0"/>
            </w:pPr>
            <w:r/>
            <w:r>
              <w:rPr>
                <w:rFonts w:ascii="Calibri" w:hAnsi="Calibri"/>
                <w:b w:val="0"/>
                <w:color w:val="526068"/>
                <w:sz w:val="15"/>
              </w:rPr>
              <w:t>4</w:t>
            </w:r>
          </w:p>
        </w:tc>
        <w:tc>
          <w:tcPr>
            <w:tcW w:type="dxa" w:w="7344"/>
          </w:tcPr>
          <w:p>
            <w:pPr>
              <w:spacing w:line="278" w:lineRule="auto" w:after="0"/>
            </w:pPr>
            <w:r/>
            <w:r>
              <w:rPr>
                <w:rFonts w:ascii="Calibri" w:hAnsi="Calibri"/>
                <w:b w:val="0"/>
                <w:color w:val="526068"/>
                <w:sz w:val="15"/>
              </w:rPr>
              <w:t>job result callback, reconcile, tenant bootstrap, project query</w:t>
            </w:r>
          </w:p>
        </w:tc>
      </w:tr>
      <w:tr>
        <w:tc>
          <w:tcPr>
            <w:tcW w:type="dxa" w:w="1728"/>
          </w:tcPr>
          <w:p>
            <w:pPr>
              <w:spacing w:line="278" w:lineRule="auto" w:after="0"/>
            </w:pPr>
            <w:r/>
            <w:r>
              <w:rPr>
                <w:rFonts w:ascii="Calibri" w:hAnsi="Calibri"/>
                <w:b/>
                <w:color w:val="172126"/>
                <w:sz w:val="15"/>
              </w:rPr>
              <w:t>Auth</w:t>
            </w:r>
          </w:p>
        </w:tc>
        <w:tc>
          <w:tcPr>
            <w:tcW w:type="dxa" w:w="864"/>
          </w:tcPr>
          <w:p>
            <w:pPr>
              <w:spacing w:line="278" w:lineRule="auto" w:after="0"/>
            </w:pPr>
            <w:r/>
            <w:r>
              <w:rPr>
                <w:rFonts w:ascii="Calibri" w:hAnsi="Calibri"/>
                <w:b w:val="0"/>
                <w:color w:val="526068"/>
                <w:sz w:val="15"/>
              </w:rPr>
              <w:t>1</w:t>
            </w:r>
          </w:p>
        </w:tc>
        <w:tc>
          <w:tcPr>
            <w:tcW w:type="dxa" w:w="7344"/>
          </w:tcPr>
          <w:p>
            <w:pPr>
              <w:spacing w:line="278" w:lineRule="auto" w:after="0"/>
            </w:pPr>
            <w:r/>
            <w:r>
              <w:rPr>
                <w:rFonts w:ascii="Calibri" w:hAnsi="Calibri"/>
                <w:b w:val="0"/>
                <w:color w:val="526068"/>
                <w:sz w:val="15"/>
              </w:rPr>
              <w:t>catch-all, with /sign-up refused at the boundary</w:t>
            </w:r>
          </w:p>
        </w:tc>
      </w:tr>
    </w:tbl>
    <w:p>
      <w:pPr>
        <w:spacing w:after="60"/>
      </w:pPr>
    </w:p>
    <w:p>
      <w:r>
        <w:br w:type="page"/>
      </w:r>
    </w:p>
    <w:p>
      <w:pPr>
        <w:spacing w:before="0" w:after="60" w:line="307" w:lineRule="auto"/>
      </w:pPr>
      <w:r>
        <w:rPr>
          <w:rFonts w:ascii="Consolas" w:hAnsi="Consolas"/>
          <w:b/>
          <w:color w:val="087E75"/>
          <w:sz w:val="15"/>
        </w:rPr>
        <w:t>PART 6</w:t>
      </w:r>
    </w:p>
    <w:p>
      <w:pPr>
        <w:spacing w:before="0" w:after="160" w:line="252" w:lineRule="auto"/>
      </w:pPr>
      <w:r>
        <w:rPr>
          <w:rFonts w:ascii="Georgia" w:hAnsi="Georgia"/>
          <w:b/>
          <w:color w:val="172126"/>
          <w:sz w:val="38"/>
        </w:rPr>
        <w:t>Agent orchestration</w:t>
      </w:r>
    </w:p>
    <w:p>
      <w:pPr>
        <w:spacing w:before="0" w:after="200" w:line="307" w:lineRule="auto"/>
      </w:pPr>
      <w:r>
        <w:rPr>
          <w:rFonts w:ascii="Georgia" w:hAnsi="Georgia"/>
          <w:b w:val="0"/>
          <w:color w:val="526068"/>
          <w:sz w:val="21"/>
        </w:rPr>
        <w:t>Three levels: a single job, a workflow run, and a whole project on autopilot.</w:t>
      </w:r>
    </w:p>
    <w:p>
      <w:pPr>
        <w:spacing w:before="260" w:after="80" w:line="307" w:lineRule="auto"/>
      </w:pPr>
      <w:r>
        <w:rPr>
          <w:rFonts w:ascii="Calibri" w:hAnsi="Calibri"/>
          <w:b/>
          <w:color w:val="172126"/>
          <w:sz w:val="22"/>
        </w:rPr>
        <w:t>6.1  Level one — a job</w:t>
      </w:r>
    </w:p>
    <w:p>
      <w:pPr>
        <w:spacing w:before="0" w:after="140" w:line="307" w:lineRule="auto"/>
      </w:pPr>
      <w:r>
        <w:rPr>
          <w:rFonts w:ascii="Georgia" w:hAnsi="Georgia"/>
          <w:b w:val="0"/>
          <w:color w:val="526068"/>
          <w:sz w:val="19"/>
        </w:rPr>
        <w:t>Core builds a JobEnvelope and enqueues it. The worker claims it, runs the agent, and calls back with proposals. The envelope is the entire contract between the two planes:</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JobEnvelope {</w:t>
              <w:br/>
              <w:t xml:space="preserve">  job_id, job_type, agent_key, agent_kind: worker|service|supervisor,</w:t>
              <w:br/>
              <w:t xml:space="preserve">  tenant_id, project_id, run_id, step_id,</w:t>
              <w:br/>
              <w:t xml:space="preserve">  tier, prompt_ref,</w:t>
              <w:br/>
              <w:t xml:space="preserve">  inputs: { artifacts[], params },</w:t>
              <w:br/>
              <w:t xml:space="preserve">  idempotency_key,</w:t>
              <w:br/>
              <w:t xml:space="preserve">  cache dimensions        // carried, not recomputed on completion</w:t>
              <w:br/>
              <w:t>}</w:t>
            </w:r>
          </w:p>
        </w:tc>
      </w:tr>
    </w:tbl>
    <w:p>
      <w:pPr>
        <w:spacing w:after="40"/>
      </w:pP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10080"/>
      </w:tblGrid>
      <w:tr>
        <w:tc>
          <w:tcPr>
            <w:tcW w:type="dxa" w:w="10080"/>
            <w:shd w:val="clear" w:fill="E6F3F1"/>
          </w:tcPr>
          <w:p>
            <w:r/>
            <w:r>
              <w:rPr>
                <w:rFonts w:ascii="Calibri" w:hAnsi="Calibri"/>
                <w:b/>
                <w:color w:val="087E75"/>
                <w:sz w:val="14"/>
              </w:rPr>
              <w:t>WHY THE CACHE DIMENSIONS TRAVEL ON THE ENVELOPE</w:t>
            </w:r>
          </w:p>
          <w:p>
            <w:pPr>
              <w:spacing w:before="60" w:line="302" w:lineRule="auto"/>
            </w:pPr>
            <w:r>
              <w:rPr>
                <w:rFonts w:ascii="Georgia" w:hAnsi="Georgia"/>
                <w:color w:val="172126"/>
                <w:sz w:val="17"/>
              </w:rPr>
              <w:t>The policy version and prompt version in force at DISPATCH are what the answer was produced under. Re-deriving them at completion would silently file the answer under the wrong key — and the cache would then serve it for a question it did not answer.</w:t>
            </w:r>
          </w:p>
        </w:tc>
      </w:tr>
    </w:tbl>
    <w:p>
      <w:pPr>
        <w:spacing w:after="60"/>
      </w:pPr>
    </w:p>
    <w:p>
      <w:pPr>
        <w:spacing w:before="260" w:after="80" w:line="307" w:lineRule="auto"/>
      </w:pPr>
      <w:r>
        <w:rPr>
          <w:rFonts w:ascii="Calibri" w:hAnsi="Calibri"/>
          <w:b/>
          <w:color w:val="172126"/>
          <w:sz w:val="22"/>
        </w:rPr>
        <w:t>6.2  Level two — a workflow run</w:t>
      </w:r>
    </w:p>
    <w:p>
      <w:pPr>
        <w:spacing w:before="0" w:after="140" w:line="307" w:lineRule="auto"/>
      </w:pPr>
      <w:r>
        <w:rPr>
          <w:rFonts w:ascii="Georgia" w:hAnsi="Georgia"/>
          <w:b w:val="0"/>
          <w:color w:val="526068"/>
          <w:sz w:val="19"/>
        </w:rPr>
        <w:t>A run walks the workflow's node graph. runtime.advanceRun is the engine: it dispatches every node whose dependencies are satisfied, holds at gates, and completes when nothing is left to do.</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1296"/>
            <w:shd w:val="clear" w:fill="F0F3F4"/>
          </w:tcPr>
          <w:p>
            <w:r/>
            <w:r>
              <w:rPr>
                <w:rFonts w:ascii="Calibri" w:hAnsi="Calibri"/>
                <w:b/>
                <w:color w:val="667279"/>
                <w:sz w:val="13"/>
              </w:rPr>
              <w:t>NODE KIND</w:t>
            </w:r>
          </w:p>
        </w:tc>
        <w:tc>
          <w:tcPr>
            <w:tcW w:type="dxa" w:w="8640"/>
            <w:shd w:val="clear" w:fill="F0F3F4"/>
          </w:tcPr>
          <w:p>
            <w:r/>
            <w:r>
              <w:rPr>
                <w:rFonts w:ascii="Calibri" w:hAnsi="Calibri"/>
                <w:b/>
                <w:color w:val="667279"/>
                <w:sz w:val="13"/>
              </w:rPr>
              <w:t>BEHAVIOUR</w:t>
            </w:r>
          </w:p>
        </w:tc>
      </w:tr>
      <w:tr>
        <w:tc>
          <w:tcPr>
            <w:tcW w:type="dxa" w:w="1296"/>
          </w:tcPr>
          <w:p>
            <w:pPr>
              <w:spacing w:line="278" w:lineRule="auto" w:after="0"/>
            </w:pPr>
            <w:r/>
            <w:r>
              <w:rPr>
                <w:rFonts w:ascii="Calibri" w:hAnsi="Calibri"/>
                <w:b/>
                <w:color w:val="172126"/>
                <w:sz w:val="15"/>
              </w:rPr>
              <w:t>agent</w:t>
            </w:r>
          </w:p>
        </w:tc>
        <w:tc>
          <w:tcPr>
            <w:tcW w:type="dxa" w:w="8640"/>
          </w:tcPr>
          <w:p>
            <w:pPr>
              <w:spacing w:line="278" w:lineRule="auto" w:after="0"/>
            </w:pPr>
            <w:r/>
            <w:r>
              <w:rPr>
                <w:rFonts w:ascii="Calibri" w:hAnsi="Calibri"/>
                <w:b w:val="0"/>
                <w:color w:val="526068"/>
                <w:sz w:val="15"/>
              </w:rPr>
              <w:t>Enqueue a job for the named agent. Its outputs become artifacts in pending status</w:t>
            </w:r>
          </w:p>
        </w:tc>
      </w:tr>
      <w:tr>
        <w:tc>
          <w:tcPr>
            <w:tcW w:type="dxa" w:w="1296"/>
          </w:tcPr>
          <w:p>
            <w:pPr>
              <w:spacing w:line="278" w:lineRule="auto" w:after="0"/>
            </w:pPr>
            <w:r/>
            <w:r>
              <w:rPr>
                <w:rFonts w:ascii="Calibri" w:hAnsi="Calibri"/>
                <w:b/>
                <w:color w:val="172126"/>
                <w:sz w:val="15"/>
              </w:rPr>
              <w:t>gate</w:t>
            </w:r>
          </w:p>
        </w:tc>
        <w:tc>
          <w:tcPr>
            <w:tcW w:type="dxa" w:w="8640"/>
          </w:tcPr>
          <w:p>
            <w:pPr>
              <w:spacing w:line="278" w:lineRule="auto" w:after="0"/>
            </w:pPr>
            <w:r/>
            <w:r>
              <w:rPr>
                <w:rFonts w:ascii="Calibri" w:hAnsi="Calibri"/>
                <w:b w:val="0"/>
                <w:color w:val="526068"/>
                <w:sz w:val="15"/>
              </w:rPr>
              <w:t>Hold until artifacts of the named types have been dispositioned. Resolves when nothing is pending AND either something was confirmed, the gate allows empty, or nothing of that type exists at all</w:t>
            </w:r>
          </w:p>
        </w:tc>
      </w:tr>
      <w:tr>
        <w:tc>
          <w:tcPr>
            <w:tcW w:type="dxa" w:w="1296"/>
          </w:tcPr>
          <w:p>
            <w:pPr>
              <w:spacing w:line="278" w:lineRule="auto" w:after="0"/>
            </w:pPr>
            <w:r/>
            <w:r>
              <w:rPr>
                <w:rFonts w:ascii="Calibri" w:hAnsi="Calibri"/>
                <w:b/>
                <w:color w:val="172126"/>
                <w:sz w:val="15"/>
              </w:rPr>
              <w:t>map</w:t>
            </w:r>
          </w:p>
        </w:tc>
        <w:tc>
          <w:tcPr>
            <w:tcW w:type="dxa" w:w="8640"/>
          </w:tcPr>
          <w:p>
            <w:pPr>
              <w:spacing w:line="278" w:lineRule="auto" w:after="0"/>
            </w:pPr>
            <w:r/>
            <w:r>
              <w:rPr>
                <w:rFonts w:ascii="Calibri" w:hAnsi="Calibri"/>
                <w:b w:val="0"/>
                <w:color w:val="526068"/>
                <w:sz w:val="15"/>
              </w:rPr>
              <w:t>Fan out over a collection — one child step per sheet, per division, per package</w:t>
            </w:r>
          </w:p>
        </w:tc>
      </w:tr>
    </w:tbl>
    <w:p>
      <w:pPr>
        <w:spacing w:after="60"/>
      </w:pPr>
    </w:p>
    <w:p>
      <w:pPr>
        <w:spacing w:before="260" w:after="80" w:line="307" w:lineRule="auto"/>
      </w:pPr>
      <w:r>
        <w:rPr>
          <w:rFonts w:ascii="Calibri" w:hAnsi="Calibri"/>
          <w:b/>
          <w:color w:val="172126"/>
          <w:sz w:val="22"/>
        </w:rPr>
        <w:t>6.3  Level three — pursuit, the autopilot</w:t>
      </w:r>
    </w:p>
    <w:p>
      <w:pPr>
        <w:spacing w:before="0" w:after="140" w:line="307" w:lineRule="auto"/>
      </w:pPr>
      <w:r>
        <w:rPr>
          <w:rFonts w:ascii="Georgia" w:hAnsi="Georgia"/>
          <w:b w:val="0"/>
          <w:color w:val="526068"/>
          <w:sz w:val="19"/>
        </w:rPr>
        <w:t>The pursuit orchestrator drives a project end to end with no manual gate confirmation. Its most important property is that it is domain-neutral — nothing in it names construction:</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 from src/lib/pursuit.ts</w:t>
              <w:br/>
              <w:t>// Domain-NEUTRAL: it reads the tenant's bound pack purely as data</w:t>
              <w:br/>
              <w:t>// (licensed workflows, their agents' consumes/produces, and the declared</w:t>
              <w:br/>
              <w:t>// lifecycle) and drives a project end-to-end with no manual gate</w:t>
              <w:br/>
              <w:t>// confirmation. Nothing here names construction or any vertical - the</w:t>
              <w:br/>
              <w:t>// exact same code runs the underwriting pursuit, or any future domain's.</w:t>
            </w:r>
          </w:p>
        </w:tc>
      </w:tr>
    </w:tbl>
    <w:p>
      <w:pPr>
        <w:spacing w:after="40"/>
      </w:pPr>
    </w:p>
    <w:p>
      <w:pPr>
        <w:pStyle w:val="ListBullet"/>
        <w:spacing w:after="60" w:line="302" w:lineRule="auto"/>
        <w:ind w:left="360"/>
      </w:pPr>
      <w:r>
        <w:rPr>
          <w:rFonts w:ascii="Calibri" w:hAnsi="Calibri"/>
          <w:b/>
          <w:color w:val="172126"/>
          <w:sz w:val="17"/>
        </w:rPr>
        <w:t xml:space="preserve">Topological order. </w:t>
      </w:r>
      <w:r>
        <w:rPr>
          <w:rFonts w:ascii="Georgia" w:hAnsi="Georgia"/>
          <w:color w:val="526068"/>
          <w:sz w:val="17"/>
        </w:rPr>
        <w:t>Licensed workflows are sorted so a workflow that consumes a type runs after the one that produces it. Dependencies are computed from the catalogue — agent consumes/produces plus gate types — never hardcoded. Cycles and independents fall back to a stable (module, key) order.</w:t>
      </w:r>
    </w:p>
    <w:p>
      <w:pPr>
        <w:pStyle w:val="ListBullet"/>
        <w:spacing w:after="60" w:line="302" w:lineRule="auto"/>
        <w:ind w:left="360"/>
      </w:pPr>
      <w:r>
        <w:rPr>
          <w:rFonts w:ascii="Calibri" w:hAnsi="Calibri"/>
          <w:b/>
          <w:color w:val="172126"/>
          <w:sz w:val="17"/>
        </w:rPr>
        <w:t xml:space="preserve">Auto-accept. </w:t>
      </w:r>
      <w:r>
        <w:rPr>
          <w:rFonts w:ascii="Georgia" w:hAnsi="Georgia"/>
          <w:color w:val="526068"/>
          <w:sz w:val="17"/>
        </w:rPr>
        <w:t>On autopilot every proposal is accepted automatically, which is what makes it a demonstration and pipeline tool rather than a production path.</w:t>
      </w:r>
    </w:p>
    <w:p>
      <w:pPr>
        <w:pStyle w:val="ListBullet"/>
        <w:spacing w:after="60" w:line="302" w:lineRule="auto"/>
        <w:ind w:left="360"/>
      </w:pPr>
      <w:r>
        <w:rPr>
          <w:rFonts w:ascii="Calibri" w:hAnsi="Calibri"/>
          <w:b/>
          <w:color w:val="172126"/>
          <w:sz w:val="17"/>
        </w:rPr>
        <w:t xml:space="preserve">Continuation. </w:t>
      </w:r>
      <w:r>
        <w:rPr>
          <w:rFonts w:ascii="Georgia" w:hAnsi="Georgia"/>
          <w:color w:val="526068"/>
          <w:sz w:val="17"/>
        </w:rPr>
        <w:t>As each run completes, advanceRun calls continuePursuit(), which advances the lifecycle from the confirmed artifacts and starts the next workflow.</w:t>
      </w:r>
    </w:p>
    <w:p>
      <w:pPr>
        <w:pStyle w:val="ListBullet"/>
        <w:spacing w:after="60" w:line="302" w:lineRule="auto"/>
        <w:ind w:left="360"/>
      </w:pPr>
      <w:r>
        <w:rPr>
          <w:rFonts w:ascii="Calibri" w:hAnsi="Calibri"/>
          <w:b/>
          <w:color w:val="172126"/>
          <w:sz w:val="17"/>
        </w:rPr>
        <w:t xml:space="preserve">Bounded. </w:t>
      </w:r>
      <w:r>
        <w:rPr>
          <w:rFonts w:ascii="Georgia" w:hAnsi="Georgia"/>
          <w:color w:val="526068"/>
          <w:sz w:val="17"/>
        </w:rPr>
        <w:t>Every licensed workflow runs exactly once.</w:t>
      </w:r>
    </w:p>
    <w:p>
      <w:pPr>
        <w:spacing w:after="40"/>
      </w:pPr>
    </w:p>
    <w:p>
      <w:pPr>
        <w:spacing w:before="260" w:after="80" w:line="307" w:lineRule="auto"/>
      </w:pPr>
      <w:r>
        <w:rPr>
          <w:rFonts w:ascii="Calibri" w:hAnsi="Calibri"/>
          <w:b/>
          <w:color w:val="172126"/>
          <w:sz w:val="22"/>
        </w:rPr>
        <w:t>6.4  Supervisors — the conversational layer</w:t>
      </w:r>
    </w:p>
    <w:p>
      <w:pPr>
        <w:spacing w:before="0" w:after="140" w:line="307" w:lineRule="auto"/>
      </w:pPr>
      <w:r>
        <w:rPr>
          <w:rFonts w:ascii="Georgia" w:hAnsi="Georgia"/>
          <w:b w:val="0"/>
          <w:color w:val="526068"/>
          <w:sz w:val="19"/>
        </w:rPr>
        <w:t>Three supervisor agents (construction copilot, commercial, compliance lead) answer questions and review completed runs. They produce no artifacts. Threads live in orchestrator_conversation and orchestrator_message, each optionally owned by a persona; a null supervisor_key is the default copilot.</w:t>
      </w:r>
    </w:p>
    <w:p>
      <w:pPr>
        <w:spacing w:before="0" w:after="140" w:line="307" w:lineRule="auto"/>
      </w:pPr>
      <w:r>
        <w:rPr>
          <w:rFonts w:ascii="Georgia" w:hAnsi="Georgia"/>
          <w:b w:val="0"/>
          <w:color w:val="526068"/>
          <w:sz w:val="19"/>
        </w:rPr>
        <w:t>A supervisor has two task types: respond, which answers a question in project context, and review_run, which sweeps a finished run and reports what it thinks is wrong. The second is why a supervisor is not just a chatbot — it is a second reader.</w:t>
      </w:r>
    </w:p>
    <w:p>
      <w:pPr>
        <w:spacing w:before="260" w:after="80" w:line="307" w:lineRule="auto"/>
      </w:pPr>
      <w:r>
        <w:rPr>
          <w:rFonts w:ascii="Calibri" w:hAnsi="Calibri"/>
          <w:b/>
          <w:color w:val="172126"/>
          <w:sz w:val="22"/>
        </w:rPr>
        <w:t>6.5  Recovery</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1872"/>
            <w:shd w:val="clear" w:fill="F0F3F4"/>
          </w:tcPr>
          <w:p>
            <w:r/>
            <w:r>
              <w:rPr>
                <w:rFonts w:ascii="Calibri" w:hAnsi="Calibri"/>
                <w:b/>
                <w:color w:val="667279"/>
                <w:sz w:val="13"/>
              </w:rPr>
              <w:t>MECHANISM</w:t>
            </w:r>
          </w:p>
        </w:tc>
        <w:tc>
          <w:tcPr>
            <w:tcW w:type="dxa" w:w="8064"/>
            <w:shd w:val="clear" w:fill="F0F3F4"/>
          </w:tcPr>
          <w:p>
            <w:r/>
            <w:r>
              <w:rPr>
                <w:rFonts w:ascii="Calibri" w:hAnsi="Calibri"/>
                <w:b/>
                <w:color w:val="667279"/>
                <w:sz w:val="13"/>
              </w:rPr>
              <w:t>BEHAVIOUR</w:t>
            </w:r>
          </w:p>
        </w:tc>
      </w:tr>
      <w:tr>
        <w:tc>
          <w:tcPr>
            <w:tcW w:type="dxa" w:w="1872"/>
          </w:tcPr>
          <w:p>
            <w:pPr>
              <w:spacing w:line="278" w:lineRule="auto" w:after="0"/>
            </w:pPr>
            <w:r/>
            <w:r>
              <w:rPr>
                <w:rFonts w:ascii="Calibri" w:hAnsi="Calibri"/>
                <w:b/>
                <w:color w:val="172126"/>
                <w:sz w:val="15"/>
              </w:rPr>
              <w:t>Conditional claim</w:t>
            </w:r>
          </w:p>
        </w:tc>
        <w:tc>
          <w:tcPr>
            <w:tcW w:type="dxa" w:w="8064"/>
          </w:tcPr>
          <w:p>
            <w:pPr>
              <w:spacing w:line="278" w:lineRule="auto" w:after="0"/>
            </w:pPr>
            <w:r/>
            <w:r>
              <w:rPr>
                <w:rFonts w:ascii="Calibri" w:hAnsi="Calibri"/>
                <w:b w:val="0"/>
                <w:color w:val="526068"/>
                <w:sz w:val="15"/>
              </w:rPr>
              <w:t>A worker takes a job by conditional UPDATE, so two workers cannot claim the same one</w:t>
            </w:r>
          </w:p>
        </w:tc>
      </w:tr>
      <w:tr>
        <w:tc>
          <w:tcPr>
            <w:tcW w:type="dxa" w:w="1872"/>
          </w:tcPr>
          <w:p>
            <w:pPr>
              <w:spacing w:line="278" w:lineRule="auto" w:after="0"/>
            </w:pPr>
            <w:r/>
            <w:r>
              <w:rPr>
                <w:rFonts w:ascii="Calibri" w:hAnsi="Calibri"/>
                <w:b/>
                <w:color w:val="172126"/>
                <w:sz w:val="15"/>
              </w:rPr>
              <w:t>Lease</w:t>
            </w:r>
          </w:p>
        </w:tc>
        <w:tc>
          <w:tcPr>
            <w:tcW w:type="dxa" w:w="8064"/>
          </w:tcPr>
          <w:p>
            <w:pPr>
              <w:spacing w:line="278" w:lineRule="auto" w:after="0"/>
            </w:pPr>
            <w:r/>
            <w:r>
              <w:rPr>
                <w:rFonts w:ascii="Calibri" w:hAnsi="Calibri"/>
                <w:b w:val="0"/>
                <w:color w:val="526068"/>
                <w:sz w:val="15"/>
              </w:rPr>
              <w:t>A claimed job carries an expiry. A worker that dies leaves an expired lease rather than a job stuck in running</w:t>
            </w:r>
          </w:p>
        </w:tc>
      </w:tr>
      <w:tr>
        <w:tc>
          <w:tcPr>
            <w:tcW w:type="dxa" w:w="1872"/>
          </w:tcPr>
          <w:p>
            <w:pPr>
              <w:spacing w:line="278" w:lineRule="auto" w:after="0"/>
            </w:pPr>
            <w:r/>
            <w:r>
              <w:rPr>
                <w:rFonts w:ascii="Calibri" w:hAnsi="Calibri"/>
                <w:b/>
                <w:color w:val="172126"/>
                <w:sz w:val="15"/>
              </w:rPr>
              <w:t>Reconciler</w:t>
            </w:r>
          </w:p>
        </w:tc>
        <w:tc>
          <w:tcPr>
            <w:tcW w:type="dxa" w:w="8064"/>
          </w:tcPr>
          <w:p>
            <w:pPr>
              <w:spacing w:line="278" w:lineRule="auto" w:after="0"/>
            </w:pPr>
            <w:r/>
            <w:r>
              <w:rPr>
                <w:rFonts w:ascii="Calibri" w:hAnsi="Calibri"/>
                <w:b w:val="0"/>
                <w:color w:val="526068"/>
                <w:sz w:val="15"/>
              </w:rPr>
              <w:t>Sweeps expired leases back to queued, up to max_attempts</w:t>
            </w:r>
          </w:p>
        </w:tc>
      </w:tr>
      <w:tr>
        <w:tc>
          <w:tcPr>
            <w:tcW w:type="dxa" w:w="1872"/>
          </w:tcPr>
          <w:p>
            <w:pPr>
              <w:spacing w:line="278" w:lineRule="auto" w:after="0"/>
            </w:pPr>
            <w:r/>
            <w:r>
              <w:rPr>
                <w:rFonts w:ascii="Calibri" w:hAnsi="Calibri"/>
                <w:b/>
                <w:color w:val="172126"/>
                <w:sz w:val="15"/>
              </w:rPr>
              <w:t>Idempotency key</w:t>
            </w:r>
          </w:p>
        </w:tc>
        <w:tc>
          <w:tcPr>
            <w:tcW w:type="dxa" w:w="8064"/>
          </w:tcPr>
          <w:p>
            <w:pPr>
              <w:spacing w:line="278" w:lineRule="auto" w:after="0"/>
            </w:pPr>
            <w:r/>
            <w:r>
              <w:rPr>
                <w:rFonts w:ascii="Calibri" w:hAnsi="Calibri"/>
                <w:b w:val="0"/>
                <w:color w:val="526068"/>
                <w:sz w:val="15"/>
              </w:rPr>
              <w:t>A retried dispatch cannot produce two runs of the same work</w:t>
            </w:r>
          </w:p>
        </w:tc>
      </w:tr>
      <w:tr>
        <w:tc>
          <w:tcPr>
            <w:tcW w:type="dxa" w:w="1872"/>
          </w:tcPr>
          <w:p>
            <w:pPr>
              <w:spacing w:line="278" w:lineRule="auto" w:after="0"/>
            </w:pPr>
            <w:r/>
            <w:r>
              <w:rPr>
                <w:rFonts w:ascii="Calibri" w:hAnsi="Calibri"/>
                <w:b/>
                <w:color w:val="172126"/>
                <w:sz w:val="15"/>
              </w:rPr>
              <w:t>Concurrency guard</w:t>
            </w:r>
          </w:p>
        </w:tc>
        <w:tc>
          <w:tcPr>
            <w:tcW w:type="dxa" w:w="8064"/>
          </w:tcPr>
          <w:p>
            <w:pPr>
              <w:spacing w:line="278" w:lineRule="auto" w:after="0"/>
            </w:pPr>
            <w:r/>
            <w:r>
              <w:rPr>
                <w:rFonts w:ascii="Calibri" w:hAnsi="Calibri"/>
                <w:b w:val="0"/>
                <w:color w:val="526068"/>
                <w:sz w:val="15"/>
              </w:rPr>
              <w:t>A second run of the same workflow on the same project is refused while one is genuinely running</w:t>
            </w:r>
          </w:p>
        </w:tc>
      </w:tr>
    </w:tbl>
    <w:p>
      <w:pPr>
        <w:spacing w:after="60"/>
      </w:pPr>
    </w:p>
    <w:p>
      <w:r>
        <w:br w:type="page"/>
      </w:r>
    </w:p>
    <w:p>
      <w:pPr>
        <w:spacing w:before="0" w:after="60" w:line="307" w:lineRule="auto"/>
      </w:pPr>
      <w:r>
        <w:rPr>
          <w:rFonts w:ascii="Consolas" w:hAnsi="Consolas"/>
          <w:b/>
          <w:color w:val="087E75"/>
          <w:sz w:val="15"/>
        </w:rPr>
        <w:t>PART 7</w:t>
      </w:r>
    </w:p>
    <w:p>
      <w:pPr>
        <w:spacing w:before="0" w:after="160" w:line="252" w:lineRule="auto"/>
      </w:pPr>
      <w:r>
        <w:rPr>
          <w:rFonts w:ascii="Georgia" w:hAnsi="Georgia"/>
          <w:b/>
          <w:color w:val="172126"/>
          <w:sz w:val="38"/>
        </w:rPr>
        <w:t>Prompt architecture</w:t>
      </w:r>
    </w:p>
    <w:p>
      <w:pPr>
        <w:spacing w:before="0" w:after="200" w:line="307" w:lineRule="auto"/>
      </w:pPr>
      <w:r>
        <w:rPr>
          <w:rFonts w:ascii="Georgia" w:hAnsi="Georgia"/>
          <w:b w:val="0"/>
          <w:color w:val="526068"/>
          <w:sz w:val="21"/>
        </w:rPr>
        <w:t>671 lines of composed briefs, versioned in the registry and referenced by every ledger row.</w:t>
      </w:r>
    </w:p>
    <w:p>
      <w:pPr>
        <w:spacing w:before="260" w:after="80" w:line="307" w:lineRule="auto"/>
      </w:pPr>
      <w:r>
        <w:rPr>
          <w:rFonts w:ascii="Calibri" w:hAnsi="Calibri"/>
          <w:b/>
          <w:color w:val="172126"/>
          <w:sz w:val="22"/>
        </w:rPr>
        <w:t>7.1  A stage brief is assembled, not written</w:t>
      </w:r>
    </w:p>
    <w:p>
      <w:pPr>
        <w:spacing w:before="0" w:after="140" w:line="307" w:lineRule="auto"/>
      </w:pPr>
      <w:r>
        <w:rPr>
          <w:rFonts w:ascii="Georgia" w:hAnsi="Georgia"/>
          <w:b w:val="0"/>
          <w:color w:val="526068"/>
          <w:sz w:val="19"/>
        </w:rPr>
        <w:t>Each prompt is built from shared blocks plus stage-specific instruction. The shared blocks are the reason a BOQ line reads like a quantity surveyor wrote it:</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3024"/>
            <w:shd w:val="clear" w:fill="F0F3F4"/>
          </w:tcPr>
          <w:p>
            <w:r/>
            <w:r>
              <w:rPr>
                <w:rFonts w:ascii="Calibri" w:hAnsi="Calibri"/>
                <w:b/>
                <w:color w:val="667279"/>
                <w:sz w:val="13"/>
              </w:rPr>
              <w:t>BLOCK</w:t>
            </w:r>
          </w:p>
        </w:tc>
        <w:tc>
          <w:tcPr>
            <w:tcW w:type="dxa" w:w="6912"/>
            <w:shd w:val="clear" w:fill="F0F3F4"/>
          </w:tcPr>
          <w:p>
            <w:r/>
            <w:r>
              <w:rPr>
                <w:rFonts w:ascii="Calibri" w:hAnsi="Calibri"/>
                <w:b/>
                <w:color w:val="667279"/>
                <w:sz w:val="13"/>
              </w:rPr>
              <w:t>CONTAINS</w:t>
            </w:r>
          </w:p>
        </w:tc>
      </w:tr>
      <w:tr>
        <w:tc>
          <w:tcPr>
            <w:tcW w:type="dxa" w:w="3024"/>
          </w:tcPr>
          <w:p>
            <w:pPr>
              <w:spacing w:line="278" w:lineRule="auto" w:after="0"/>
            </w:pPr>
            <w:r/>
            <w:r>
              <w:rPr>
                <w:rFonts w:ascii="Consolas" w:hAnsi="Consolas"/>
                <w:b/>
                <w:color w:val="172126"/>
                <w:sz w:val="15"/>
              </w:rPr>
              <w:t>HOUSE_RULES</w:t>
            </w:r>
          </w:p>
        </w:tc>
        <w:tc>
          <w:tcPr>
            <w:tcW w:type="dxa" w:w="6912"/>
          </w:tcPr>
          <w:p>
            <w:pPr>
              <w:spacing w:line="278" w:lineRule="auto" w:after="0"/>
            </w:pPr>
            <w:r/>
            <w:r>
              <w:rPr>
                <w:rFonts w:ascii="Calibri" w:hAnsi="Calibri"/>
                <w:b w:val="0"/>
                <w:color w:val="526068"/>
                <w:sz w:val="15"/>
              </w:rPr>
              <w:t>Ground every output in the evidence provided. The rule that everything else rests on</w:t>
            </w:r>
          </w:p>
        </w:tc>
      </w:tr>
      <w:tr>
        <w:tc>
          <w:tcPr>
            <w:tcW w:type="dxa" w:w="3024"/>
          </w:tcPr>
          <w:p>
            <w:pPr>
              <w:spacing w:line="278" w:lineRule="auto" w:after="0"/>
            </w:pPr>
            <w:r/>
            <w:r>
              <w:rPr>
                <w:rFonts w:ascii="Consolas" w:hAnsi="Consolas"/>
                <w:b/>
                <w:color w:val="172126"/>
                <w:sz w:val="15"/>
              </w:rPr>
              <w:t>QUANTITY_RULES</w:t>
            </w:r>
          </w:p>
        </w:tc>
        <w:tc>
          <w:tcPr>
            <w:tcW w:type="dxa" w:w="6912"/>
          </w:tcPr>
          <w:p>
            <w:pPr>
              <w:spacing w:line="278" w:lineRule="auto" w:after="0"/>
            </w:pPr>
            <w:r/>
            <w:r>
              <w:rPr>
                <w:rFonts w:ascii="Calibri" w:hAnsi="Calibri"/>
                <w:b w:val="0"/>
                <w:color w:val="526068"/>
                <w:sz w:val="15"/>
              </w:rPr>
              <w:t>How to quantify — every number must be traceable to a measurement, a schedule or a stated assumption</w:t>
            </w:r>
          </w:p>
        </w:tc>
      </w:tr>
      <w:tr>
        <w:tc>
          <w:tcPr>
            <w:tcW w:type="dxa" w:w="3024"/>
          </w:tcPr>
          <w:p>
            <w:pPr>
              <w:spacing w:line="278" w:lineRule="auto" w:after="0"/>
            </w:pPr>
            <w:r/>
            <w:r>
              <w:rPr>
                <w:rFonts w:ascii="Consolas" w:hAnsi="Consolas"/>
                <w:b/>
                <w:color w:val="172126"/>
                <w:sz w:val="15"/>
              </w:rPr>
              <w:t>documentsBlock(env, budget)</w:t>
            </w:r>
          </w:p>
        </w:tc>
        <w:tc>
          <w:tcPr>
            <w:tcW w:type="dxa" w:w="6912"/>
          </w:tcPr>
          <w:p>
            <w:pPr>
              <w:spacing w:line="278" w:lineRule="auto" w:after="0"/>
            </w:pPr>
            <w:r/>
            <w:r>
              <w:rPr>
                <w:rFonts w:ascii="Calibri" w:hAnsi="Calibri"/>
                <w:b w:val="0"/>
                <w:color w:val="526068"/>
                <w:sz w:val="15"/>
              </w:rPr>
              <w:t>Source documents, budgeted in characters</w:t>
            </w:r>
          </w:p>
        </w:tc>
      </w:tr>
      <w:tr>
        <w:tc>
          <w:tcPr>
            <w:tcW w:type="dxa" w:w="3024"/>
          </w:tcPr>
          <w:p>
            <w:pPr>
              <w:spacing w:line="278" w:lineRule="auto" w:after="0"/>
            </w:pPr>
            <w:r/>
            <w:r>
              <w:rPr>
                <w:rFonts w:ascii="Consolas" w:hAnsi="Consolas"/>
                <w:b/>
                <w:color w:val="172126"/>
                <w:sz w:val="15"/>
              </w:rPr>
              <w:t>recordsBlock(env, budget)</w:t>
            </w:r>
          </w:p>
        </w:tc>
        <w:tc>
          <w:tcPr>
            <w:tcW w:type="dxa" w:w="6912"/>
          </w:tcPr>
          <w:p>
            <w:pPr>
              <w:spacing w:line="278" w:lineRule="auto" w:after="0"/>
            </w:pPr>
            <w:r/>
            <w:r>
              <w:rPr>
                <w:rFonts w:ascii="Calibri" w:hAnsi="Calibri"/>
                <w:b w:val="0"/>
                <w:color w:val="526068"/>
                <w:sz w:val="15"/>
              </w:rPr>
              <w:t>Confirmed upstream artifacts, budgeted</w:t>
            </w:r>
          </w:p>
        </w:tc>
      </w:tr>
      <w:tr>
        <w:tc>
          <w:tcPr>
            <w:tcW w:type="dxa" w:w="3024"/>
          </w:tcPr>
          <w:p>
            <w:pPr>
              <w:spacing w:line="278" w:lineRule="auto" w:after="0"/>
            </w:pPr>
            <w:r/>
            <w:r>
              <w:rPr>
                <w:rFonts w:ascii="Consolas" w:hAnsi="Consolas"/>
                <w:b/>
                <w:color w:val="172126"/>
                <w:sz w:val="15"/>
              </w:rPr>
              <w:t>cadFacts / cadBlock</w:t>
            </w:r>
          </w:p>
        </w:tc>
        <w:tc>
          <w:tcPr>
            <w:tcW w:type="dxa" w:w="6912"/>
          </w:tcPr>
          <w:p>
            <w:pPr>
              <w:spacing w:line="278" w:lineRule="auto" w:after="0"/>
            </w:pPr>
            <w:r/>
            <w:r>
              <w:rPr>
                <w:rFonts w:ascii="Calibri" w:hAnsi="Calibri"/>
                <w:b w:val="0"/>
                <w:color w:val="526068"/>
                <w:sz w:val="15"/>
              </w:rPr>
              <w:t>Geometry read from the DXF: layers, blocks, dimensions</w:t>
            </w:r>
          </w:p>
        </w:tc>
      </w:tr>
      <w:tr>
        <w:tc>
          <w:tcPr>
            <w:tcW w:type="dxa" w:w="3024"/>
          </w:tcPr>
          <w:p>
            <w:pPr>
              <w:spacing w:line="278" w:lineRule="auto" w:after="0"/>
            </w:pPr>
            <w:r/>
            <w:r>
              <w:rPr>
                <w:rFonts w:ascii="Consolas" w:hAnsi="Consolas"/>
                <w:b/>
                <w:color w:val="172126"/>
                <w:sz w:val="15"/>
              </w:rPr>
              <w:t>lessonsBlock</w:t>
            </w:r>
          </w:p>
        </w:tc>
        <w:tc>
          <w:tcPr>
            <w:tcW w:type="dxa" w:w="6912"/>
          </w:tcPr>
          <w:p>
            <w:pPr>
              <w:spacing w:line="278" w:lineRule="auto" w:after="0"/>
            </w:pPr>
            <w:r/>
            <w:r>
              <w:rPr>
                <w:rFonts w:ascii="Calibri" w:hAnsi="Calibri"/>
                <w:b w:val="0"/>
                <w:color w:val="526068"/>
                <w:sz w:val="15"/>
              </w:rPr>
              <w:t>Corrections previously made by reviewers on this project</w:t>
            </w:r>
          </w:p>
        </w:tc>
      </w:tr>
      <w:tr>
        <w:tc>
          <w:tcPr>
            <w:tcW w:type="dxa" w:w="3024"/>
          </w:tcPr>
          <w:p>
            <w:pPr>
              <w:spacing w:line="278" w:lineRule="auto" w:after="0"/>
            </w:pPr>
            <w:r/>
            <w:r>
              <w:rPr>
                <w:rFonts w:ascii="Consolas" w:hAnsi="Consolas"/>
                <w:b/>
                <w:color w:val="172126"/>
                <w:sz w:val="15"/>
              </w:rPr>
              <w:t>filesBlock · projectBlock · boqDigestBlock · programmeSignalsBlock</w:t>
            </w:r>
          </w:p>
        </w:tc>
        <w:tc>
          <w:tcPr>
            <w:tcW w:type="dxa" w:w="6912"/>
          </w:tcPr>
          <w:p>
            <w:pPr>
              <w:spacing w:line="278" w:lineRule="auto" w:after="0"/>
            </w:pPr>
            <w:r/>
            <w:r>
              <w:rPr>
                <w:rFonts w:ascii="Calibri" w:hAnsi="Calibri"/>
                <w:b w:val="0"/>
                <w:color w:val="526068"/>
                <w:sz w:val="15"/>
              </w:rPr>
              <w:t>Context specific to the stage</w:t>
            </w:r>
          </w:p>
        </w:tc>
      </w:tr>
    </w:tbl>
    <w:p>
      <w:pPr>
        <w:spacing w:after="60"/>
      </w:pPr>
    </w:p>
    <w:p>
      <w:pPr>
        <w:spacing w:before="260" w:after="80" w:line="307" w:lineRule="auto"/>
      </w:pPr>
      <w:r>
        <w:rPr>
          <w:rFonts w:ascii="Calibri" w:hAnsi="Calibri"/>
          <w:b/>
          <w:color w:val="172126"/>
          <w:sz w:val="22"/>
        </w:rPr>
        <w:t>7.2  The BOQ roster — four prompt types for one bill</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2160"/>
            <w:shd w:val="clear" w:fill="F0F3F4"/>
          </w:tcPr>
          <w:p>
            <w:r/>
            <w:r>
              <w:rPr>
                <w:rFonts w:ascii="Calibri" w:hAnsi="Calibri"/>
                <w:b/>
                <w:color w:val="667279"/>
                <w:sz w:val="13"/>
              </w:rPr>
              <w:t>PROMPT</w:t>
            </w:r>
          </w:p>
        </w:tc>
        <w:tc>
          <w:tcPr>
            <w:tcW w:type="dxa" w:w="7776"/>
            <w:shd w:val="clear" w:fill="F0F3F4"/>
          </w:tcPr>
          <w:p>
            <w:r/>
            <w:r>
              <w:rPr>
                <w:rFonts w:ascii="Calibri" w:hAnsi="Calibri"/>
                <w:b/>
                <w:color w:val="667279"/>
                <w:sz w:val="13"/>
              </w:rPr>
              <w:t>ROLE</w:t>
            </w:r>
          </w:p>
        </w:tc>
      </w:tr>
      <w:tr>
        <w:tc>
          <w:tcPr>
            <w:tcW w:type="dxa" w:w="2160"/>
          </w:tcPr>
          <w:p>
            <w:pPr>
              <w:spacing w:line="278" w:lineRule="auto" w:after="0"/>
            </w:pPr>
            <w:r/>
            <w:r>
              <w:rPr>
                <w:rFonts w:ascii="Consolas" w:hAnsi="Consolas"/>
                <w:b/>
                <w:color w:val="172126"/>
                <w:sz w:val="15"/>
              </w:rPr>
              <w:t>outlinePrompt</w:t>
            </w:r>
          </w:p>
        </w:tc>
        <w:tc>
          <w:tcPr>
            <w:tcW w:type="dxa" w:w="7776"/>
          </w:tcPr>
          <w:p>
            <w:pPr>
              <w:spacing w:line="278" w:lineRule="auto" w:after="0"/>
            </w:pPr>
            <w:r/>
            <w:r>
              <w:rPr>
                <w:rFonts w:ascii="Calibri" w:hAnsi="Calibri"/>
                <w:b w:val="0"/>
                <w:color w:val="526068"/>
                <w:sz w:val="15"/>
              </w:rPr>
              <w:t>Propose the divisions this project needs</w:t>
            </w:r>
          </w:p>
        </w:tc>
      </w:tr>
      <w:tr>
        <w:tc>
          <w:tcPr>
            <w:tcW w:type="dxa" w:w="2160"/>
          </w:tcPr>
          <w:p>
            <w:pPr>
              <w:spacing w:line="278" w:lineRule="auto" w:after="0"/>
            </w:pPr>
            <w:r/>
            <w:r>
              <w:rPr>
                <w:rFonts w:ascii="Consolas" w:hAnsi="Consolas"/>
                <w:b/>
                <w:color w:val="172126"/>
                <w:sz w:val="15"/>
              </w:rPr>
              <w:t>designerPrompt</w:t>
            </w:r>
          </w:p>
        </w:tc>
        <w:tc>
          <w:tcPr>
            <w:tcW w:type="dxa" w:w="7776"/>
          </w:tcPr>
          <w:p>
            <w:pPr>
              <w:spacing w:line="278" w:lineRule="auto" w:after="0"/>
            </w:pPr>
            <w:r/>
            <w:r>
              <w:rPr>
                <w:rFonts w:ascii="Calibri" w:hAnsi="Calibri"/>
                <w:b w:val="0"/>
                <w:color w:val="526068"/>
                <w:sz w:val="15"/>
              </w:rPr>
              <w:t>Propose a roster of specialists for this project type, each with expertise, a measurement guide, vocabulary and typical items</w:t>
            </w:r>
          </w:p>
        </w:tc>
      </w:tr>
      <w:tr>
        <w:tc>
          <w:tcPr>
            <w:tcW w:type="dxa" w:w="2160"/>
          </w:tcPr>
          <w:p>
            <w:pPr>
              <w:spacing w:line="278" w:lineRule="auto" w:after="0"/>
            </w:pPr>
            <w:r/>
            <w:r>
              <w:rPr>
                <w:rFonts w:ascii="Consolas" w:hAnsi="Consolas"/>
                <w:b/>
                <w:color w:val="172126"/>
                <w:sz w:val="15"/>
              </w:rPr>
              <w:t>sectionPrompt</w:t>
            </w:r>
          </w:p>
        </w:tc>
        <w:tc>
          <w:tcPr>
            <w:tcW w:type="dxa" w:w="7776"/>
          </w:tcPr>
          <w:p>
            <w:pPr>
              <w:spacing w:line="278" w:lineRule="auto" w:after="0"/>
            </w:pPr>
            <w:r/>
            <w:r>
              <w:rPr>
                <w:rFonts w:ascii="Calibri" w:hAnsi="Calibri"/>
                <w:b w:val="0"/>
                <w:color w:val="526068"/>
                <w:sz w:val="15"/>
              </w:rPr>
              <w:t>Price ONE division as that specialist, staying inside its scope</w:t>
            </w:r>
          </w:p>
        </w:tc>
      </w:tr>
      <w:tr>
        <w:tc>
          <w:tcPr>
            <w:tcW w:type="dxa" w:w="2160"/>
          </w:tcPr>
          <w:p>
            <w:pPr>
              <w:spacing w:line="278" w:lineRule="auto" w:after="0"/>
            </w:pPr>
            <w:r/>
            <w:r>
              <w:rPr>
                <w:rFonts w:ascii="Consolas" w:hAnsi="Consolas"/>
                <w:b/>
                <w:color w:val="172126"/>
                <w:sz w:val="15"/>
              </w:rPr>
              <w:t>verifierPrompt</w:t>
            </w:r>
          </w:p>
        </w:tc>
        <w:tc>
          <w:tcPr>
            <w:tcW w:type="dxa" w:w="7776"/>
          </w:tcPr>
          <w:p>
            <w:pPr>
              <w:spacing w:line="278" w:lineRule="auto" w:after="0"/>
            </w:pPr>
            <w:r/>
            <w:r>
              <w:rPr>
                <w:rFonts w:ascii="Calibri" w:hAnsi="Calibri"/>
                <w:b w:val="0"/>
                <w:color w:val="526068"/>
                <w:sz w:val="15"/>
              </w:rPr>
              <w:t>Check the assembled bill against the roster's declared checks</w:t>
            </w:r>
          </w:p>
        </w:tc>
      </w:tr>
    </w:tbl>
    <w:p>
      <w:pPr>
        <w:spacing w:after="60"/>
      </w:pPr>
    </w:p>
    <w:p>
      <w:pPr>
        <w:spacing w:before="0" w:after="140" w:line="307" w:lineRule="auto"/>
      </w:pPr>
      <w:r>
        <w:rPr>
          <w:rFonts w:ascii="Georgia" w:hAnsi="Georgia"/>
          <w:b w:val="0"/>
          <w:color w:val="526068"/>
          <w:sz w:val="19"/>
        </w:rPr>
        <w:t>The roster travels back on the result so the BOQ screen can show who priced the bill and what was checked. Without it the pipeline is invisible and a reviewer cannot judge its coverage.</w:t>
      </w:r>
    </w:p>
    <w:p>
      <w:pPr>
        <w:spacing w:before="260" w:after="80" w:line="307" w:lineRule="auto"/>
      </w:pPr>
      <w:r>
        <w:rPr>
          <w:rFonts w:ascii="Calibri" w:hAnsi="Calibri"/>
          <w:b/>
          <w:color w:val="172126"/>
          <w:sz w:val="22"/>
        </w:rPr>
        <w:t>7.3  supervisorPrompt</w:t>
      </w:r>
    </w:p>
    <w:p>
      <w:pPr>
        <w:spacing w:before="0" w:after="140" w:line="307" w:lineRule="auto"/>
      </w:pPr>
      <w:r>
        <w:rPr>
          <w:rFonts w:ascii="Georgia" w:hAnsi="Georgia"/>
          <w:b w:val="0"/>
          <w:color w:val="526068"/>
          <w:sz w:val="19"/>
        </w:rPr>
        <w:t>One brief serves the copilot and every persona, taking the persona name and whether tools are available. That keeps the personas differing in knowledge and voice rather than in plumbing.</w:t>
      </w:r>
    </w:p>
    <w:p>
      <w:pPr>
        <w:spacing w:before="260" w:after="80" w:line="307" w:lineRule="auto"/>
      </w:pPr>
      <w:r>
        <w:rPr>
          <w:rFonts w:ascii="Calibri" w:hAnsi="Calibri"/>
          <w:b/>
          <w:color w:val="172126"/>
          <w:sz w:val="22"/>
        </w:rPr>
        <w:t>7.4  Versioning and attribution</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prompt versions registered      24</w:t>
              <w:br/>
              <w:t>ledger rows carrying a prompt   412 of 412   (100%)</w:t>
            </w:r>
          </w:p>
        </w:tc>
      </w:tr>
    </w:tbl>
    <w:p>
      <w:pPr>
        <w:spacing w:after="40"/>
      </w:pPr>
    </w:p>
    <w:p>
      <w:pPr>
        <w:spacing w:before="0" w:after="140" w:line="307" w:lineRule="auto"/>
      </w:pPr>
      <w:r>
        <w:rPr>
          <w:rFonts w:ascii="Georgia" w:hAnsi="Georgia"/>
          <w:b w:val="0"/>
          <w:color w:val="526068"/>
          <w:sz w:val="19"/>
        </w:rPr>
        <w:t>Every recorded attempt names the prompt key and version that produced it, so two questions have answers: which prompt produced this output, and what changed between the run that was right and the run that was wrong. Before this was wired the reference came from a hardcoded string and the ledger columns stayed NULL.</w:t>
      </w:r>
    </w:p>
    <w:p>
      <w:pPr>
        <w:spacing w:before="260" w:after="80" w:line="307" w:lineRule="auto"/>
      </w:pPr>
      <w:r>
        <w:rPr>
          <w:rFonts w:ascii="Calibri" w:hAnsi="Calibri"/>
          <w:b/>
          <w:color w:val="172126"/>
          <w:sz w:val="22"/>
        </w:rPr>
        <w:t>7.5  The caching defect, stated precisely</w:t>
      </w:r>
    </w:p>
    <w:p>
      <w:pPr>
        <w:spacing w:before="0" w:after="140" w:line="307" w:lineRule="auto"/>
      </w:pPr>
      <w:r>
        <w:rPr>
          <w:rFonts w:ascii="Georgia" w:hAnsi="Georgia"/>
          <w:b w:val="0"/>
          <w:color w:val="526068"/>
          <w:sz w:val="19"/>
        </w:rPr>
        <w:t>cacheableSystem marks a system prompt above 4,000 characters with an ephemeral cache breakpoint. Caching matches on a PREFIX, and sectionPrompt opens with the per-specialist persona — label, expertise, measurement guide, vocabulary — which differs on every call. The shared material sits after it.</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system prompt                 8,994 chars</w:t>
              <w:br/>
              <w:t>common prefix between two        12 chars   &lt;- all the cache can reach</w:t>
              <w:br/>
              <w:t>identical, but after it       8,982 chars   &lt;- unreachable</w:t>
            </w:r>
          </w:p>
        </w:tc>
      </w:tr>
    </w:tbl>
    <w:p>
      <w:pPr>
        <w:spacing w:after="40"/>
      </w:pPr>
    </w:p>
    <w:p>
      <w:pPr>
        <w:spacing w:before="0" w:after="140" w:line="307" w:lineRule="auto"/>
      </w:pPr>
      <w:r>
        <w:rPr>
          <w:rFonts w:ascii="Georgia" w:hAnsi="Georgia"/>
          <w:b w:val="0"/>
          <w:color w:val="526068"/>
          <w:sz w:val="19"/>
        </w:rPr>
        <w:t>So every call writes a fresh entry at a 1.25x premium and reads nothing back. Moving the shared blocks ahead of the persona is the same bytes in a different order — the model cannot tell — and should recover half to two thirds of the input bill. There is a second gap behind it: the documents block, which is identical for every specialist in a run, carries no breakpoint at all.</w:t>
      </w:r>
    </w:p>
    <w:p>
      <w:pPr>
        <w:spacing w:before="320" w:after="140" w:line="360" w:lineRule="auto"/>
      </w:pPr>
      <w:r>
        <w:rPr>
          <w:rFonts w:ascii="Consolas" w:hAnsi="Consolas"/>
          <w:b w:val="0"/>
          <w:color w:val="667279"/>
          <w:sz w:val="16"/>
        </w:rPr>
        <w:t>Read 3 September 2026 from the live tenant database, the four git remotes and the worker source. Table and column counts come from information_schema; branch divergence from git rev-list.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Georgia" w:hAnsi="Georgia" w:eastAsia="Georgia"/>
      <w:color w:val="52606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