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12" w:lineRule="auto"/>
      </w:pPr>
      <w:r>
        <w:rPr>
          <w:rFonts w:ascii="Consolas" w:hAnsi="Consolas"/>
          <w:b/>
          <w:color w:val="087E75"/>
          <w:sz w:val="16"/>
        </w:rPr>
        <w:t>PRECKON  ·  ENGINEERING REPORT  ·  SEPTEMBER 2026</w:t>
      </w:r>
    </w:p>
    <w:p>
      <w:pPr>
        <w:spacing w:before="0" w:after="200" w:line="250" w:lineRule="auto"/>
      </w:pPr>
      <w:r>
        <w:rPr>
          <w:rFonts w:ascii="Georgia" w:hAnsi="Georgia"/>
          <w:b/>
          <w:color w:val="172126"/>
          <w:sz w:val="48"/>
        </w:rPr>
        <w:t>What we found, what we fixed, and what is still yours to decide</w:t>
      </w:r>
    </w:p>
    <w:p>
      <w:pPr>
        <w:spacing w:before="0" w:after="280" w:line="312" w:lineRule="auto"/>
      </w:pPr>
      <w:r>
        <w:rPr>
          <w:rFonts w:ascii="Georgia" w:hAnsi="Georgia"/>
          <w:b w:val="0"/>
          <w:color w:val="526068"/>
          <w:sz w:val="22"/>
        </w:rPr>
        <w:t>A working engagement across the tenant and host planes: security, AI measurement, retrieval, repository publishing and governance. Every figure in this report was taken from the running system or the repository. Where something was verified by execution, it says so; where it is a judgement, it says that too.</w:t>
      </w:r>
    </w:p>
    <w:tbl>
      <w:tblPr>
        <w:tblW w:type="auto" w:w="0"/>
        <w:tblLook w:firstColumn="1" w:firstRow="1" w:lastColumn="0" w:lastRow="0" w:noHBand="0" w:noVBand="1" w:val="04A0"/>
        <w:tblBorders>
          <w:top w:val="single" w:sz="2" w:space="0" w:color="D8DEE2"/>
          <w:left w:val="single" w:sz="2" w:space="0" w:color="D8DEE2"/>
          <w:bottom w:val="single" w:sz="2" w:space="0" w:color="D8DEE2"/>
          <w:right w:val="single" w:sz="2" w:space="0" w:color="D8DEE2"/>
          <w:insideH w:val="single" w:sz="2" w:space="0" w:color="D8DEE2"/>
          <w:insideV w:val="single" w:sz="2" w:space="0" w:color="D8DEE2"/>
        </w:tblBorders>
      </w:tblPr>
      <w:tblGrid>
        <w:gridCol w:w="2469"/>
        <w:gridCol w:w="2469"/>
        <w:gridCol w:w="2469"/>
        <w:gridCol w:w="2469"/>
      </w:tblGrid>
      <w:tr>
        <w:tc>
          <w:tcPr>
            <w:tcW w:type="dxa" w:w="2469"/>
            <w:shd w:val="clear" w:fill="F0F3F4"/>
          </w:tcPr>
          <w:p>
            <w:pPr>
              <w:jc w:val="center"/>
            </w:pPr>
            <w:r/>
            <w:r>
              <w:rPr>
                <w:rFonts w:ascii="Calibri" w:hAnsi="Calibri"/>
                <w:b/>
                <w:color w:val="667279"/>
                <w:sz w:val="13"/>
              </w:rPr>
              <w:t>COMMITS</w:t>
              <w:br/>
            </w:r>
            <w:r>
              <w:rPr>
                <w:rFonts w:ascii="Consolas" w:hAnsi="Consolas"/>
                <w:color w:val="172126"/>
                <w:sz w:val="28"/>
              </w:rPr>
              <w:t>22</w:t>
            </w:r>
          </w:p>
        </w:tc>
        <w:tc>
          <w:tcPr>
            <w:tcW w:type="dxa" w:w="2469"/>
            <w:shd w:val="clear" w:fill="F0F3F4"/>
          </w:tcPr>
          <w:p>
            <w:pPr>
              <w:jc w:val="center"/>
            </w:pPr>
            <w:r/>
            <w:r>
              <w:rPr>
                <w:rFonts w:ascii="Calibri" w:hAnsi="Calibri"/>
                <w:b/>
                <w:color w:val="667279"/>
                <w:sz w:val="13"/>
              </w:rPr>
              <w:t>REPOS SYNCED</w:t>
              <w:br/>
            </w:r>
            <w:r>
              <w:rPr>
                <w:rFonts w:ascii="Consolas" w:hAnsi="Consolas"/>
                <w:color w:val="172126"/>
                <w:sz w:val="28"/>
              </w:rPr>
              <w:t>3</w:t>
            </w:r>
          </w:p>
        </w:tc>
        <w:tc>
          <w:tcPr>
            <w:tcW w:type="dxa" w:w="2469"/>
            <w:shd w:val="clear" w:fill="F0F3F4"/>
          </w:tcPr>
          <w:p>
            <w:pPr>
              <w:jc w:val="center"/>
            </w:pPr>
            <w:r/>
            <w:r>
              <w:rPr>
                <w:rFonts w:ascii="Calibri" w:hAnsi="Calibri"/>
                <w:b/>
                <w:color w:val="667279"/>
                <w:sz w:val="13"/>
              </w:rPr>
              <w:t>DOCUMENTS</w:t>
              <w:br/>
            </w:r>
            <w:r>
              <w:rPr>
                <w:rFonts w:ascii="Consolas" w:hAnsi="Consolas"/>
                <w:color w:val="172126"/>
                <w:sz w:val="28"/>
              </w:rPr>
              <w:t>6</w:t>
            </w:r>
          </w:p>
        </w:tc>
        <w:tc>
          <w:tcPr>
            <w:tcW w:type="dxa" w:w="2469"/>
            <w:shd w:val="clear" w:fill="F0F3F4"/>
          </w:tcPr>
          <w:p>
            <w:pPr>
              <w:jc w:val="center"/>
            </w:pPr>
            <w:r/>
            <w:r>
              <w:rPr>
                <w:rFonts w:ascii="Calibri" w:hAnsi="Calibri"/>
                <w:b/>
                <w:color w:val="667279"/>
                <w:sz w:val="13"/>
              </w:rPr>
              <w:t>TESTS PASSING</w:t>
              <w:br/>
            </w:r>
            <w:r>
              <w:rPr>
                <w:rFonts w:ascii="Consolas" w:hAnsi="Consolas"/>
                <w:color w:val="172126"/>
                <w:sz w:val="28"/>
              </w:rPr>
              <w:t>1,569</w:t>
            </w:r>
          </w:p>
        </w:tc>
      </w:tr>
      <w:tr>
        <w:tc>
          <w:tcPr>
            <w:tcW w:type="dxa" w:w="2469"/>
            <w:shd w:val="clear" w:fill="F0F3F4"/>
          </w:tcPr>
          <w:p>
            <w:pPr>
              <w:jc w:val="center"/>
            </w:pPr>
            <w:r/>
            <w:r>
              <w:rPr>
                <w:rFonts w:ascii="Calibri" w:hAnsi="Calibri"/>
                <w:b/>
                <w:color w:val="667279"/>
                <w:sz w:val="13"/>
              </w:rPr>
              <w:t>CRITICAL FOUND</w:t>
              <w:br/>
            </w:r>
            <w:r>
              <w:rPr>
                <w:rFonts w:ascii="Consolas" w:hAnsi="Consolas"/>
                <w:color w:val="172126"/>
                <w:sz w:val="28"/>
              </w:rPr>
              <w:t>2</w:t>
            </w:r>
          </w:p>
        </w:tc>
        <w:tc>
          <w:tcPr>
            <w:tcW w:type="dxa" w:w="2469"/>
            <w:shd w:val="clear" w:fill="F0F3F4"/>
          </w:tcPr>
          <w:p>
            <w:pPr>
              <w:jc w:val="center"/>
            </w:pPr>
            <w:r/>
            <w:r>
              <w:rPr>
                <w:rFonts w:ascii="Calibri" w:hAnsi="Calibri"/>
                <w:b/>
                <w:color w:val="667279"/>
                <w:sz w:val="13"/>
              </w:rPr>
              <w:t>FIXED &amp; DEPLOYED</w:t>
              <w:br/>
            </w:r>
            <w:r>
              <w:rPr>
                <w:rFonts w:ascii="Consolas" w:hAnsi="Consolas"/>
                <w:color w:val="172126"/>
                <w:sz w:val="28"/>
              </w:rPr>
              <w:t>9</w:t>
            </w:r>
          </w:p>
        </w:tc>
        <w:tc>
          <w:tcPr>
            <w:tcW w:type="dxa" w:w="2469"/>
            <w:shd w:val="clear" w:fill="F0F3F4"/>
          </w:tcPr>
          <w:p>
            <w:pPr>
              <w:jc w:val="center"/>
            </w:pPr>
            <w:r/>
            <w:r>
              <w:rPr>
                <w:rFonts w:ascii="Calibri" w:hAnsi="Calibri"/>
                <w:b/>
                <w:color w:val="667279"/>
                <w:sz w:val="13"/>
              </w:rPr>
              <w:t>OPEN DECISIONS</w:t>
              <w:br/>
            </w:r>
            <w:r>
              <w:rPr>
                <w:rFonts w:ascii="Consolas" w:hAnsi="Consolas"/>
                <w:color w:val="172126"/>
                <w:sz w:val="28"/>
              </w:rPr>
              <w:t>6</w:t>
            </w:r>
          </w:p>
        </w:tc>
        <w:tc>
          <w:tcPr>
            <w:tcW w:type="dxa" w:w="2469"/>
            <w:shd w:val="clear" w:fill="F0F3F4"/>
          </w:tcPr>
          <w:p>
            <w:pPr>
              <w:jc w:val="center"/>
            </w:pPr>
            <w:r/>
            <w:r>
              <w:rPr>
                <w:rFonts w:ascii="Calibri" w:hAnsi="Calibri"/>
                <w:b/>
                <w:color w:val="667279"/>
                <w:sz w:val="13"/>
              </w:rPr>
              <w:t>PLANES TOUCHED</w:t>
              <w:br/>
            </w:r>
            <w:r>
              <w:rPr>
                <w:rFonts w:ascii="Consolas" w:hAnsi="Consolas"/>
                <w:color w:val="172126"/>
                <w:sz w:val="28"/>
              </w:rPr>
              <w:t>2</w:t>
            </w:r>
          </w:p>
        </w:tc>
      </w:tr>
    </w:tbl>
    <w:p>
      <w:pPr>
        <w:spacing w:after="200"/>
      </w:pPr>
    </w:p>
    <w:p>
      <w:pPr>
        <w:spacing w:before="160" w:after="100" w:line="312" w:lineRule="auto"/>
      </w:pPr>
      <w:r>
        <w:rPr>
          <w:rFonts w:ascii="Calibri" w:hAnsi="Calibri"/>
          <w:b/>
          <w:color w:val="172126"/>
          <w:sz w:val="24"/>
        </w:rPr>
        <w:t>Contents</w:t>
      </w:r>
    </w:p>
    <w:p>
      <w:pPr>
        <w:spacing w:after="40"/>
      </w:pPr>
      <w:r>
        <w:rPr>
          <w:rFonts w:ascii="Calibri" w:hAnsi="Calibri"/>
          <w:b/>
          <w:color w:val="172126"/>
          <w:sz w:val="19"/>
        </w:rPr>
        <w:t>1.   Executive summary</w:t>
      </w:r>
    </w:p>
    <w:p>
      <w:pPr>
        <w:spacing w:after="40"/>
      </w:pPr>
      <w:r>
        <w:rPr>
          <w:rFonts w:ascii="Calibri" w:hAnsi="Calibri"/>
          <w:b/>
          <w:color w:val="172126"/>
          <w:sz w:val="19"/>
        </w:rPr>
        <w:t>2.   Security findings</w:t>
      </w:r>
    </w:p>
    <w:p>
      <w:pPr>
        <w:spacing w:after="40"/>
      </w:pPr>
      <w:r>
        <w:rPr>
          <w:rFonts w:ascii="Calibri" w:hAnsi="Calibri"/>
          <w:b/>
          <w:color w:val="172126"/>
          <w:sz w:val="19"/>
        </w:rPr>
        <w:t>3.   The AI workstream</w:t>
      </w:r>
    </w:p>
    <w:p>
      <w:pPr>
        <w:spacing w:after="40"/>
      </w:pPr>
      <w:r>
        <w:rPr>
          <w:rFonts w:ascii="Calibri" w:hAnsi="Calibri"/>
          <w:b/>
          <w:color w:val="172126"/>
          <w:sz w:val="19"/>
        </w:rPr>
        <w:t>4.   Data integrity</w:t>
      </w:r>
    </w:p>
    <w:p>
      <w:pPr>
        <w:spacing w:after="40"/>
      </w:pPr>
      <w:r>
        <w:rPr>
          <w:rFonts w:ascii="Calibri" w:hAnsi="Calibri"/>
          <w:b/>
          <w:color w:val="172126"/>
          <w:sz w:val="19"/>
        </w:rPr>
        <w:t>5.   Retrieval</w:t>
      </w:r>
    </w:p>
    <w:p>
      <w:pPr>
        <w:spacing w:after="40"/>
      </w:pPr>
      <w:r>
        <w:rPr>
          <w:rFonts w:ascii="Calibri" w:hAnsi="Calibri"/>
          <w:b/>
          <w:color w:val="172126"/>
          <w:sz w:val="19"/>
        </w:rPr>
        <w:t>6.   Repositories and publishing</w:t>
      </w:r>
    </w:p>
    <w:p>
      <w:pPr>
        <w:spacing w:after="40"/>
      </w:pPr>
      <w:r>
        <w:rPr>
          <w:rFonts w:ascii="Calibri" w:hAnsi="Calibri"/>
          <w:b/>
          <w:color w:val="172126"/>
          <w:sz w:val="19"/>
        </w:rPr>
        <w:t>7.   Governance</w:t>
      </w:r>
    </w:p>
    <w:p>
      <w:pPr>
        <w:spacing w:after="40"/>
      </w:pPr>
      <w:r>
        <w:rPr>
          <w:rFonts w:ascii="Calibri" w:hAnsi="Calibri"/>
          <w:b/>
          <w:color w:val="172126"/>
          <w:sz w:val="19"/>
        </w:rPr>
        <w:t>8.   Open decisions</w:t>
      </w:r>
    </w:p>
    <w:p>
      <w:pPr>
        <w:spacing w:after="40"/>
      </w:pPr>
      <w:r>
        <w:rPr>
          <w:rFonts w:ascii="Calibri" w:hAnsi="Calibri"/>
          <w:b/>
          <w:color w:val="172126"/>
          <w:sz w:val="19"/>
        </w:rPr>
        <w:t>9.   Verification</w:t>
      </w:r>
    </w:p>
    <w:p>
      <w:r>
        <w:br w:type="page"/>
      </w:r>
    </w:p>
    <w:p>
      <w:pPr>
        <w:spacing w:before="0" w:after="60" w:line="312" w:lineRule="auto"/>
      </w:pPr>
      <w:r>
        <w:rPr>
          <w:rFonts w:ascii="Consolas" w:hAnsi="Consolas"/>
          <w:b/>
          <w:color w:val="087E75"/>
          <w:sz w:val="15"/>
        </w:rPr>
        <w:t>SECTION 1</w:t>
      </w:r>
    </w:p>
    <w:p>
      <w:pPr>
        <w:spacing w:before="0" w:after="160" w:line="252" w:lineRule="auto"/>
      </w:pPr>
      <w:r>
        <w:rPr>
          <w:rFonts w:ascii="Georgia" w:hAnsi="Georgia"/>
          <w:b/>
          <w:color w:val="172126"/>
          <w:sz w:val="38"/>
        </w:rPr>
        <w:t>Executive summary</w:t>
      </w:r>
    </w:p>
    <w:p>
      <w:pPr>
        <w:spacing w:before="0" w:after="140" w:line="312" w:lineRule="auto"/>
      </w:pPr>
      <w:r>
        <w:rPr>
          <w:rFonts w:ascii="Georgia" w:hAnsi="Georgia"/>
          <w:b w:val="0"/>
          <w:color w:val="526068"/>
          <w:sz w:val="19"/>
        </w:rPr>
        <w:t>The engagement began with a user-visible symptom — a reCAPTCHA appearing on the host console that nobody had installed — and ended having closed two critical security holes, corrected a cost system that was reporting invented numbers, connected a retrieval layer that had never been switched on, and published three repositories that had drifted apart by up to five weeks.</w:t>
      </w:r>
    </w:p>
    <w:p>
      <w:pPr>
        <w:spacing w:before="0" w:after="140" w:line="312" w:lineRule="auto"/>
      </w:pPr>
      <w:r>
        <w:rPr>
          <w:rFonts w:ascii="Georgia" w:hAnsi="Georgia"/>
          <w:b w:val="0"/>
          <w:color w:val="526068"/>
          <w:sz w:val="19"/>
        </w:rPr>
        <w:t>The single most useful pattern across the whole engagement: several capabilities existed, were tested, and had never been wired. They looked finished from the outside. Finding them required running the system rather than reading it.</w:t>
      </w:r>
    </w:p>
    <w:p>
      <w:pPr>
        <w:spacing w:before="260" w:after="80" w:line="312" w:lineRule="auto"/>
      </w:pPr>
      <w:r>
        <w:rPr>
          <w:rFonts w:ascii="Calibri" w:hAnsi="Calibri"/>
          <w:b/>
          <w:color w:val="172126"/>
          <w:sz w:val="22"/>
        </w:rPr>
        <w:t>The four findings that matter most</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293"/>
        <w:gridCol w:w="3293"/>
        <w:gridCol w:w="3293"/>
      </w:tblGrid>
      <w:tr>
        <w:tc>
          <w:tcPr>
            <w:tcW w:type="dxa" w:w="6048"/>
            <w:shd w:val="clear" w:fill="F0F3F4"/>
          </w:tcPr>
          <w:p>
            <w:r/>
            <w:r>
              <w:rPr>
                <w:rFonts w:ascii="Calibri" w:hAnsi="Calibri"/>
                <w:b/>
                <w:color w:val="667279"/>
                <w:sz w:val="14"/>
              </w:rPr>
              <w:t>FINDING</w:t>
            </w:r>
          </w:p>
        </w:tc>
        <w:tc>
          <w:tcPr>
            <w:tcW w:type="dxa" w:w="1080"/>
            <w:shd w:val="clear" w:fill="F0F3F4"/>
          </w:tcPr>
          <w:p>
            <w:r/>
            <w:r>
              <w:rPr>
                <w:rFonts w:ascii="Calibri" w:hAnsi="Calibri"/>
                <w:b/>
                <w:color w:val="667279"/>
                <w:sz w:val="14"/>
              </w:rPr>
              <w:t>SEVERITY</w:t>
            </w:r>
          </w:p>
        </w:tc>
        <w:tc>
          <w:tcPr>
            <w:tcW w:type="dxa" w:w="1080"/>
            <w:shd w:val="clear" w:fill="F0F3F4"/>
          </w:tcPr>
          <w:p>
            <w:r/>
            <w:r>
              <w:rPr>
                <w:rFonts w:ascii="Calibri" w:hAnsi="Calibri"/>
                <w:b/>
                <w:color w:val="667279"/>
                <w:sz w:val="14"/>
              </w:rPr>
              <w:t>STATE</w:t>
            </w:r>
          </w:p>
        </w:tc>
      </w:tr>
      <w:tr>
        <w:tc>
          <w:tcPr>
            <w:tcW w:type="dxa" w:w="6048"/>
          </w:tcPr>
          <w:p>
            <w:pPr>
              <w:spacing w:line="283" w:lineRule="auto" w:after="20"/>
            </w:pPr>
            <w:r/>
            <w:r>
              <w:rPr>
                <w:rFonts w:ascii="Calibri" w:hAnsi="Calibri"/>
                <w:b/>
                <w:color w:val="172126"/>
                <w:sz w:val="16"/>
              </w:rPr>
              <w:t>Public registration was open on BOTH consoles — anyone on the internet could create an account on the platform operations console and on a customer workspace</w:t>
            </w:r>
          </w:p>
        </w:tc>
        <w:tc>
          <w:tcPr>
            <w:tcW w:type="dxa" w:w="1080"/>
            <w:shd w:val="clear" w:fill="FBEAE8"/>
          </w:tcPr>
          <w:p>
            <w:pPr>
              <w:spacing w:line="283" w:lineRule="auto" w:after="20"/>
            </w:pPr>
            <w:r/>
            <w:r>
              <w:rPr>
                <w:rFonts w:ascii="Calibri" w:hAnsi="Calibri"/>
                <w:b/>
                <w:color w:val="B42318"/>
                <w:sz w:val="16"/>
              </w:rPr>
              <w:t>Critical</w:t>
            </w:r>
          </w:p>
        </w:tc>
        <w:tc>
          <w:tcPr>
            <w:tcW w:type="dxa" w:w="1080"/>
          </w:tcPr>
          <w:p>
            <w:pPr>
              <w:spacing w:line="283" w:lineRule="auto" w:after="20"/>
            </w:pPr>
            <w:r/>
            <w:r>
              <w:rPr>
                <w:rFonts w:ascii="Calibri" w:hAnsi="Calibri"/>
                <w:b w:val="0"/>
                <w:color w:val="526068"/>
                <w:sz w:val="16"/>
              </w:rPr>
              <w:t>Fixed</w:t>
            </w:r>
          </w:p>
        </w:tc>
      </w:tr>
      <w:tr>
        <w:tc>
          <w:tcPr>
            <w:tcW w:type="dxa" w:w="6048"/>
          </w:tcPr>
          <w:p>
            <w:pPr>
              <w:spacing w:line="283" w:lineRule="auto" w:after="20"/>
            </w:pPr>
            <w:r/>
            <w:r>
              <w:rPr>
                <w:rFonts w:ascii="Calibri" w:hAnsi="Calibri"/>
                <w:b/>
                <w:color w:val="172126"/>
                <w:sz w:val="16"/>
              </w:rPr>
              <w:t>Live production credentials, including the Platform Owner password, are committed to a PUBLIC GitHub repository</w:t>
            </w:r>
          </w:p>
        </w:tc>
        <w:tc>
          <w:tcPr>
            <w:tcW w:type="dxa" w:w="1080"/>
            <w:shd w:val="clear" w:fill="FBEAE8"/>
          </w:tcPr>
          <w:p>
            <w:pPr>
              <w:spacing w:line="283" w:lineRule="auto" w:after="20"/>
            </w:pPr>
            <w:r/>
            <w:r>
              <w:rPr>
                <w:rFonts w:ascii="Calibri" w:hAnsi="Calibri"/>
                <w:b/>
                <w:color w:val="B42318"/>
                <w:sz w:val="16"/>
              </w:rPr>
              <w:t>Critical</w:t>
            </w:r>
          </w:p>
        </w:tc>
        <w:tc>
          <w:tcPr>
            <w:tcW w:type="dxa" w:w="1080"/>
          </w:tcPr>
          <w:p>
            <w:pPr>
              <w:spacing w:line="283" w:lineRule="auto" w:after="20"/>
            </w:pPr>
            <w:r/>
            <w:r>
              <w:rPr>
                <w:rFonts w:ascii="Calibri" w:hAnsi="Calibri"/>
                <w:b w:val="0"/>
                <w:color w:val="526068"/>
                <w:sz w:val="16"/>
              </w:rPr>
              <w:t>Open</w:t>
            </w:r>
          </w:p>
        </w:tc>
      </w:tr>
      <w:tr>
        <w:tc>
          <w:tcPr>
            <w:tcW w:type="dxa" w:w="6048"/>
          </w:tcPr>
          <w:p>
            <w:pPr>
              <w:spacing w:line="283" w:lineRule="auto" w:after="20"/>
            </w:pPr>
            <w:r/>
            <w:r>
              <w:rPr>
                <w:rFonts w:ascii="Calibri" w:hAnsi="Calibri"/>
                <w:b/>
                <w:color w:val="172126"/>
                <w:sz w:val="16"/>
              </w:rPr>
              <w:t>The AI cost system was reporting a hardcoded literal for every job of every type, and the most expensive request shape never reached the ledger at all</w:t>
            </w:r>
          </w:p>
        </w:tc>
        <w:tc>
          <w:tcPr>
            <w:tcW w:type="dxa" w:w="1080"/>
            <w:shd w:val="clear" w:fill="FBEAE8"/>
          </w:tcPr>
          <w:p>
            <w:pPr>
              <w:spacing w:line="283" w:lineRule="auto" w:after="20"/>
            </w:pPr>
            <w:r/>
            <w:r>
              <w:rPr>
                <w:rFonts w:ascii="Calibri" w:hAnsi="Calibri"/>
                <w:b/>
                <w:color w:val="B42318"/>
                <w:sz w:val="16"/>
              </w:rPr>
              <w:t>High</w:t>
            </w:r>
          </w:p>
        </w:tc>
        <w:tc>
          <w:tcPr>
            <w:tcW w:type="dxa" w:w="1080"/>
          </w:tcPr>
          <w:p>
            <w:pPr>
              <w:spacing w:line="283" w:lineRule="auto" w:after="20"/>
            </w:pPr>
            <w:r/>
            <w:r>
              <w:rPr>
                <w:rFonts w:ascii="Calibri" w:hAnsi="Calibri"/>
                <w:b w:val="0"/>
                <w:color w:val="526068"/>
                <w:sz w:val="16"/>
              </w:rPr>
              <w:t>Fixed</w:t>
            </w:r>
          </w:p>
        </w:tc>
      </w:tr>
      <w:tr>
        <w:tc>
          <w:tcPr>
            <w:tcW w:type="dxa" w:w="6048"/>
          </w:tcPr>
          <w:p>
            <w:pPr>
              <w:spacing w:line="283" w:lineRule="auto" w:after="20"/>
            </w:pPr>
            <w:r/>
            <w:r>
              <w:rPr>
                <w:rFonts w:ascii="Calibri" w:hAnsi="Calibri"/>
                <w:b/>
                <w:color w:val="172126"/>
                <w:sz w:val="16"/>
              </w:rPr>
              <w:t>Retrieval was fully written, unit-tested, and had never been called — every AI answer came from whatever the caller put in the envelope</w:t>
            </w:r>
          </w:p>
        </w:tc>
        <w:tc>
          <w:tcPr>
            <w:tcW w:type="dxa" w:w="1080"/>
            <w:shd w:val="clear" w:fill="FBEAE8"/>
          </w:tcPr>
          <w:p>
            <w:pPr>
              <w:spacing w:line="283" w:lineRule="auto" w:after="20"/>
            </w:pPr>
            <w:r/>
            <w:r>
              <w:rPr>
                <w:rFonts w:ascii="Calibri" w:hAnsi="Calibri"/>
                <w:b/>
                <w:color w:val="B42318"/>
                <w:sz w:val="16"/>
              </w:rPr>
              <w:t>High</w:t>
            </w:r>
          </w:p>
        </w:tc>
        <w:tc>
          <w:tcPr>
            <w:tcW w:type="dxa" w:w="1080"/>
          </w:tcPr>
          <w:p>
            <w:pPr>
              <w:spacing w:line="283" w:lineRule="auto" w:after="20"/>
            </w:pPr>
            <w:r/>
            <w:r>
              <w:rPr>
                <w:rFonts w:ascii="Calibri" w:hAnsi="Calibri"/>
                <w:b w:val="0"/>
                <w:color w:val="526068"/>
                <w:sz w:val="16"/>
              </w:rPr>
              <w:t>Fixed</w:t>
            </w:r>
          </w:p>
        </w:tc>
      </w:tr>
    </w:tbl>
    <w:p>
      <w:pPr>
        <w:spacing w:after="60"/>
      </w:pPr>
    </w:p>
    <w:p>
      <w:pPr>
        <w:spacing w:before="260" w:after="80" w:line="312" w:lineRule="auto"/>
      </w:pPr>
      <w:r>
        <w:rPr>
          <w:rFonts w:ascii="Calibri" w:hAnsi="Calibri"/>
          <w:b/>
          <w:color w:val="172126"/>
          <w:sz w:val="22"/>
        </w:rPr>
        <w:t>What was fixed and is live</w:t>
      </w:r>
    </w:p>
    <w:p>
      <w:pPr>
        <w:pStyle w:val="ListBullet"/>
        <w:spacing w:after="60" w:line="302" w:lineRule="auto"/>
        <w:ind w:left="360"/>
      </w:pPr>
      <w:r>
        <w:rPr>
          <w:rFonts w:ascii="Calibri" w:hAnsi="Calibri"/>
          <w:b/>
          <w:color w:val="172126"/>
          <w:sz w:val="18"/>
        </w:rPr>
        <w:t xml:space="preserve">Registration closed </w:t>
      </w:r>
      <w:r>
        <w:rPr>
          <w:rFonts w:ascii="Georgia" w:hAnsi="Georgia"/>
          <w:color w:val="526068"/>
          <w:sz w:val="18"/>
        </w:rPr>
        <w:t>on both planes, without breaking provisioning or invitations.</w:t>
      </w:r>
    </w:p>
    <w:p>
      <w:pPr>
        <w:pStyle w:val="ListBullet"/>
        <w:spacing w:after="60" w:line="302" w:lineRule="auto"/>
        <w:ind w:left="360"/>
      </w:pPr>
      <w:r>
        <w:rPr>
          <w:rFonts w:ascii="Calibri" w:hAnsi="Calibri"/>
          <w:b/>
          <w:color w:val="172126"/>
          <w:sz w:val="18"/>
        </w:rPr>
        <w:t xml:space="preserve">Per-IP throttling </w:t>
      </w:r>
      <w:r>
        <w:rPr>
          <w:rFonts w:ascii="Georgia" w:hAnsi="Georgia"/>
          <w:color w:val="526068"/>
          <w:sz w:val="18"/>
        </w:rPr>
        <w:t>replacing a single shared counter that would have let one script lock out an entire firm.</w:t>
      </w:r>
    </w:p>
    <w:p>
      <w:pPr>
        <w:pStyle w:val="ListBullet"/>
        <w:spacing w:after="60" w:line="302" w:lineRule="auto"/>
        <w:ind w:left="360"/>
      </w:pPr>
      <w:r>
        <w:rPr>
          <w:rFonts w:ascii="Calibri" w:hAnsi="Calibri"/>
          <w:b/>
          <w:color w:val="172126"/>
          <w:sz w:val="18"/>
        </w:rPr>
        <w:t xml:space="preserve">Security headers </w:t>
      </w:r>
      <w:r>
        <w:rPr>
          <w:rFonts w:ascii="Georgia" w:hAnsi="Georgia"/>
          <w:color w:val="526068"/>
          <w:sz w:val="18"/>
        </w:rPr>
        <w:t>HSTS, CSP, frame-ancestors, nosniff, Referrer-Policy — closing the injection window behind the reCAPTCHA.</w:t>
      </w:r>
    </w:p>
    <w:p>
      <w:pPr>
        <w:pStyle w:val="ListBullet"/>
        <w:spacing w:after="60" w:line="302" w:lineRule="auto"/>
        <w:ind w:left="360"/>
      </w:pPr>
      <w:r>
        <w:rPr>
          <w:rFonts w:ascii="Calibri" w:hAnsi="Calibri"/>
          <w:b/>
          <w:color w:val="172126"/>
          <w:sz w:val="18"/>
        </w:rPr>
        <w:t xml:space="preserve">Both database passwords rotated </w:t>
      </w:r>
      <w:r>
        <w:rPr>
          <w:rFonts w:ascii="Georgia" w:hAnsi="Georgia"/>
          <w:color w:val="526068"/>
          <w:sz w:val="18"/>
        </w:rPr>
        <w:t>off the literal 'preckon' to 40 random characters, per plane.</w:t>
      </w:r>
    </w:p>
    <w:p>
      <w:pPr>
        <w:pStyle w:val="ListBullet"/>
        <w:spacing w:after="60" w:line="302" w:lineRule="auto"/>
        <w:ind w:left="360"/>
      </w:pPr>
      <w:r>
        <w:rPr>
          <w:rFonts w:ascii="Calibri" w:hAnsi="Calibri"/>
          <w:b/>
          <w:color w:val="172126"/>
          <w:sz w:val="18"/>
        </w:rPr>
        <w:t xml:space="preserve">Every published port bound to loopback </w:t>
      </w:r>
      <w:r>
        <w:rPr>
          <w:rFonts w:ascii="Georgia" w:hAnsi="Georgia"/>
          <w:color w:val="526068"/>
          <w:sz w:val="18"/>
        </w:rPr>
        <w:t>including two databases that were on the wildcard address.</w:t>
      </w:r>
    </w:p>
    <w:p>
      <w:pPr>
        <w:pStyle w:val="ListBullet"/>
        <w:spacing w:after="60" w:line="302" w:lineRule="auto"/>
        <w:ind w:left="360"/>
      </w:pPr>
      <w:r>
        <w:rPr>
          <w:rFonts w:ascii="Calibri" w:hAnsi="Calibri"/>
          <w:b/>
          <w:color w:val="172126"/>
          <w:sz w:val="18"/>
        </w:rPr>
        <w:t xml:space="preserve">Token and cost metering </w:t>
      </w:r>
      <w:r>
        <w:rPr>
          <w:rFonts w:ascii="Georgia" w:hAnsi="Georgia"/>
          <w:color w:val="526068"/>
          <w:sz w:val="18"/>
        </w:rPr>
        <w:t>measuring rather than declaring, and now capturing the drawing-assistant traffic it never saw.</w:t>
      </w:r>
    </w:p>
    <w:p>
      <w:pPr>
        <w:pStyle w:val="ListBullet"/>
        <w:spacing w:after="60" w:line="302" w:lineRule="auto"/>
        <w:ind w:left="360"/>
      </w:pPr>
      <w:r>
        <w:rPr>
          <w:rFonts w:ascii="Calibri" w:hAnsi="Calibri"/>
          <w:b/>
          <w:color w:val="172126"/>
          <w:sz w:val="18"/>
        </w:rPr>
        <w:t xml:space="preserve">Retrieval connected and backfilled </w:t>
      </w:r>
      <w:r>
        <w:rPr>
          <w:rFonts w:ascii="Georgia" w:hAnsi="Georgia"/>
          <w:color w:val="526068"/>
          <w:sz w:val="18"/>
        </w:rPr>
        <w:t>5,320 passages across 116 files in production.</w:t>
      </w:r>
    </w:p>
    <w:p>
      <w:pPr>
        <w:pStyle w:val="ListBullet"/>
        <w:spacing w:after="60" w:line="302" w:lineRule="auto"/>
        <w:ind w:left="360"/>
      </w:pPr>
      <w:r>
        <w:rPr>
          <w:rFonts w:ascii="Calibri" w:hAnsi="Calibri"/>
          <w:b/>
          <w:color w:val="172126"/>
          <w:sz w:val="18"/>
        </w:rPr>
        <w:t xml:space="preserve">An AI evaluation framework </w:t>
      </w:r>
      <w:r>
        <w:rPr>
          <w:rFonts w:ascii="Georgia" w:hAnsi="Georgia"/>
          <w:color w:val="526068"/>
          <w:sz w:val="18"/>
        </w:rPr>
        <w:t>that can gate a deploy without a database or an API key.</w:t>
      </w:r>
    </w:p>
    <w:p>
      <w:pPr>
        <w:pStyle w:val="ListBullet"/>
        <w:spacing w:after="60" w:line="302" w:lineRule="auto"/>
        <w:ind w:left="360"/>
      </w:pPr>
      <w:r>
        <w:rPr>
          <w:rFonts w:ascii="Calibri" w:hAnsi="Calibri"/>
          <w:b/>
          <w:color w:val="172126"/>
          <w:sz w:val="18"/>
        </w:rPr>
        <w:t xml:space="preserve">Three repositories synchronised </w:t>
      </w:r>
      <w:r>
        <w:rPr>
          <w:rFonts w:ascii="Georgia" w:hAnsi="Georgia"/>
          <w:color w:val="526068"/>
          <w:sz w:val="18"/>
        </w:rPr>
        <w:t>and a nightly mirror that merges rather than force-pushes.</w:t>
      </w:r>
    </w:p>
    <w:p>
      <w:pPr>
        <w:spacing w:after="40"/>
      </w:pPr>
    </w:p>
    <w:p>
      <w:pPr>
        <w:spacing w:before="260" w:after="80" w:line="312" w:lineRule="auto"/>
      </w:pPr>
      <w:r>
        <w:rPr>
          <w:rFonts w:ascii="Calibri" w:hAnsi="Calibri"/>
          <w:b/>
          <w:color w:val="172126"/>
          <w:sz w:val="22"/>
        </w:rPr>
        <w:t>What is still open</w:t>
      </w:r>
    </w:p>
    <w:p>
      <w:pPr>
        <w:spacing w:before="0" w:after="140" w:line="312" w:lineRule="auto"/>
      </w:pPr>
      <w:r>
        <w:rPr>
          <w:rFonts w:ascii="Georgia" w:hAnsi="Georgia"/>
          <w:b w:val="0"/>
          <w:color w:val="526068"/>
          <w:sz w:val="19"/>
        </w:rPr>
        <w:t>Six decisions, listed in Section 8 with owners. Two are urgent: the public repository carrying live credentials, and the AI data-boundary policy which is running in shadow mode and not actually enforcing.</w:t>
      </w:r>
    </w:p>
    <w:p>
      <w:r>
        <w:br w:type="page"/>
      </w:r>
    </w:p>
    <w:p>
      <w:pPr>
        <w:spacing w:before="0" w:after="60" w:line="312" w:lineRule="auto"/>
      </w:pPr>
      <w:r>
        <w:rPr>
          <w:rFonts w:ascii="Consolas" w:hAnsi="Consolas"/>
          <w:b/>
          <w:color w:val="087E75"/>
          <w:sz w:val="15"/>
        </w:rPr>
        <w:t>SECTION 2</w:t>
      </w:r>
    </w:p>
    <w:p>
      <w:pPr>
        <w:spacing w:before="0" w:after="160" w:line="252" w:lineRule="auto"/>
      </w:pPr>
      <w:r>
        <w:rPr>
          <w:rFonts w:ascii="Georgia" w:hAnsi="Georgia"/>
          <w:b/>
          <w:color w:val="172126"/>
          <w:sz w:val="38"/>
        </w:rPr>
        <w:t>Security findings</w:t>
      </w:r>
    </w:p>
    <w:p>
      <w:pPr>
        <w:spacing w:before="0" w:after="200" w:line="312" w:lineRule="auto"/>
      </w:pPr>
      <w:r>
        <w:rPr>
          <w:rFonts w:ascii="Georgia" w:hAnsi="Georgia"/>
          <w:b w:val="0"/>
          <w:color w:val="526068"/>
          <w:sz w:val="21"/>
        </w:rPr>
        <w:t>Ordered by severity. Each states how it was found, what it allowed, and what was done.</w:t>
      </w:r>
    </w:p>
    <w:p>
      <w:pPr>
        <w:spacing w:before="260" w:after="80" w:line="312" w:lineRule="auto"/>
      </w:pPr>
      <w:r>
        <w:rPr>
          <w:rFonts w:ascii="Calibri" w:hAnsi="Calibri"/>
          <w:b/>
          <w:color w:val="172126"/>
          <w:sz w:val="22"/>
        </w:rPr>
        <w:t>2.1  Public registration was open on both consoles — CRITICAL, fixed</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878"/>
      </w:tblGrid>
      <w:tr>
        <w:tc>
          <w:tcPr>
            <w:tcW w:type="dxa" w:w="9878"/>
            <w:shd w:val="clear" w:fill="F5F7F8"/>
          </w:tcPr>
          <w:p>
            <w:pPr>
              <w:spacing w:line="293" w:lineRule="auto"/>
            </w:pPr>
            <w:r/>
            <w:r>
              <w:rPr>
                <w:rFonts w:ascii="Consolas" w:hAnsi="Consolas"/>
                <w:color w:val="172126"/>
                <w:sz w:val="17"/>
              </w:rPr>
              <w:t>POST https://host.preckon.com/api/auth/sign-up/email   -&gt;  200</w:t>
              <w:br/>
              <w:t>POST https://app.preckon.com/api/auth/sign-up/email    -&gt;  200</w:t>
            </w:r>
          </w:p>
        </w:tc>
      </w:tr>
    </w:tbl>
    <w:p>
      <w:pPr>
        <w:spacing w:after="40"/>
      </w:pPr>
    </w:p>
    <w:p>
      <w:pPr>
        <w:spacing w:before="0" w:after="140" w:line="312" w:lineRule="auto"/>
      </w:pPr>
      <w:r>
        <w:rPr>
          <w:rFonts w:ascii="Georgia" w:hAnsi="Georgia"/>
          <w:b w:val="0"/>
          <w:color w:val="526068"/>
          <w:sz w:val="19"/>
        </w:rPr>
        <w:t>Neither product has a registration screen, and nothing links to one. The authentication library mounts the endpoint by default and no specification said it should not, so it stayed open. Anyone on the internet could create an account on the platform operations console and on a customer's workspace.</w:t>
      </w: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9878"/>
      </w:tblGrid>
      <w:tr>
        <w:tc>
          <w:tcPr>
            <w:tcW w:type="dxa" w:w="9878"/>
            <w:shd w:val="clear" w:fill="FBEAE8"/>
          </w:tcPr>
          <w:p>
            <w:r/>
            <w:r>
              <w:rPr>
                <w:rFonts w:ascii="Calibri" w:hAnsi="Calibri"/>
                <w:b/>
                <w:color w:val="B42318"/>
                <w:sz w:val="14"/>
              </w:rPr>
              <w:t>DISCLOSURE: THE PROBE CREATED REAL ACCOUNTS</w:t>
            </w:r>
          </w:p>
          <w:p>
            <w:pPr>
              <w:spacing w:before="60" w:line="302" w:lineRule="auto"/>
            </w:pPr>
            <w:r>
              <w:rPr>
                <w:rFonts w:ascii="Georgia" w:hAnsi="Georgia"/>
                <w:color w:val="172126"/>
                <w:sz w:val="18"/>
              </w:rPr>
              <w:t>Verifying this created two genuine accounts in the live databases, because the control was absent. Both were deleted and their absence confirmed. This is recorded because a verification that SUCCEEDS when the control is missing is the wrong shape of test, and the fix should be checked by asserting the 403 instead.</w:t>
            </w:r>
          </w:p>
        </w:tc>
      </w:tr>
    </w:tbl>
    <w:p>
      <w:pPr>
        <w:spacing w:after="60"/>
      </w:pPr>
    </w:p>
    <w:p>
      <w:pPr>
        <w:spacing w:before="0" w:after="140" w:line="312" w:lineRule="auto"/>
      </w:pPr>
      <w:r>
        <w:rPr>
          <w:rFonts w:ascii="Georgia" w:hAnsi="Georgia"/>
          <w:b w:val="0"/>
          <w:color w:val="526068"/>
          <w:sz w:val="19"/>
        </w:rPr>
        <w:t>The obvious remedy was wrong. The library's own disableSignUp flag is evaluated inside the sign-up handler, and the host's provisioning creates the first Owner through that same handler from a separate container — setting the flag would have closed registration and broken tenant bootstrap together. Registration is therefore refused at the HTTP boundary: the tenant in its auth route, the host in middleware gated on a service credential that fails closed when unset. Both now answer 403, with a wrong token as well as with none, and no row is written by a refusal.</w:t>
      </w:r>
    </w:p>
    <w:p>
      <w:pPr>
        <w:spacing w:before="260" w:after="80" w:line="312" w:lineRule="auto"/>
      </w:pPr>
      <w:r>
        <w:rPr>
          <w:rFonts w:ascii="Calibri" w:hAnsi="Calibri"/>
          <w:b/>
          <w:color w:val="172126"/>
          <w:sz w:val="22"/>
        </w:rPr>
        <w:t>2.2  Throttling ran on a single shared counter — High, fixed</w:t>
      </w:r>
    </w:p>
    <w:p>
      <w:pPr>
        <w:spacing w:before="0" w:after="140" w:line="312" w:lineRule="auto"/>
      </w:pPr>
      <w:r>
        <w:rPr>
          <w:rFonts w:ascii="Georgia" w:hAnsi="Georgia"/>
          <w:b w:val="0"/>
          <w:color w:val="526068"/>
          <w:sz w:val="19"/>
        </w:rPr>
        <w:t>The authentication library keys its rate limiter on the client address. Behind nginx every connection presents as loopback, and the library then does what it warns it will do: falls back to one bucket per path for the entire deployment.</w:t>
      </w:r>
    </w:p>
    <w:p>
      <w:pPr>
        <w:spacing w:before="0" w:after="140" w:line="312" w:lineRule="auto"/>
      </w:pPr>
      <w:r>
        <w:rPr>
          <w:rFonts w:ascii="Georgia" w:hAnsi="Georgia"/>
          <w:b w:val="0"/>
          <w:color w:val="526068"/>
          <w:sz w:val="19"/>
        </w:rPr>
        <w:t>One bucket for everybody is worse than none. Three sign-in attempts a minute shared across a whole firm means a single script locks out every estimator, and credential stuffing becomes indistinguishable from Monday morning. The specification already required throttling 'by account, device, network and tenant dimensions', so this was an unmet existing rule rather than a new one.</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878"/>
      </w:tblGrid>
      <w:tr>
        <w:tc>
          <w:tcPr>
            <w:tcW w:type="dxa" w:w="9878"/>
            <w:shd w:val="clear" w:fill="F5F7F8"/>
          </w:tcPr>
          <w:p>
            <w:pPr>
              <w:spacing w:line="293" w:lineRule="auto"/>
            </w:pPr>
            <w:r/>
            <w:r>
              <w:rPr>
                <w:rFonts w:ascii="Consolas" w:hAnsi="Consolas"/>
                <w:color w:val="172126"/>
                <w:sz w:val="17"/>
              </w:rPr>
              <w:t>verified by execution:</w:t>
              <w:br/>
              <w:t xml:space="preserve">  host    attempts 1-5 accepted, 6th 429, a second address unaffected</w:t>
              <w:br/>
              <w:t xml:space="preserve">  tenant  attempts 1-3 accepted, 4th 429, a second address unaffected</w:t>
            </w:r>
          </w:p>
        </w:tc>
      </w:tr>
    </w:tbl>
    <w:p>
      <w:pPr>
        <w:spacing w:after="40"/>
      </w:pPr>
    </w:p>
    <w:p>
      <w:pPr>
        <w:spacing w:before="260" w:after="80" w:line="312" w:lineRule="auto"/>
      </w:pPr>
      <w:r>
        <w:rPr>
          <w:rFonts w:ascii="Calibri" w:hAnsi="Calibri"/>
          <w:b/>
          <w:color w:val="172126"/>
          <w:sz w:val="22"/>
        </w:rPr>
        <w:t>2.3  The reCAPTCHA — resolved</w:t>
      </w:r>
    </w:p>
    <w:p>
      <w:pPr>
        <w:spacing w:before="0" w:after="140" w:line="312" w:lineRule="auto"/>
      </w:pPr>
      <w:r>
        <w:rPr>
          <w:rFonts w:ascii="Georgia" w:hAnsi="Georgia"/>
          <w:b w:val="0"/>
          <w:color w:val="526068"/>
          <w:sz w:val="19"/>
        </w:rPr>
        <w:t>The reported symptom. The codebase contains no captcha integration of any kind and the HTML the server returns carries no captcha markup, so it was being injected between the server and the browser. Two holes allowed it: nginx redirects http to https correctly, but the redirect itself travels in cleartext — one unencrypted round trip on every first visit, which anything on the path can answer with a page of its own — and there was no CSP to stop an injected script once it arrived.</w:t>
      </w:r>
    </w:p>
    <w:p>
      <w:pPr>
        <w:spacing w:before="0" w:after="140" w:line="312" w:lineRule="auto"/>
      </w:pPr>
      <w:r>
        <w:rPr>
          <w:rFonts w:ascii="Georgia" w:hAnsi="Georgia"/>
          <w:b w:val="0"/>
          <w:color w:val="526068"/>
          <w:sz w:val="19"/>
        </w:rPr>
        <w:t>Both planes now send HSTS, so after one HTTPS response the browser rewrites http itself and the cleartext request never leaves the machine. The CSP names no external script host, so an injected tag has nowhere to load from.</w:t>
      </w:r>
    </w:p>
    <w:tbl>
      <w:tblPr>
        <w:tblW w:type="auto" w:w="0"/>
        <w:tblLook w:firstColumn="1" w:firstRow="1" w:lastColumn="0" w:lastRow="0" w:noHBand="0" w:noVBand="1" w:val="04A0"/>
        <w:tblBorders>
          <w:top w:val="single" w:sz="2" w:space="0" w:color="E6F3F1"/>
          <w:left w:val="single" w:sz="2" w:space="0" w:color="E6F3F1"/>
          <w:bottom w:val="single" w:sz="2" w:space="0" w:color="E6F3F1"/>
          <w:right w:val="single" w:sz="2" w:space="0" w:color="E6F3F1"/>
          <w:insideH w:val="single" w:sz="2" w:space="0" w:color="E6F3F1"/>
          <w:insideV w:val="single" w:sz="2" w:space="0" w:color="E6F3F1"/>
        </w:tblBorders>
      </w:tblPr>
      <w:tblGrid>
        <w:gridCol w:w="9878"/>
      </w:tblGrid>
      <w:tr>
        <w:tc>
          <w:tcPr>
            <w:tcW w:type="dxa" w:w="9878"/>
            <w:shd w:val="clear" w:fill="E6F3F1"/>
          </w:tcPr>
          <w:p>
            <w:r/>
            <w:r>
              <w:rPr>
                <w:rFonts w:ascii="Calibri" w:hAnsi="Calibri"/>
                <w:b/>
                <w:color w:val="087E75"/>
                <w:sz w:val="14"/>
              </w:rPr>
              <w:t>TELL AFFECTED USERS TO HARD-RELOAD ONCE OVER HTTPS</w:t>
            </w:r>
          </w:p>
          <w:p>
            <w:pPr>
              <w:spacing w:before="60" w:line="302" w:lineRule="auto"/>
            </w:pPr>
            <w:r>
              <w:rPr>
                <w:rFonts w:ascii="Georgia" w:hAnsi="Georgia"/>
                <w:color w:val="172126"/>
                <w:sz w:val="18"/>
              </w:rPr>
              <w:t>A single response installs HSTS. Until a user does that, typing the bare domain still produces one interceptable round trip.</w:t>
            </w:r>
          </w:p>
        </w:tc>
      </w:tr>
    </w:tbl>
    <w:p>
      <w:pPr>
        <w:spacing w:after="60"/>
      </w:pPr>
    </w:p>
    <w:p>
      <w:pPr>
        <w:spacing w:before="260" w:after="80" w:line="312" w:lineRule="auto"/>
      </w:pPr>
      <w:r>
        <w:rPr>
          <w:rFonts w:ascii="Calibri" w:hAnsi="Calibri"/>
          <w:b/>
          <w:color w:val="172126"/>
          <w:sz w:val="22"/>
        </w:rPr>
        <w:t>2.4  Credentials in a public repository — CRITICAL, open</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293"/>
        <w:gridCol w:w="3293"/>
        <w:gridCol w:w="3293"/>
      </w:tblGrid>
      <w:tr>
        <w:tc>
          <w:tcPr>
            <w:tcW w:type="dxa" w:w="2448"/>
            <w:shd w:val="clear" w:fill="F0F3F4"/>
          </w:tcPr>
          <w:p>
            <w:r/>
            <w:r>
              <w:rPr>
                <w:rFonts w:ascii="Calibri" w:hAnsi="Calibri"/>
                <w:b/>
                <w:color w:val="667279"/>
                <w:sz w:val="14"/>
              </w:rPr>
              <w:t>REPOSITORY</w:t>
            </w:r>
          </w:p>
        </w:tc>
        <w:tc>
          <w:tcPr>
            <w:tcW w:type="dxa" w:w="1296"/>
            <w:shd w:val="clear" w:fill="F0F3F4"/>
          </w:tcPr>
          <w:p>
            <w:r/>
            <w:r>
              <w:rPr>
                <w:rFonts w:ascii="Calibri" w:hAnsi="Calibri"/>
                <w:b/>
                <w:color w:val="667279"/>
                <w:sz w:val="14"/>
              </w:rPr>
              <w:t>VISIBILITY</w:t>
            </w:r>
          </w:p>
        </w:tc>
        <w:tc>
          <w:tcPr>
            <w:tcW w:type="dxa" w:w="5184"/>
            <w:shd w:val="clear" w:fill="F0F3F4"/>
          </w:tcPr>
          <w:p>
            <w:r/>
            <w:r>
              <w:rPr>
                <w:rFonts w:ascii="Calibri" w:hAnsi="Calibri"/>
                <w:b/>
                <w:color w:val="667279"/>
                <w:sz w:val="14"/>
              </w:rPr>
              <w:t>CONTAINS</w:t>
            </w:r>
          </w:p>
        </w:tc>
      </w:tr>
      <w:tr>
        <w:tc>
          <w:tcPr>
            <w:tcW w:type="dxa" w:w="2448"/>
          </w:tcPr>
          <w:p>
            <w:pPr>
              <w:spacing w:line="283" w:lineRule="auto" w:after="20"/>
            </w:pPr>
            <w:r/>
            <w:r>
              <w:rPr>
                <w:rFonts w:ascii="Calibri" w:hAnsi="Calibri"/>
                <w:b/>
                <w:color w:val="172126"/>
                <w:sz w:val="16"/>
              </w:rPr>
              <w:t>divya053/newcomplete</w:t>
            </w:r>
          </w:p>
        </w:tc>
        <w:tc>
          <w:tcPr>
            <w:tcW w:type="dxa" w:w="1296"/>
          </w:tcPr>
          <w:p>
            <w:pPr>
              <w:spacing w:line="283" w:lineRule="auto" w:after="20"/>
            </w:pPr>
            <w:r/>
            <w:r>
              <w:rPr>
                <w:rFonts w:ascii="Calibri" w:hAnsi="Calibri"/>
                <w:b w:val="0"/>
                <w:color w:val="526068"/>
                <w:sz w:val="16"/>
              </w:rPr>
              <w:t>PUBLIC</w:t>
            </w:r>
          </w:p>
        </w:tc>
        <w:tc>
          <w:tcPr>
            <w:tcW w:type="dxa" w:w="5184"/>
          </w:tcPr>
          <w:p>
            <w:pPr>
              <w:spacing w:line="283" w:lineRule="auto" w:after="20"/>
            </w:pPr>
            <w:r/>
            <w:r>
              <w:rPr>
                <w:rFonts w:ascii="Calibri" w:hAnsi="Calibri"/>
                <w:b w:val="0"/>
                <w:color w:val="526068"/>
                <w:sz w:val="16"/>
              </w:rPr>
              <w:t>The entire Preckon source, pushed every ten minutes since July, including DEMO-CREDENTIALS.md with working production logins</w:t>
            </w:r>
          </w:p>
        </w:tc>
      </w:tr>
      <w:tr>
        <w:tc>
          <w:tcPr>
            <w:tcW w:type="dxa" w:w="2448"/>
          </w:tcPr>
          <w:p>
            <w:pPr>
              <w:spacing w:line="283" w:lineRule="auto" w:after="20"/>
            </w:pPr>
            <w:r/>
            <w:r>
              <w:rPr>
                <w:rFonts w:ascii="Calibri" w:hAnsi="Calibri"/>
                <w:b/>
                <w:color w:val="172126"/>
                <w:sz w:val="16"/>
              </w:rPr>
              <w:t>techsmeinc/preckon-system</w:t>
            </w:r>
          </w:p>
        </w:tc>
        <w:tc>
          <w:tcPr>
            <w:tcW w:type="dxa" w:w="1296"/>
          </w:tcPr>
          <w:p>
            <w:pPr>
              <w:spacing w:line="283" w:lineRule="auto" w:after="20"/>
            </w:pPr>
            <w:r/>
            <w:r>
              <w:rPr>
                <w:rFonts w:ascii="Calibri" w:hAnsi="Calibri"/>
                <w:b w:val="0"/>
                <w:color w:val="526068"/>
                <w:sz w:val="16"/>
              </w:rPr>
              <w:t>private</w:t>
            </w:r>
          </w:p>
        </w:tc>
        <w:tc>
          <w:tcPr>
            <w:tcW w:type="dxa" w:w="5184"/>
          </w:tcPr>
          <w:p>
            <w:pPr>
              <w:spacing w:line="283" w:lineRule="auto" w:after="20"/>
            </w:pPr>
            <w:r/>
            <w:r>
              <w:rPr>
                <w:rFonts w:ascii="Calibri" w:hAnsi="Calibri"/>
                <w:b w:val="0"/>
                <w:color w:val="526068"/>
                <w:sz w:val="16"/>
              </w:rPr>
              <w:t>—</w:t>
            </w:r>
          </w:p>
        </w:tc>
      </w:tr>
      <w:tr>
        <w:tc>
          <w:tcPr>
            <w:tcW w:type="dxa" w:w="2448"/>
          </w:tcPr>
          <w:p>
            <w:pPr>
              <w:spacing w:line="283" w:lineRule="auto" w:after="20"/>
            </w:pPr>
            <w:r/>
            <w:r>
              <w:rPr>
                <w:rFonts w:ascii="Calibri" w:hAnsi="Calibri"/>
                <w:b/>
                <w:color w:val="172126"/>
                <w:sz w:val="16"/>
              </w:rPr>
              <w:t>techsmeinc/preckon-tenant</w:t>
            </w:r>
          </w:p>
        </w:tc>
        <w:tc>
          <w:tcPr>
            <w:tcW w:type="dxa" w:w="1296"/>
          </w:tcPr>
          <w:p>
            <w:pPr>
              <w:spacing w:line="283" w:lineRule="auto" w:after="20"/>
            </w:pPr>
            <w:r/>
            <w:r>
              <w:rPr>
                <w:rFonts w:ascii="Calibri" w:hAnsi="Calibri"/>
                <w:b w:val="0"/>
                <w:color w:val="526068"/>
                <w:sz w:val="16"/>
              </w:rPr>
              <w:t>private</w:t>
            </w:r>
          </w:p>
        </w:tc>
        <w:tc>
          <w:tcPr>
            <w:tcW w:type="dxa" w:w="5184"/>
          </w:tcPr>
          <w:p>
            <w:pPr>
              <w:spacing w:line="283" w:lineRule="auto" w:after="20"/>
            </w:pPr>
            <w:r/>
            <w:r>
              <w:rPr>
                <w:rFonts w:ascii="Calibri" w:hAnsi="Calibri"/>
                <w:b w:val="0"/>
                <w:color w:val="526068"/>
                <w:sz w:val="16"/>
              </w:rPr>
              <w:t>—</w:t>
            </w:r>
          </w:p>
        </w:tc>
      </w:tr>
      <w:tr>
        <w:tc>
          <w:tcPr>
            <w:tcW w:type="dxa" w:w="2448"/>
          </w:tcPr>
          <w:p>
            <w:pPr>
              <w:spacing w:line="283" w:lineRule="auto" w:after="20"/>
            </w:pPr>
            <w:r/>
            <w:r>
              <w:rPr>
                <w:rFonts w:ascii="Calibri" w:hAnsi="Calibri"/>
                <w:b/>
                <w:color w:val="172126"/>
                <w:sz w:val="16"/>
              </w:rPr>
              <w:t>techsmeinc/preckon-host</w:t>
            </w:r>
          </w:p>
        </w:tc>
        <w:tc>
          <w:tcPr>
            <w:tcW w:type="dxa" w:w="1296"/>
          </w:tcPr>
          <w:p>
            <w:pPr>
              <w:spacing w:line="283" w:lineRule="auto" w:after="20"/>
            </w:pPr>
            <w:r/>
            <w:r>
              <w:rPr>
                <w:rFonts w:ascii="Calibri" w:hAnsi="Calibri"/>
                <w:b w:val="0"/>
                <w:color w:val="526068"/>
                <w:sz w:val="16"/>
              </w:rPr>
              <w:t>private</w:t>
            </w:r>
          </w:p>
        </w:tc>
        <w:tc>
          <w:tcPr>
            <w:tcW w:type="dxa" w:w="5184"/>
          </w:tcPr>
          <w:p>
            <w:pPr>
              <w:spacing w:line="283" w:lineRule="auto" w:after="20"/>
            </w:pPr>
            <w:r/>
            <w:r>
              <w:rPr>
                <w:rFonts w:ascii="Calibri" w:hAnsi="Calibri"/>
                <w:b w:val="0"/>
                <w:color w:val="526068"/>
                <w:sz w:val="16"/>
              </w:rPr>
              <w:t>—</w:t>
            </w:r>
          </w:p>
        </w:tc>
      </w:tr>
    </w:tbl>
    <w:p>
      <w:pPr>
        <w:spacing w:after="60"/>
      </w:pPr>
    </w:p>
    <w:p>
      <w:pPr>
        <w:spacing w:before="0" w:after="140" w:line="312" w:lineRule="auto"/>
      </w:pPr>
      <w:r>
        <w:rPr>
          <w:rFonts w:ascii="Georgia" w:hAnsi="Georgia"/>
          <w:b w:val="0"/>
          <w:color w:val="526068"/>
          <w:sz w:val="19"/>
        </w:rPr>
        <w:t>DEMO-CREDENTIALS.md lists admin@techsme.com with the Platform Owner password, plus two Admin accounts. Those addresses match real rows in the production user table. The credential guard in the sync script matches API-key shapes — sk-ant-, AKIA, JWTs — and a password that looks like ordinary prose passes straight through it.</w:t>
      </w:r>
    </w:p>
    <w:p>
      <w:pPr>
        <w:spacing w:before="0" w:after="140" w:line="312" w:lineRule="auto"/>
      </w:pPr>
      <w:r>
        <w:rPr>
          <w:rFonts w:ascii="Georgia" w:hAnsi="Georgia"/>
          <w:b w:val="0"/>
          <w:color w:val="526068"/>
          <w:sz w:val="19"/>
        </w:rPr>
        <w:t>Three separate repositories have now had that file deliberately deleted. The public one still has it, in history.</w:t>
      </w: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9878"/>
      </w:tblGrid>
      <w:tr>
        <w:tc>
          <w:tcPr>
            <w:tcW w:type="dxa" w:w="9878"/>
            <w:shd w:val="clear" w:fill="FBEAE8"/>
          </w:tcPr>
          <w:p>
            <w:r/>
            <w:r>
              <w:rPr>
                <w:rFonts w:ascii="Calibri" w:hAnsi="Calibri"/>
                <w:b/>
                <w:color w:val="B42318"/>
                <w:sz w:val="14"/>
              </w:rPr>
              <w:t>RECOMMENDED ORDER, AND WHY</w:t>
            </w:r>
          </w:p>
          <w:p>
            <w:pPr>
              <w:spacing w:before="60" w:line="302" w:lineRule="auto"/>
            </w:pPr>
            <w:r>
              <w:rPr>
                <w:rFonts w:ascii="Georgia" w:hAnsi="Georgia"/>
                <w:color w:val="172126"/>
                <w:sz w:val="18"/>
              </w:rPr>
              <w:t>Rotate the three account passwords FIRST, then make the repository private or delete it, then purge the file from history. Making a repository private does not un-publish six weeks of readable history, and forks or clones may already exist — so rotation is the control that actually works.</w:t>
            </w:r>
          </w:p>
        </w:tc>
      </w:tr>
    </w:tbl>
    <w:p>
      <w:pPr>
        <w:spacing w:after="60"/>
      </w:pPr>
    </w:p>
    <w:p>
      <w:pPr>
        <w:spacing w:before="260" w:after="80" w:line="312" w:lineRule="auto"/>
      </w:pPr>
      <w:r>
        <w:rPr>
          <w:rFonts w:ascii="Calibri" w:hAnsi="Calibri"/>
          <w:b/>
          <w:color w:val="172126"/>
          <w:sz w:val="22"/>
        </w:rPr>
        <w:t>2.5  Exposure and credentials — fixed</w:t>
      </w:r>
    </w:p>
    <w:p>
      <w:pPr>
        <w:pStyle w:val="ListBullet"/>
        <w:spacing w:after="60" w:line="302" w:lineRule="auto"/>
        <w:ind w:left="360"/>
      </w:pPr>
      <w:r>
        <w:rPr>
          <w:rFonts w:ascii="Calibri" w:hAnsi="Calibri"/>
          <w:b/>
          <w:color w:val="172126"/>
          <w:sz w:val="18"/>
        </w:rPr>
        <w:t xml:space="preserve">Both database passwords were the literal 'preckon'. </w:t>
      </w:r>
      <w:r>
        <w:rPr>
          <w:rFonts w:ascii="Georgia" w:hAnsi="Georgia"/>
          <w:color w:val="526068"/>
          <w:sz w:val="18"/>
        </w:rPr>
        <w:t>Rotated to 40 random characters, different per plane, stored at 0600 and never in git. The host compose now reads the value from .env with no fallback, because a default is exactly how a production database keeps a weak password for months.</w:t>
      </w:r>
    </w:p>
    <w:p>
      <w:pPr>
        <w:pStyle w:val="ListBullet"/>
        <w:spacing w:after="60" w:line="302" w:lineRule="auto"/>
        <w:ind w:left="360"/>
      </w:pPr>
      <w:r>
        <w:rPr>
          <w:rFonts w:ascii="Calibri" w:hAnsi="Calibri"/>
          <w:b/>
          <w:color w:val="172126"/>
          <w:sz w:val="18"/>
        </w:rPr>
        <w:t xml:space="preserve">Two databases were published on the wildcard address. </w:t>
      </w:r>
      <w:r>
        <w:rPr>
          <w:rFonts w:ascii="Georgia" w:hAnsi="Georgia"/>
          <w:color w:val="526068"/>
          <w:sz w:val="18"/>
        </w:rPr>
        <w:t>Every published port now binds to 127.0.0.1. Worth knowing: Docker writes its iptables rules ahead of ufw, so a firewall rule on a published port reports success and leaves it open — the bind address is the control that works.</w:t>
      </w:r>
    </w:p>
    <w:p>
      <w:pPr>
        <w:pStyle w:val="ListBullet"/>
        <w:spacing w:after="60" w:line="302" w:lineRule="auto"/>
        <w:ind w:left="360"/>
      </w:pPr>
      <w:r>
        <w:rPr>
          <w:rFonts w:ascii="Calibri" w:hAnsi="Calibri"/>
          <w:b/>
          <w:color w:val="172126"/>
          <w:sz w:val="18"/>
        </w:rPr>
        <w:t xml:space="preserve">Ollama on 11434 with no authentication. </w:t>
      </w:r>
      <w:r>
        <w:rPr>
          <w:rFonts w:ascii="Georgia" w:hAnsi="Georgia"/>
          <w:color w:val="526068"/>
          <w:sz w:val="18"/>
        </w:rPr>
        <w:t>Bound to every interface. Filtered at the provider edge today, so not reachable from the internet — but the only thing between it and the world is a rule in a console nobody on the team can see.</w:t>
      </w:r>
    </w:p>
    <w:p>
      <w:pPr>
        <w:spacing w:after="4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9878"/>
      </w:tblGrid>
      <w:tr>
        <w:tc>
          <w:tcPr>
            <w:tcW w:type="dxa" w:w="9878"/>
            <w:shd w:val="clear" w:fill="FBF0E0"/>
          </w:tcPr>
          <w:p>
            <w:r/>
            <w:r>
              <w:rPr>
                <w:rFonts w:ascii="Calibri" w:hAnsi="Calibri"/>
                <w:b/>
                <w:color w:val="A56000"/>
                <w:sz w:val="14"/>
              </w:rPr>
              <w:t>A CORRECTION TO AN EARLIER CLAIM</w:t>
            </w:r>
          </w:p>
          <w:p>
            <w:pPr>
              <w:spacing w:before="60" w:line="302" w:lineRule="auto"/>
            </w:pPr>
            <w:r>
              <w:rPr>
                <w:rFonts w:ascii="Georgia" w:hAnsi="Georgia"/>
                <w:color w:val="172126"/>
                <w:sz w:val="18"/>
              </w:rPr>
              <w:t>During the engagement I reported that nine services were reachable from the internet. They are not. That came from curling 127.0.0.1 on the server, which proves a service is bound to all interfaces and says nothing about who can reach it. Testing from outside, with 22/80/443 as controls, showed everything else filtered. The hardening is still worth doing as a second layer; it is not the emergency I first described.</w:t>
            </w:r>
          </w:p>
        </w:tc>
      </w:tr>
    </w:tbl>
    <w:p>
      <w:pPr>
        <w:spacing w:after="60"/>
      </w:pPr>
    </w:p>
    <w:p>
      <w:r>
        <w:br w:type="page"/>
      </w:r>
    </w:p>
    <w:p>
      <w:pPr>
        <w:spacing w:before="0" w:after="60" w:line="312" w:lineRule="auto"/>
      </w:pPr>
      <w:r>
        <w:rPr>
          <w:rFonts w:ascii="Consolas" w:hAnsi="Consolas"/>
          <w:b/>
          <w:color w:val="087E75"/>
          <w:sz w:val="15"/>
        </w:rPr>
        <w:t>SECTION 3</w:t>
      </w:r>
    </w:p>
    <w:p>
      <w:pPr>
        <w:spacing w:before="0" w:after="160" w:line="252" w:lineRule="auto"/>
      </w:pPr>
      <w:r>
        <w:rPr>
          <w:rFonts w:ascii="Georgia" w:hAnsi="Georgia"/>
          <w:b/>
          <w:color w:val="172126"/>
          <w:sz w:val="38"/>
        </w:rPr>
        <w:t>The AI workstream</w:t>
      </w:r>
    </w:p>
    <w:p>
      <w:pPr>
        <w:spacing w:before="0" w:after="200" w:line="312" w:lineRule="auto"/>
      </w:pPr>
      <w:r>
        <w:rPr>
          <w:rFonts w:ascii="Georgia" w:hAnsi="Georgia"/>
          <w:b w:val="0"/>
          <w:color w:val="526068"/>
          <w:sz w:val="21"/>
        </w:rPr>
        <w:t>Seven assigned items. Five were substantially built before this engagement; the work was determining which were wired and which only looked it.</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469"/>
        <w:gridCol w:w="2469"/>
        <w:gridCol w:w="2469"/>
        <w:gridCol w:w="2469"/>
      </w:tblGrid>
      <w:tr>
        <w:tc>
          <w:tcPr>
            <w:tcW w:type="dxa" w:w="432"/>
            <w:shd w:val="clear" w:fill="F0F3F4"/>
          </w:tcPr>
          <w:p>
            <w:r/>
            <w:r>
              <w:rPr>
                <w:rFonts w:ascii="Calibri" w:hAnsi="Calibri"/>
                <w:b/>
                <w:color w:val="667279"/>
                <w:sz w:val="14"/>
              </w:rPr>
              <w:t>#</w:t>
            </w:r>
          </w:p>
        </w:tc>
        <w:tc>
          <w:tcPr>
            <w:tcW w:type="dxa" w:w="2448"/>
            <w:shd w:val="clear" w:fill="F0F3F4"/>
          </w:tcPr>
          <w:p>
            <w:r/>
            <w:r>
              <w:rPr>
                <w:rFonts w:ascii="Calibri" w:hAnsi="Calibri"/>
                <w:b/>
                <w:color w:val="667279"/>
                <w:sz w:val="14"/>
              </w:rPr>
              <w:t>ITEM</w:t>
            </w:r>
          </w:p>
        </w:tc>
        <w:tc>
          <w:tcPr>
            <w:tcW w:type="dxa" w:w="864"/>
            <w:shd w:val="clear" w:fill="F0F3F4"/>
          </w:tcPr>
          <w:p>
            <w:r/>
            <w:r>
              <w:rPr>
                <w:rFonts w:ascii="Calibri" w:hAnsi="Calibri"/>
                <w:b/>
                <w:color w:val="667279"/>
                <w:sz w:val="14"/>
              </w:rPr>
              <w:t>STATUS</w:t>
            </w:r>
          </w:p>
        </w:tc>
        <w:tc>
          <w:tcPr>
            <w:tcW w:type="dxa" w:w="5184"/>
            <w:shd w:val="clear" w:fill="F0F3F4"/>
          </w:tcPr>
          <w:p>
            <w:r/>
            <w:r>
              <w:rPr>
                <w:rFonts w:ascii="Calibri" w:hAnsi="Calibri"/>
                <w:b/>
                <w:color w:val="667279"/>
                <w:sz w:val="14"/>
              </w:rPr>
              <w:t>POSITION</w:t>
            </w:r>
          </w:p>
        </w:tc>
      </w:tr>
      <w:tr>
        <w:tc>
          <w:tcPr>
            <w:tcW w:type="dxa" w:w="432"/>
          </w:tcPr>
          <w:p>
            <w:pPr>
              <w:spacing w:line="283" w:lineRule="auto" w:after="20"/>
            </w:pPr>
            <w:r/>
            <w:r>
              <w:rPr>
                <w:rFonts w:ascii="Calibri" w:hAnsi="Calibri"/>
                <w:b/>
                <w:color w:val="172126"/>
                <w:sz w:val="16"/>
              </w:rPr>
              <w:t>1</w:t>
            </w:r>
          </w:p>
        </w:tc>
        <w:tc>
          <w:tcPr>
            <w:tcW w:type="dxa" w:w="2448"/>
          </w:tcPr>
          <w:p>
            <w:pPr>
              <w:spacing w:line="283" w:lineRule="auto" w:after="20"/>
            </w:pPr>
            <w:r/>
            <w:r>
              <w:rPr>
                <w:rFonts w:ascii="Calibri" w:hAnsi="Calibri"/>
                <w:b w:val="0"/>
                <w:color w:val="526068"/>
                <w:sz w:val="16"/>
              </w:rPr>
              <w:t>Inventory every AI capability</w:t>
            </w:r>
          </w:p>
        </w:tc>
        <w:tc>
          <w:tcPr>
            <w:tcW w:type="dxa" w:w="864"/>
            <w:shd w:val="clear" w:fill="E6F3F1"/>
          </w:tcPr>
          <w:p>
            <w:pPr>
              <w:spacing w:line="283" w:lineRule="auto" w:after="20"/>
            </w:pPr>
            <w:r/>
            <w:r>
              <w:rPr>
                <w:rFonts w:ascii="Calibri" w:hAnsi="Calibri"/>
                <w:b/>
                <w:color w:val="087E75"/>
                <w:sz w:val="16"/>
              </w:rPr>
              <w:t>Fixed</w:t>
            </w:r>
          </w:p>
        </w:tc>
        <w:tc>
          <w:tcPr>
            <w:tcW w:type="dxa" w:w="5184"/>
          </w:tcPr>
          <w:p>
            <w:pPr>
              <w:spacing w:line="283" w:lineRule="auto" w:after="20"/>
            </w:pPr>
            <w:r/>
            <w:r>
              <w:rPr>
                <w:rFonts w:ascii="Calibri" w:hAnsi="Calibri"/>
                <w:b w:val="0"/>
                <w:color w:val="526068"/>
                <w:sz w:val="16"/>
              </w:rPr>
              <w:t>23 task types, 4 provider call sites held as a closed list by test</w:t>
            </w:r>
          </w:p>
        </w:tc>
      </w:tr>
      <w:tr>
        <w:tc>
          <w:tcPr>
            <w:tcW w:type="dxa" w:w="432"/>
          </w:tcPr>
          <w:p>
            <w:pPr>
              <w:spacing w:line="283" w:lineRule="auto" w:after="20"/>
            </w:pPr>
            <w:r/>
            <w:r>
              <w:rPr>
                <w:rFonts w:ascii="Calibri" w:hAnsi="Calibri"/>
                <w:b/>
                <w:color w:val="172126"/>
                <w:sz w:val="16"/>
              </w:rPr>
              <w:t>2</w:t>
            </w:r>
          </w:p>
        </w:tc>
        <w:tc>
          <w:tcPr>
            <w:tcW w:type="dxa" w:w="2448"/>
          </w:tcPr>
          <w:p>
            <w:pPr>
              <w:spacing w:line="283" w:lineRule="auto" w:after="20"/>
            </w:pPr>
            <w:r/>
            <w:r>
              <w:rPr>
                <w:rFonts w:ascii="Calibri" w:hAnsi="Calibri"/>
                <w:b w:val="0"/>
                <w:color w:val="526068"/>
                <w:sz w:val="16"/>
              </w:rPr>
              <w:t>Shared AI service architecture</w:t>
            </w:r>
          </w:p>
        </w:tc>
        <w:tc>
          <w:tcPr>
            <w:tcW w:type="dxa" w:w="864"/>
            <w:shd w:val="clear" w:fill="E6F3F1"/>
          </w:tcPr>
          <w:p>
            <w:pPr>
              <w:spacing w:line="283" w:lineRule="auto" w:after="20"/>
            </w:pPr>
            <w:r/>
            <w:r>
              <w:rPr>
                <w:rFonts w:ascii="Calibri" w:hAnsi="Calibri"/>
                <w:b/>
                <w:color w:val="087E75"/>
                <w:sz w:val="16"/>
              </w:rPr>
              <w:t>Fixed</w:t>
            </w:r>
          </w:p>
        </w:tc>
        <w:tc>
          <w:tcPr>
            <w:tcW w:type="dxa" w:w="5184"/>
          </w:tcPr>
          <w:p>
            <w:pPr>
              <w:spacing w:line="283" w:lineRule="auto" w:after="20"/>
            </w:pPr>
            <w:r/>
            <w:r>
              <w:rPr>
                <w:rFonts w:ascii="Calibri" w:hAnsi="Calibri"/>
                <w:b w:val="0"/>
                <w:color w:val="526068"/>
                <w:sz w:val="16"/>
              </w:rPr>
              <w:t>Already built and enforced: stateless worker, no DB, propose→review→apply</w:t>
            </w:r>
          </w:p>
        </w:tc>
      </w:tr>
      <w:tr>
        <w:tc>
          <w:tcPr>
            <w:tcW w:type="dxa" w:w="432"/>
          </w:tcPr>
          <w:p>
            <w:pPr>
              <w:spacing w:line="283" w:lineRule="auto" w:after="20"/>
            </w:pPr>
            <w:r/>
            <w:r>
              <w:rPr>
                <w:rFonts w:ascii="Calibri" w:hAnsi="Calibri"/>
                <w:b/>
                <w:color w:val="172126"/>
                <w:sz w:val="16"/>
              </w:rPr>
              <w:t>3</w:t>
            </w:r>
          </w:p>
        </w:tc>
        <w:tc>
          <w:tcPr>
            <w:tcW w:type="dxa" w:w="2448"/>
          </w:tcPr>
          <w:p>
            <w:pPr>
              <w:spacing w:line="283" w:lineRule="auto" w:after="20"/>
            </w:pPr>
            <w:r/>
            <w:r>
              <w:rPr>
                <w:rFonts w:ascii="Calibri" w:hAnsi="Calibri"/>
                <w:b w:val="0"/>
                <w:color w:val="526068"/>
                <w:sz w:val="16"/>
              </w:rPr>
              <w:t>Model routing and fallback</w:t>
            </w:r>
          </w:p>
        </w:tc>
        <w:tc>
          <w:tcPr>
            <w:tcW w:type="dxa" w:w="864"/>
            <w:shd w:val="clear" w:fill="FBF0E0"/>
          </w:tcPr>
          <w:p>
            <w:pPr>
              <w:spacing w:line="283" w:lineRule="auto" w:after="20"/>
            </w:pPr>
            <w:r/>
            <w:r>
              <w:rPr>
                <w:rFonts w:ascii="Calibri" w:hAnsi="Calibri"/>
                <w:b/>
                <w:color w:val="A56000"/>
                <w:sz w:val="16"/>
              </w:rPr>
              <w:t>Open</w:t>
            </w:r>
          </w:p>
        </w:tc>
        <w:tc>
          <w:tcPr>
            <w:tcW w:type="dxa" w:w="5184"/>
          </w:tcPr>
          <w:p>
            <w:pPr>
              <w:spacing w:line="283" w:lineRule="auto" w:after="20"/>
            </w:pPr>
            <w:r/>
            <w:r>
              <w:rPr>
                <w:rFonts w:ascii="Calibri" w:hAnsi="Calibri"/>
                <w:b w:val="0"/>
                <w:color w:val="526068"/>
                <w:sz w:val="16"/>
              </w:rPr>
              <w:t>Routing complete. Fallback is retry-only — no re-route, no provider fallback, no degraded mode</w:t>
            </w:r>
          </w:p>
        </w:tc>
      </w:tr>
      <w:tr>
        <w:tc>
          <w:tcPr>
            <w:tcW w:type="dxa" w:w="432"/>
          </w:tcPr>
          <w:p>
            <w:pPr>
              <w:spacing w:line="283" w:lineRule="auto" w:after="20"/>
            </w:pPr>
            <w:r/>
            <w:r>
              <w:rPr>
                <w:rFonts w:ascii="Calibri" w:hAnsi="Calibri"/>
                <w:b/>
                <w:color w:val="172126"/>
                <w:sz w:val="16"/>
              </w:rPr>
              <w:t>4</w:t>
            </w:r>
          </w:p>
        </w:tc>
        <w:tc>
          <w:tcPr>
            <w:tcW w:type="dxa" w:w="2448"/>
          </w:tcPr>
          <w:p>
            <w:pPr>
              <w:spacing w:line="283" w:lineRule="auto" w:after="20"/>
            </w:pPr>
            <w:r/>
            <w:r>
              <w:rPr>
                <w:rFonts w:ascii="Calibri" w:hAnsi="Calibri"/>
                <w:b w:val="0"/>
                <w:color w:val="526068"/>
                <w:sz w:val="16"/>
              </w:rPr>
              <w:t>Prompt registry</w:t>
            </w:r>
          </w:p>
        </w:tc>
        <w:tc>
          <w:tcPr>
            <w:tcW w:type="dxa" w:w="864"/>
            <w:shd w:val="clear" w:fill="E6F3F1"/>
          </w:tcPr>
          <w:p>
            <w:pPr>
              <w:spacing w:line="283" w:lineRule="auto" w:after="20"/>
            </w:pPr>
            <w:r/>
            <w:r>
              <w:rPr>
                <w:rFonts w:ascii="Calibri" w:hAnsi="Calibri"/>
                <w:b/>
                <w:color w:val="087E75"/>
                <w:sz w:val="16"/>
              </w:rPr>
              <w:t>Fixed</w:t>
            </w:r>
          </w:p>
        </w:tc>
        <w:tc>
          <w:tcPr>
            <w:tcW w:type="dxa" w:w="5184"/>
          </w:tcPr>
          <w:p>
            <w:pPr>
              <w:spacing w:line="283" w:lineRule="auto" w:after="20"/>
            </w:pPr>
            <w:r/>
            <w:r>
              <w:rPr>
                <w:rFonts w:ascii="Calibri" w:hAnsi="Calibri"/>
                <w:b w:val="0"/>
                <w:color w:val="526068"/>
                <w:sz w:val="16"/>
              </w:rPr>
              <w:t>Existed unwired. Now 412 of 412 ledger rows carry a prompt reference</w:t>
            </w:r>
          </w:p>
        </w:tc>
      </w:tr>
      <w:tr>
        <w:tc>
          <w:tcPr>
            <w:tcW w:type="dxa" w:w="432"/>
          </w:tcPr>
          <w:p>
            <w:pPr>
              <w:spacing w:line="283" w:lineRule="auto" w:after="20"/>
            </w:pPr>
            <w:r/>
            <w:r>
              <w:rPr>
                <w:rFonts w:ascii="Calibri" w:hAnsi="Calibri"/>
                <w:b/>
                <w:color w:val="172126"/>
                <w:sz w:val="16"/>
              </w:rPr>
              <w:t>5</w:t>
            </w:r>
          </w:p>
        </w:tc>
        <w:tc>
          <w:tcPr>
            <w:tcW w:type="dxa" w:w="2448"/>
          </w:tcPr>
          <w:p>
            <w:pPr>
              <w:spacing w:line="283" w:lineRule="auto" w:after="20"/>
            </w:pPr>
            <w:r/>
            <w:r>
              <w:rPr>
                <w:rFonts w:ascii="Calibri" w:hAnsi="Calibri"/>
                <w:b w:val="0"/>
                <w:color w:val="526068"/>
                <w:sz w:val="16"/>
              </w:rPr>
              <w:t>RAG and context architecture</w:t>
            </w:r>
          </w:p>
        </w:tc>
        <w:tc>
          <w:tcPr>
            <w:tcW w:type="dxa" w:w="864"/>
            <w:shd w:val="clear" w:fill="E6F3F1"/>
          </w:tcPr>
          <w:p>
            <w:pPr>
              <w:spacing w:line="283" w:lineRule="auto" w:after="20"/>
            </w:pPr>
            <w:r/>
            <w:r>
              <w:rPr>
                <w:rFonts w:ascii="Calibri" w:hAnsi="Calibri"/>
                <w:b/>
                <w:color w:val="087E75"/>
                <w:sz w:val="16"/>
              </w:rPr>
              <w:t>Fixed</w:t>
            </w:r>
          </w:p>
        </w:tc>
        <w:tc>
          <w:tcPr>
            <w:tcW w:type="dxa" w:w="5184"/>
          </w:tcPr>
          <w:p>
            <w:pPr>
              <w:spacing w:line="283" w:lineRule="auto" w:after="20"/>
            </w:pPr>
            <w:r/>
            <w:r>
              <w:rPr>
                <w:rFonts w:ascii="Calibri" w:hAnsi="Calibri"/>
                <w:b w:val="0"/>
                <w:color w:val="526068"/>
                <w:sz w:val="16"/>
              </w:rPr>
              <w:t>Written and never called. Now connected on both paths and backfilled</w:t>
            </w:r>
          </w:p>
        </w:tc>
      </w:tr>
      <w:tr>
        <w:tc>
          <w:tcPr>
            <w:tcW w:type="dxa" w:w="432"/>
          </w:tcPr>
          <w:p>
            <w:pPr>
              <w:spacing w:line="283" w:lineRule="auto" w:after="20"/>
            </w:pPr>
            <w:r/>
            <w:r>
              <w:rPr>
                <w:rFonts w:ascii="Calibri" w:hAnsi="Calibri"/>
                <w:b/>
                <w:color w:val="172126"/>
                <w:sz w:val="16"/>
              </w:rPr>
              <w:t>6</w:t>
            </w:r>
          </w:p>
        </w:tc>
        <w:tc>
          <w:tcPr>
            <w:tcW w:type="dxa" w:w="2448"/>
          </w:tcPr>
          <w:p>
            <w:pPr>
              <w:spacing w:line="283" w:lineRule="auto" w:after="20"/>
            </w:pPr>
            <w:r/>
            <w:r>
              <w:rPr>
                <w:rFonts w:ascii="Calibri" w:hAnsi="Calibri"/>
                <w:b w:val="0"/>
                <w:color w:val="526068"/>
                <w:sz w:val="16"/>
              </w:rPr>
              <w:t>Usage, token and cost tracking</w:t>
            </w:r>
          </w:p>
        </w:tc>
        <w:tc>
          <w:tcPr>
            <w:tcW w:type="dxa" w:w="864"/>
            <w:shd w:val="clear" w:fill="E6F3F1"/>
          </w:tcPr>
          <w:p>
            <w:pPr>
              <w:spacing w:line="283" w:lineRule="auto" w:after="20"/>
            </w:pPr>
            <w:r/>
            <w:r>
              <w:rPr>
                <w:rFonts w:ascii="Calibri" w:hAnsi="Calibri"/>
                <w:b/>
                <w:color w:val="087E75"/>
                <w:sz w:val="16"/>
              </w:rPr>
              <w:t>Fixed</w:t>
            </w:r>
          </w:p>
        </w:tc>
        <w:tc>
          <w:tcPr>
            <w:tcW w:type="dxa" w:w="5184"/>
          </w:tcPr>
          <w:p>
            <w:pPr>
              <w:spacing w:line="283" w:lineRule="auto" w:after="20"/>
            </w:pPr>
            <w:r/>
            <w:r>
              <w:rPr>
                <w:rFonts w:ascii="Calibri" w:hAnsi="Calibri"/>
                <w:b w:val="0"/>
                <w:color w:val="526068"/>
                <w:sz w:val="16"/>
              </w:rPr>
              <w:t>Was a literal. Now measured, including traffic it never saw</w:t>
            </w:r>
          </w:p>
        </w:tc>
      </w:tr>
      <w:tr>
        <w:tc>
          <w:tcPr>
            <w:tcW w:type="dxa" w:w="432"/>
          </w:tcPr>
          <w:p>
            <w:pPr>
              <w:spacing w:line="283" w:lineRule="auto" w:after="20"/>
            </w:pPr>
            <w:r/>
            <w:r>
              <w:rPr>
                <w:rFonts w:ascii="Calibri" w:hAnsi="Calibri"/>
                <w:b/>
                <w:color w:val="172126"/>
                <w:sz w:val="16"/>
              </w:rPr>
              <w:t>7</w:t>
            </w:r>
          </w:p>
        </w:tc>
        <w:tc>
          <w:tcPr>
            <w:tcW w:type="dxa" w:w="2448"/>
          </w:tcPr>
          <w:p>
            <w:pPr>
              <w:spacing w:line="283" w:lineRule="auto" w:after="20"/>
            </w:pPr>
            <w:r/>
            <w:r>
              <w:rPr>
                <w:rFonts w:ascii="Calibri" w:hAnsi="Calibri"/>
                <w:b w:val="0"/>
                <w:color w:val="526068"/>
                <w:sz w:val="16"/>
              </w:rPr>
              <w:t>AI evaluation framework</w:t>
            </w:r>
          </w:p>
        </w:tc>
        <w:tc>
          <w:tcPr>
            <w:tcW w:type="dxa" w:w="864"/>
            <w:shd w:val="clear" w:fill="FBF0E0"/>
          </w:tcPr>
          <w:p>
            <w:pPr>
              <w:spacing w:line="283" w:lineRule="auto" w:after="20"/>
            </w:pPr>
            <w:r/>
            <w:r>
              <w:rPr>
                <w:rFonts w:ascii="Calibri" w:hAnsi="Calibri"/>
                <w:b/>
                <w:color w:val="A56000"/>
                <w:sz w:val="16"/>
              </w:rPr>
              <w:t>Open</w:t>
            </w:r>
          </w:p>
        </w:tc>
        <w:tc>
          <w:tcPr>
            <w:tcW w:type="dxa" w:w="5184"/>
          </w:tcPr>
          <w:p>
            <w:pPr>
              <w:spacing w:line="283" w:lineRule="auto" w:after="20"/>
            </w:pPr>
            <w:r/>
            <w:r>
              <w:rPr>
                <w:rFonts w:ascii="Calibri" w:hAnsi="Calibri"/>
                <w:b w:val="0"/>
                <w:color w:val="526068"/>
                <w:sz w:val="16"/>
              </w:rPr>
              <w:t>Deterministic half built and gating. Extraction blocked on a golden project</w:t>
            </w:r>
          </w:p>
        </w:tc>
      </w:tr>
    </w:tbl>
    <w:p>
      <w:pPr>
        <w:spacing w:after="60"/>
      </w:pPr>
    </w:p>
    <w:p>
      <w:pPr>
        <w:spacing w:before="260" w:after="80" w:line="312" w:lineRule="auto"/>
      </w:pPr>
      <w:r>
        <w:rPr>
          <w:rFonts w:ascii="Calibri" w:hAnsi="Calibri"/>
          <w:b/>
          <w:color w:val="172126"/>
          <w:sz w:val="22"/>
        </w:rPr>
        <w:t>3.1  Item 7 is blocked on the Product workstream, not this one</w:t>
      </w:r>
    </w:p>
    <w:p>
      <w:pPr>
        <w:spacing w:before="0" w:after="140" w:line="312" w:lineRule="auto"/>
      </w:pPr>
      <w:r>
        <w:rPr>
          <w:rFonts w:ascii="Georgia" w:hAnsi="Georgia"/>
          <w:b w:val="0"/>
          <w:color w:val="526068"/>
          <w:sz w:val="19"/>
        </w:rPr>
        <w:t>Extraction accuracy, BOQ completeness and schedule correctness need a golden project with known-correct answers to score against. That fixture does not exist and is listed on the Product workstream as 'Establish golden end-to-end project'. The harness is written and waiting for data.</w:t>
      </w:r>
    </w:p>
    <w:p>
      <w:pPr>
        <w:spacing w:before="0" w:after="140" w:line="312" w:lineRule="auto"/>
      </w:pPr>
      <w:r>
        <w:rPr>
          <w:rFonts w:ascii="Georgia" w:hAnsi="Georgia"/>
          <w:b w:val="0"/>
          <w:color w:val="526068"/>
          <w:sz w:val="19"/>
        </w:rPr>
        <w:t>That same blockage holds the routing correction. Eighteen of twenty-three task types default to the frontier tier, against the platform's own rule that frontier is an escalation path rather than a default. Re-routing changes what the models return, and without extraction scoring there is no way to know whether quality held. The deviation is recorded as a formal exception with an owner, an expiry and a compensating control — per-attempt cost is metered and visible per task type, so the price of the deviation is measured while it stands.</w:t>
      </w:r>
    </w:p>
    <w:p>
      <w:r>
        <w:br w:type="page"/>
      </w:r>
    </w:p>
    <w:p>
      <w:pPr>
        <w:spacing w:before="0" w:after="60" w:line="312" w:lineRule="auto"/>
      </w:pPr>
      <w:r>
        <w:rPr>
          <w:rFonts w:ascii="Consolas" w:hAnsi="Consolas"/>
          <w:b/>
          <w:color w:val="087E75"/>
          <w:sz w:val="15"/>
        </w:rPr>
        <w:t>SECTION 4</w:t>
      </w:r>
    </w:p>
    <w:p>
      <w:pPr>
        <w:spacing w:before="0" w:after="160" w:line="252" w:lineRule="auto"/>
      </w:pPr>
      <w:r>
        <w:rPr>
          <w:rFonts w:ascii="Georgia" w:hAnsi="Georgia"/>
          <w:b/>
          <w:color w:val="172126"/>
          <w:sz w:val="38"/>
        </w:rPr>
        <w:t>Data integrity</w:t>
      </w:r>
    </w:p>
    <w:p>
      <w:pPr>
        <w:spacing w:before="0" w:after="200" w:line="312" w:lineRule="auto"/>
      </w:pPr>
      <w:r>
        <w:rPr>
          <w:rFonts w:ascii="Georgia" w:hAnsi="Georgia"/>
          <w:b w:val="0"/>
          <w:color w:val="526068"/>
          <w:sz w:val="21"/>
        </w:rPr>
        <w:t>The findings here are the ones a customer would eventually have found for us.</w:t>
      </w:r>
    </w:p>
    <w:p>
      <w:pPr>
        <w:spacing w:before="260" w:after="80" w:line="312" w:lineRule="auto"/>
      </w:pPr>
      <w:r>
        <w:rPr>
          <w:rFonts w:ascii="Calibri" w:hAnsi="Calibri"/>
          <w:b/>
          <w:color w:val="172126"/>
          <w:sz w:val="22"/>
        </w:rPr>
        <w:t>4.1  The cost system was reporting a literal</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878"/>
      </w:tblGrid>
      <w:tr>
        <w:tc>
          <w:tcPr>
            <w:tcW w:type="dxa" w:w="9878"/>
            <w:shd w:val="clear" w:fill="F5F7F8"/>
          </w:tcPr>
          <w:p>
            <w:pPr>
              <w:spacing w:line="293" w:lineRule="auto"/>
            </w:pPr>
            <w:r/>
            <w:r>
              <w:rPr>
                <w:rFonts w:ascii="Consolas" w:hAnsi="Consolas"/>
                <w:color w:val="172126"/>
                <w:sz w:val="17"/>
              </w:rPr>
              <w:t>worker/src/agents.mjs, before:</w:t>
              <w:br/>
              <w:t xml:space="preserve">  { model: …, input_tokens: 500, output_tokens: 120, cost_minor: 8 }</w:t>
            </w:r>
          </w:p>
        </w:tc>
      </w:tr>
    </w:tbl>
    <w:p>
      <w:pPr>
        <w:spacing w:after="40"/>
      </w:pPr>
    </w:p>
    <w:p>
      <w:pPr>
        <w:spacing w:before="0" w:after="140" w:line="312" w:lineRule="auto"/>
      </w:pPr>
      <w:r>
        <w:rPr>
          <w:rFonts w:ascii="Georgia" w:hAnsi="Georgia"/>
          <w:b w:val="0"/>
          <w:color w:val="526068"/>
          <w:sz w:val="19"/>
        </w:rPr>
        <w:t>Three constants, returned for every job of every type. The ledger, the Admin usage page and every budget check were reading a number nobody had measured. On the live workspace it showed as an identical 250 in / 60 out on every row across six task types — a copilot answer and a bill derivation cannot cost the same to the cent.</w:t>
      </w:r>
    </w:p>
    <w:p>
      <w:pPr>
        <w:spacing w:before="0" w:after="140" w:line="312" w:lineRule="auto"/>
      </w:pPr>
      <w:r>
        <w:rPr>
          <w:rFonts w:ascii="Georgia" w:hAnsi="Georgia"/>
          <w:b w:val="0"/>
          <w:color w:val="526068"/>
          <w:sz w:val="19"/>
        </w:rPr>
        <w:t>The provider returns real counts on every response; the worker parsed the content and discarded the usage block. Metering is now an accumulator scoped to the job, so several calls in one job total correctly under concurrency, and cache reads and writes are counted as the input they are.</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878"/>
      </w:tblGrid>
      <w:tr>
        <w:tc>
          <w:tcPr>
            <w:tcW w:type="dxa" w:w="9878"/>
            <w:shd w:val="clear" w:fill="F5F7F8"/>
          </w:tcPr>
          <w:p>
            <w:pPr>
              <w:spacing w:line="293" w:lineRule="auto"/>
            </w:pPr>
            <w:r/>
            <w:r>
              <w:rPr>
                <w:rFonts w:ascii="Consolas" w:hAnsi="Consolas"/>
                <w:color w:val="172126"/>
                <w:sz w:val="17"/>
              </w:rPr>
              <w:t>after, two real calls:</w:t>
              <w:br/>
              <w:t xml:space="preserve">   9,517 in /  398 out  -&gt;  6 minor</w:t>
              <w:br/>
              <w:t xml:space="preserve">   4,409 in /  100 out  -&gt;  3 minor</w:t>
              <w:br/>
              <w:t>production, post-deploy:</w:t>
              <w:br/>
              <w:t xml:space="preserve">  18,940 in / 1,337 out -&gt; 13 minor</w:t>
            </w:r>
          </w:p>
        </w:tc>
      </w:tr>
    </w:tbl>
    <w:p>
      <w:pPr>
        <w:spacing w:after="40"/>
      </w:pPr>
    </w:p>
    <w:p>
      <w:pPr>
        <w:spacing w:before="260" w:after="80" w:line="312" w:lineRule="auto"/>
      </w:pPr>
      <w:r>
        <w:rPr>
          <w:rFonts w:ascii="Calibri" w:hAnsi="Calibri"/>
          <w:b/>
          <w:color w:val="172126"/>
          <w:sz w:val="22"/>
        </w:rPr>
        <w:t>4.2  The most expensive traffic never reached the ledger</w:t>
      </w:r>
    </w:p>
    <w:p>
      <w:pPr>
        <w:spacing w:before="0" w:after="140" w:line="312" w:lineRule="auto"/>
      </w:pPr>
      <w:r>
        <w:rPr>
          <w:rFonts w:ascii="Georgia" w:hAnsi="Georgia"/>
          <w:b w:val="0"/>
          <w:color w:val="526068"/>
          <w:sz w:val="19"/>
        </w:rPr>
        <w:t>Four files reach the model provider. Three sit inside the job runner and each recorded what it spent. The fourth is the proxy the drawing and BIM assistants use, and it recorded nothing — it cannot, because the worker holds the provider credential precisely so that it holds nothing else, and a process with no database cannot append to a ledger.</w:t>
      </w:r>
    </w:p>
    <w:p>
      <w:pPr>
        <w:spacing w:before="0" w:after="140" w:line="312" w:lineRule="auto"/>
      </w:pPr>
      <w:r>
        <w:rPr>
          <w:rFonts w:ascii="Georgia" w:hAnsi="Georgia"/>
          <w:b w:val="0"/>
          <w:color w:val="526068"/>
          <w:sz w:val="19"/>
        </w:rPr>
        <w:t>So the spend of three routes running multi-turn agentic loops with tool calls and a vision pre-pass — the most expensive shape of request the product makes — never appeared in usage or cost. 'Spent this month' was answering a narrower question than it appeared to.</w:t>
      </w:r>
    </w:p>
    <w:p>
      <w:pPr>
        <w:spacing w:before="0" w:after="140" w:line="312" w:lineRule="auto"/>
      </w:pPr>
      <w:r>
        <w:rPr>
          <w:rFonts w:ascii="Georgia" w:hAnsi="Georgia"/>
          <w:b w:val="0"/>
          <w:color w:val="526068"/>
          <w:sz w:val="19"/>
        </w:rPr>
        <w:t>Core now meters the proxy from its own side, one row per turn, recorded before the error path so a failed turn still accounts for the tokens it spent. A test holds the four call sites as a closed list: a fifth fails until somebody decides how its usage reaches the ledger.</w:t>
      </w:r>
    </w:p>
    <w:p>
      <w:pPr>
        <w:spacing w:before="260" w:after="80" w:line="312" w:lineRule="auto"/>
      </w:pPr>
      <w:r>
        <w:rPr>
          <w:rFonts w:ascii="Calibri" w:hAnsi="Calibri"/>
          <w:b/>
          <w:color w:val="172126"/>
          <w:sz w:val="22"/>
        </w:rPr>
        <w:t>4.3  Where the money actually goes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293"/>
        <w:gridCol w:w="3293"/>
        <w:gridCol w:w="3293"/>
      </w:tblGrid>
      <w:tr>
        <w:tc>
          <w:tcPr>
            <w:tcW w:type="dxa" w:w="3024"/>
            <w:shd w:val="clear" w:fill="F0F3F4"/>
          </w:tcPr>
          <w:p>
            <w:r/>
            <w:r>
              <w:rPr>
                <w:rFonts w:ascii="Calibri" w:hAnsi="Calibri"/>
                <w:b/>
                <w:color w:val="667279"/>
                <w:sz w:val="14"/>
              </w:rPr>
              <w:t>MEASURE</w:t>
            </w:r>
          </w:p>
        </w:tc>
        <w:tc>
          <w:tcPr>
            <w:tcW w:type="dxa" w:w="1440"/>
            <w:shd w:val="clear" w:fill="F0F3F4"/>
          </w:tcPr>
          <w:p>
            <w:r/>
            <w:r>
              <w:rPr>
                <w:rFonts w:ascii="Calibri" w:hAnsi="Calibri"/>
                <w:b/>
                <w:color w:val="667279"/>
                <w:sz w:val="14"/>
              </w:rPr>
              <w:t>VALUE</w:t>
            </w:r>
          </w:p>
        </w:tc>
        <w:tc>
          <w:tcPr>
            <w:tcW w:type="dxa" w:w="4464"/>
            <w:shd w:val="clear" w:fill="F0F3F4"/>
          </w:tcPr>
          <w:p>
            <w:r/>
            <w:r>
              <w:rPr>
                <w:rFonts w:ascii="Calibri" w:hAnsi="Calibri"/>
                <w:b/>
                <w:color w:val="667279"/>
                <w:sz w:val="14"/>
              </w:rPr>
              <w:t>READING</w:t>
            </w:r>
          </w:p>
        </w:tc>
      </w:tr>
      <w:tr>
        <w:tc>
          <w:tcPr>
            <w:tcW w:type="dxa" w:w="3024"/>
          </w:tcPr>
          <w:p>
            <w:pPr>
              <w:spacing w:line="283" w:lineRule="auto" w:after="20"/>
            </w:pPr>
            <w:r/>
            <w:r>
              <w:rPr>
                <w:rFonts w:ascii="Calibri" w:hAnsi="Calibri"/>
                <w:b/>
                <w:color w:val="172126"/>
                <w:sz w:val="16"/>
              </w:rPr>
              <w:t>Cost of one bill of quantities</w:t>
            </w:r>
          </w:p>
        </w:tc>
        <w:tc>
          <w:tcPr>
            <w:tcW w:type="dxa" w:w="1440"/>
          </w:tcPr>
          <w:p>
            <w:pPr>
              <w:spacing w:line="283" w:lineRule="auto" w:after="20"/>
            </w:pPr>
            <w:r/>
            <w:r>
              <w:rPr>
                <w:rFonts w:ascii="Calibri" w:hAnsi="Calibri"/>
                <w:b w:val="0"/>
                <w:color w:val="526068"/>
                <w:sz w:val="16"/>
              </w:rPr>
              <w:t>7.7¢</w:t>
            </w:r>
          </w:p>
        </w:tc>
        <w:tc>
          <w:tcPr>
            <w:tcW w:type="dxa" w:w="4464"/>
          </w:tcPr>
          <w:p>
            <w:pPr>
              <w:spacing w:line="283" w:lineRule="auto" w:after="20"/>
            </w:pPr>
            <w:r/>
            <w:r>
              <w:rPr>
                <w:rFonts w:ascii="Calibri" w:hAnsi="Calibri"/>
                <w:b w:val="0"/>
                <w:color w:val="526068"/>
                <w:sz w:val="16"/>
              </w:rPr>
              <w:t>Not a figure anyone needs to defend</w:t>
            </w:r>
          </w:p>
        </w:tc>
      </w:tr>
      <w:tr>
        <w:tc>
          <w:tcPr>
            <w:tcW w:type="dxa" w:w="3024"/>
          </w:tcPr>
          <w:p>
            <w:pPr>
              <w:spacing w:line="283" w:lineRule="auto" w:after="20"/>
            </w:pPr>
            <w:r/>
            <w:r>
              <w:rPr>
                <w:rFonts w:ascii="Calibri" w:hAnsi="Calibri"/>
                <w:b/>
                <w:color w:val="172126"/>
                <w:sz w:val="16"/>
              </w:rPr>
              <w:t>Input to output ratio</w:t>
            </w:r>
          </w:p>
        </w:tc>
        <w:tc>
          <w:tcPr>
            <w:tcW w:type="dxa" w:w="1440"/>
          </w:tcPr>
          <w:p>
            <w:pPr>
              <w:spacing w:line="283" w:lineRule="auto" w:after="20"/>
            </w:pPr>
            <w:r/>
            <w:r>
              <w:rPr>
                <w:rFonts w:ascii="Calibri" w:hAnsi="Calibri"/>
                <w:b w:val="0"/>
                <w:color w:val="526068"/>
                <w:sz w:val="16"/>
              </w:rPr>
              <w:t>44 : 1</w:t>
            </w:r>
          </w:p>
        </w:tc>
        <w:tc>
          <w:tcPr>
            <w:tcW w:type="dxa" w:w="4464"/>
          </w:tcPr>
          <w:p>
            <w:pPr>
              <w:spacing w:line="283" w:lineRule="auto" w:after="20"/>
            </w:pPr>
            <w:r/>
            <w:r>
              <w:rPr>
                <w:rFonts w:ascii="Calibri" w:hAnsi="Calibri"/>
                <w:b w:val="0"/>
                <w:color w:val="526068"/>
                <w:sz w:val="16"/>
              </w:rPr>
              <w:t>A reading workload. Output is a rounding error; input is the entire cost</w:t>
            </w:r>
          </w:p>
        </w:tc>
      </w:tr>
      <w:tr>
        <w:tc>
          <w:tcPr>
            <w:tcW w:type="dxa" w:w="3024"/>
          </w:tcPr>
          <w:p>
            <w:pPr>
              <w:spacing w:line="283" w:lineRule="auto" w:after="20"/>
            </w:pPr>
            <w:r/>
            <w:r>
              <w:rPr>
                <w:rFonts w:ascii="Calibri" w:hAnsi="Calibri"/>
                <w:b/>
                <w:color w:val="172126"/>
                <w:sz w:val="16"/>
              </w:rPr>
              <w:t>Prompt cache hits</w:t>
            </w:r>
          </w:p>
        </w:tc>
        <w:tc>
          <w:tcPr>
            <w:tcW w:type="dxa" w:w="1440"/>
          </w:tcPr>
          <w:p>
            <w:pPr>
              <w:spacing w:line="283" w:lineRule="auto" w:after="20"/>
            </w:pPr>
            <w:r/>
            <w:r>
              <w:rPr>
                <w:rFonts w:ascii="Calibri" w:hAnsi="Calibri"/>
                <w:b w:val="0"/>
                <w:color w:val="526068"/>
                <w:sz w:val="16"/>
              </w:rPr>
              <w:t>0 in 180 calls</w:t>
            </w:r>
          </w:p>
        </w:tc>
        <w:tc>
          <w:tcPr>
            <w:tcW w:type="dxa" w:w="4464"/>
          </w:tcPr>
          <w:p>
            <w:pPr>
              <w:spacing w:line="283" w:lineRule="auto" w:after="20"/>
            </w:pPr>
            <w:r/>
            <w:r>
              <w:rPr>
                <w:rFonts w:ascii="Calibri" w:hAnsi="Calibri"/>
                <w:b w:val="0"/>
                <w:color w:val="526068"/>
                <w:sz w:val="16"/>
              </w:rPr>
              <w:t>Caching is enabled and has never returned a token</w:t>
            </w:r>
          </w:p>
        </w:tc>
      </w:tr>
      <w:tr>
        <w:tc>
          <w:tcPr>
            <w:tcW w:type="dxa" w:w="3024"/>
          </w:tcPr>
          <w:p>
            <w:pPr>
              <w:spacing w:line="283" w:lineRule="auto" w:after="20"/>
            </w:pPr>
            <w:r/>
            <w:r>
              <w:rPr>
                <w:rFonts w:ascii="Calibri" w:hAnsi="Calibri"/>
                <w:b/>
                <w:color w:val="172126"/>
                <w:sz w:val="16"/>
              </w:rPr>
              <w:t>Common prefix between two calls</w:t>
            </w:r>
          </w:p>
        </w:tc>
        <w:tc>
          <w:tcPr>
            <w:tcW w:type="dxa" w:w="1440"/>
          </w:tcPr>
          <w:p>
            <w:pPr>
              <w:spacing w:line="283" w:lineRule="auto" w:after="20"/>
            </w:pPr>
            <w:r/>
            <w:r>
              <w:rPr>
                <w:rFonts w:ascii="Calibri" w:hAnsi="Calibri"/>
                <w:b w:val="0"/>
                <w:color w:val="526068"/>
                <w:sz w:val="16"/>
              </w:rPr>
              <w:t>12 characters</w:t>
            </w:r>
          </w:p>
        </w:tc>
        <w:tc>
          <w:tcPr>
            <w:tcW w:type="dxa" w:w="4464"/>
          </w:tcPr>
          <w:p>
            <w:pPr>
              <w:spacing w:line="283" w:lineRule="auto" w:after="20"/>
            </w:pPr>
            <w:r/>
            <w:r>
              <w:rPr>
                <w:rFonts w:ascii="Calibri" w:hAnsi="Calibri"/>
                <w:b w:val="0"/>
                <w:color w:val="526068"/>
                <w:sz w:val="16"/>
              </w:rPr>
              <w:t>The shared 9,000-character brief sits AFTER a per-specialist persona, so nothing can be reused</w:t>
            </w:r>
          </w:p>
        </w:tc>
      </w:tr>
    </w:tbl>
    <w:p>
      <w:pPr>
        <w:spacing w:after="6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9878"/>
      </w:tblGrid>
      <w:tr>
        <w:tc>
          <w:tcPr>
            <w:tcW w:type="dxa" w:w="9878"/>
            <w:shd w:val="clear" w:fill="FBF0E0"/>
          </w:tcPr>
          <w:p>
            <w:r/>
            <w:r>
              <w:rPr>
                <w:rFonts w:ascii="Calibri" w:hAnsi="Calibri"/>
                <w:b/>
                <w:color w:val="A56000"/>
                <w:sz w:val="14"/>
              </w:rPr>
              <w:t>CACHING IS CURRENTLY WORSE THAN SWITCHING IT OFF</w:t>
            </w:r>
          </w:p>
          <w:p>
            <w:pPr>
              <w:spacing w:before="60" w:line="302" w:lineRule="auto"/>
            </w:pPr>
            <w:r>
              <w:rPr>
                <w:rFonts w:ascii="Georgia" w:hAnsi="Georgia"/>
                <w:color w:val="172126"/>
                <w:sz w:val="18"/>
              </w:rPr>
              <w:t>A cache write bills at 1.25×. Every call pays that premium to store a prefix the next call cannot match, and reads nothing back. Reordering the prompt so the shared brief comes first is the same bytes in a different order — the model cannot tell the difference — and should remove half to two thirds of the input bill at zero quality risk. Correct the cache pricing terms FIRST, or the usage page will report the improvement wrongly and nobody will learn how much was saved.</w:t>
            </w:r>
          </w:p>
        </w:tc>
      </w:tr>
    </w:tbl>
    <w:p>
      <w:pPr>
        <w:spacing w:after="60"/>
      </w:pPr>
    </w:p>
    <w:p>
      <w:r>
        <w:br w:type="page"/>
      </w:r>
    </w:p>
    <w:p>
      <w:pPr>
        <w:spacing w:before="0" w:after="60" w:line="312" w:lineRule="auto"/>
      </w:pPr>
      <w:r>
        <w:rPr>
          <w:rFonts w:ascii="Consolas" w:hAnsi="Consolas"/>
          <w:b/>
          <w:color w:val="087E75"/>
          <w:sz w:val="15"/>
        </w:rPr>
        <w:t>SECTION 5</w:t>
      </w:r>
    </w:p>
    <w:p>
      <w:pPr>
        <w:spacing w:before="0" w:after="160" w:line="252" w:lineRule="auto"/>
      </w:pPr>
      <w:r>
        <w:rPr>
          <w:rFonts w:ascii="Georgia" w:hAnsi="Georgia"/>
          <w:b/>
          <w:color w:val="172126"/>
          <w:sz w:val="38"/>
        </w:rPr>
        <w:t>Retrieval</w:t>
      </w:r>
    </w:p>
    <w:p>
      <w:pPr>
        <w:spacing w:before="0" w:after="200" w:line="312" w:lineRule="auto"/>
      </w:pPr>
      <w:r>
        <w:rPr>
          <w:rFonts w:ascii="Georgia" w:hAnsi="Georgia"/>
          <w:b w:val="0"/>
          <w:color w:val="526068"/>
          <w:sz w:val="21"/>
        </w:rPr>
        <w:t>Complete, unit-tested, and never called.</w:t>
      </w:r>
    </w:p>
    <w:p>
      <w:pPr>
        <w:spacing w:before="0" w:after="140" w:line="312" w:lineRule="auto"/>
      </w:pPr>
      <w:r>
        <w:rPr>
          <w:rFonts w:ascii="Georgia" w:hAnsi="Georgia"/>
          <w:b w:val="0"/>
          <w:color w:val="526068"/>
          <w:sz w:val="19"/>
        </w:rPr>
        <w:t>The chunk table held zero rows. Document search truthfully reported finding nothing, and every AI answer was assembled from whatever the caller happened to place in the envelope — the long-context behaviour that retrieval exists to replace.</w:t>
      </w:r>
    </w:p>
    <w:p>
      <w:pPr>
        <w:spacing w:before="260" w:after="80" w:line="312" w:lineRule="auto"/>
      </w:pPr>
      <w:r>
        <w:rPr>
          <w:rFonts w:ascii="Calibri" w:hAnsi="Calibri"/>
          <w:b/>
          <w:color w:val="172126"/>
          <w:sz w:val="22"/>
        </w:rPr>
        <w:t>5.1  It took two attempts to wire correctly</w:t>
      </w:r>
    </w:p>
    <w:p>
      <w:pPr>
        <w:spacing w:before="0" w:after="140" w:line="312" w:lineRule="auto"/>
      </w:pPr>
      <w:r>
        <w:rPr>
          <w:rFonts w:ascii="Georgia" w:hAnsi="Georgia"/>
          <w:b w:val="0"/>
          <w:color w:val="526068"/>
          <w:sz w:val="19"/>
        </w:rPr>
        <w:t>The obvious seam is the upload route, which already extracts the pages. Wired there, a smoke test found nothing: search joins chunk to document_revision to document_register, and a file id is not a revision id. Chunks written from an upload satisfy none of that join — indexed, counted by the coverage report, and permanently unfindable. That is worse than an empty index, because a coverage number that looks healthy is one nobody investigates.</w:t>
      </w:r>
    </w:p>
    <w:p>
      <w:pPr>
        <w:spacing w:before="0" w:after="140" w:line="312" w:lineRule="auto"/>
      </w:pPr>
      <w:r>
        <w:rPr>
          <w:rFonts w:ascii="Georgia" w:hAnsi="Georgia"/>
          <w:b w:val="0"/>
          <w:color w:val="526068"/>
          <w:sz w:val="19"/>
        </w:rPr>
        <w:t>A second problem appeared behind it. Hanging indexing off document registration is correct and, against the production data, indexes nothing: there are 123 ingested files and zero document revisions, because the formal register is a workflow most projects never run. Both paths are now wired, and neither displaces the other.</w:t>
      </w:r>
    </w:p>
    <w:p>
      <w:pPr>
        <w:spacing w:before="260" w:after="80" w:line="312" w:lineRule="auto"/>
      </w:pPr>
      <w:r>
        <w:rPr>
          <w:rFonts w:ascii="Calibri" w:hAnsi="Calibri"/>
          <w:b/>
          <w:color w:val="172126"/>
          <w:sz w:val="22"/>
        </w:rPr>
        <w:t>5.2  Verified in production</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878"/>
      </w:tblGrid>
      <w:tr>
        <w:tc>
          <w:tcPr>
            <w:tcW w:type="dxa" w:w="9878"/>
            <w:shd w:val="clear" w:fill="F5F7F8"/>
          </w:tcPr>
          <w:p>
            <w:pPr>
              <w:spacing w:line="293" w:lineRule="auto"/>
            </w:pPr>
            <w:r/>
            <w:r>
              <w:rPr>
                <w:rFonts w:ascii="Consolas" w:hAnsi="Consolas"/>
                <w:color w:val="172126"/>
                <w:sz w:val="17"/>
              </w:rPr>
              <w:t>passages indexed      5,320</w:t>
              <w:br/>
              <w:t>files indexed         116 of 123</w:t>
              <w:br/>
              <w:t>no extractable text   7          scanned sheets, named rather than counted</w:t>
            </w:r>
          </w:p>
        </w:tc>
      </w:tr>
    </w:tbl>
    <w:p>
      <w:pPr>
        <w:spacing w:after="40"/>
      </w:pPr>
    </w:p>
    <w:p>
      <w:pPr>
        <w:spacing w:before="0" w:after="140" w:line="312" w:lineRule="auto"/>
      </w:pPr>
      <w:r>
        <w:rPr>
          <w:rFonts w:ascii="Georgia" w:hAnsi="Georgia"/>
          <w:b w:val="0"/>
          <w:color w:val="526068"/>
          <w:sz w:val="19"/>
        </w:rPr>
        <w:t>Real searches against the DV Quaters drawing set return the right sheets — including a finish schedule buried inside a section-details drawing that nobody would have located by filename. One known miss: 'shower section' returns floor and ceiling plans rather than the shower section sheet, because extracted DWG text is CAD entity soup. That is exactly the case the evaluation corpus exists to record.</w:t>
      </w:r>
    </w:p>
    <w:p>
      <w:r>
        <w:br w:type="page"/>
      </w:r>
    </w:p>
    <w:p>
      <w:pPr>
        <w:spacing w:before="0" w:after="60" w:line="312" w:lineRule="auto"/>
      </w:pPr>
      <w:r>
        <w:rPr>
          <w:rFonts w:ascii="Consolas" w:hAnsi="Consolas"/>
          <w:b/>
          <w:color w:val="087E75"/>
          <w:sz w:val="15"/>
        </w:rPr>
        <w:t>SECTION 6</w:t>
      </w:r>
    </w:p>
    <w:p>
      <w:pPr>
        <w:spacing w:before="0" w:after="160" w:line="252" w:lineRule="auto"/>
      </w:pPr>
      <w:r>
        <w:rPr>
          <w:rFonts w:ascii="Georgia" w:hAnsi="Georgia"/>
          <w:b/>
          <w:color w:val="172126"/>
          <w:sz w:val="38"/>
        </w:rPr>
        <w:t>Repositories and publishing</w:t>
      </w:r>
    </w:p>
    <w:p>
      <w:pPr>
        <w:spacing w:before="0" w:after="140" w:line="312" w:lineRule="auto"/>
      </w:pPr>
      <w:r>
        <w:rPr>
          <w:rFonts w:ascii="Georgia" w:hAnsi="Georgia"/>
          <w:b w:val="0"/>
          <w:color w:val="526068"/>
          <w:sz w:val="19"/>
        </w:rPr>
        <w:t>Three organisation repositories had drifted. techsmeinc/preckon-system was five weeks stale; the tenant and host mirrors sat behind a flag nobody had set. All three now carry the current work.</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293"/>
        <w:gridCol w:w="3293"/>
        <w:gridCol w:w="3293"/>
      </w:tblGrid>
      <w:tr>
        <w:tc>
          <w:tcPr>
            <w:tcW w:type="dxa" w:w="2880"/>
            <w:shd w:val="clear" w:fill="F0F3F4"/>
          </w:tcPr>
          <w:p>
            <w:r/>
            <w:r>
              <w:rPr>
                <w:rFonts w:ascii="Calibri" w:hAnsi="Calibri"/>
                <w:b/>
                <w:color w:val="667279"/>
                <w:sz w:val="14"/>
              </w:rPr>
              <w:t>REPOSITORY</w:t>
            </w:r>
          </w:p>
        </w:tc>
        <w:tc>
          <w:tcPr>
            <w:tcW w:type="dxa" w:w="1296"/>
            <w:shd w:val="clear" w:fill="F0F3F4"/>
          </w:tcPr>
          <w:p>
            <w:r/>
            <w:r>
              <w:rPr>
                <w:rFonts w:ascii="Calibri" w:hAnsi="Calibri"/>
                <w:b/>
                <w:color w:val="667279"/>
                <w:sz w:val="14"/>
              </w:rPr>
              <w:t>NOW</w:t>
            </w:r>
          </w:p>
        </w:tc>
        <w:tc>
          <w:tcPr>
            <w:tcW w:type="dxa" w:w="4752"/>
            <w:shd w:val="clear" w:fill="F0F3F4"/>
          </w:tcPr>
          <w:p>
            <w:r/>
            <w:r>
              <w:rPr>
                <w:rFonts w:ascii="Calibri" w:hAnsi="Calibri"/>
                <w:b/>
                <w:color w:val="667279"/>
                <w:sz w:val="14"/>
              </w:rPr>
              <w:t>NOTE</w:t>
            </w:r>
          </w:p>
        </w:tc>
      </w:tr>
      <w:tr>
        <w:tc>
          <w:tcPr>
            <w:tcW w:type="dxa" w:w="2880"/>
          </w:tcPr>
          <w:p>
            <w:pPr>
              <w:spacing w:line="283" w:lineRule="auto" w:after="20"/>
            </w:pPr>
            <w:r/>
            <w:r>
              <w:rPr>
                <w:rFonts w:ascii="Calibri" w:hAnsi="Calibri"/>
                <w:b/>
                <w:color w:val="172126"/>
                <w:sz w:val="16"/>
              </w:rPr>
              <w:t>techsmeinc/preckon-system</w:t>
            </w:r>
          </w:p>
        </w:tc>
        <w:tc>
          <w:tcPr>
            <w:tcW w:type="dxa" w:w="1296"/>
          </w:tcPr>
          <w:p>
            <w:pPr>
              <w:spacing w:line="283" w:lineRule="auto" w:after="20"/>
            </w:pPr>
            <w:r/>
            <w:r>
              <w:rPr>
                <w:rFonts w:ascii="Consolas" w:hAnsi="Consolas"/>
                <w:b w:val="0"/>
                <w:color w:val="526068"/>
                <w:sz w:val="16"/>
              </w:rPr>
              <w:t>2026-09-01</w:t>
            </w:r>
          </w:p>
        </w:tc>
        <w:tc>
          <w:tcPr>
            <w:tcW w:type="dxa" w:w="4752"/>
          </w:tcPr>
          <w:p>
            <w:pPr>
              <w:spacing w:line="283" w:lineRule="auto" w:after="20"/>
            </w:pPr>
            <w:r/>
            <w:r>
              <w:rPr>
                <w:rFonts w:ascii="Calibri" w:hAnsi="Calibri"/>
                <w:b w:val="0"/>
                <w:color w:val="526068"/>
                <w:sz w:val="16"/>
              </w:rPr>
              <w:t>Subtree publish, merged with the remote first</w:t>
            </w:r>
          </w:p>
        </w:tc>
      </w:tr>
      <w:tr>
        <w:tc>
          <w:tcPr>
            <w:tcW w:type="dxa" w:w="2880"/>
          </w:tcPr>
          <w:p>
            <w:pPr>
              <w:spacing w:line="283" w:lineRule="auto" w:after="20"/>
            </w:pPr>
            <w:r/>
            <w:r>
              <w:rPr>
                <w:rFonts w:ascii="Calibri" w:hAnsi="Calibri"/>
                <w:b/>
                <w:color w:val="172126"/>
                <w:sz w:val="16"/>
              </w:rPr>
              <w:t>techsmeinc/preckon-tenant</w:t>
            </w:r>
          </w:p>
        </w:tc>
        <w:tc>
          <w:tcPr>
            <w:tcW w:type="dxa" w:w="1296"/>
          </w:tcPr>
          <w:p>
            <w:pPr>
              <w:spacing w:line="283" w:lineRule="auto" w:after="20"/>
            </w:pPr>
            <w:r/>
            <w:r>
              <w:rPr>
                <w:rFonts w:ascii="Consolas" w:hAnsi="Consolas"/>
                <w:b w:val="0"/>
                <w:color w:val="526068"/>
                <w:sz w:val="16"/>
              </w:rPr>
              <w:t>2026-09-01</w:t>
            </w:r>
          </w:p>
        </w:tc>
        <w:tc>
          <w:tcPr>
            <w:tcW w:type="dxa" w:w="4752"/>
          </w:tcPr>
          <w:p>
            <w:pPr>
              <w:spacing w:line="283" w:lineRule="auto" w:after="20"/>
            </w:pPr>
            <w:r/>
            <w:r>
              <w:rPr>
                <w:rFonts w:ascii="Calibri" w:hAnsi="Calibri"/>
                <w:b w:val="0"/>
                <w:color w:val="526068"/>
                <w:sz w:val="16"/>
              </w:rPr>
              <w:t>Reconciled: its own curated history joined to the monorepo's</w:t>
            </w:r>
          </w:p>
        </w:tc>
      </w:tr>
      <w:tr>
        <w:tc>
          <w:tcPr>
            <w:tcW w:type="dxa" w:w="2880"/>
          </w:tcPr>
          <w:p>
            <w:pPr>
              <w:spacing w:line="283" w:lineRule="auto" w:after="20"/>
            </w:pPr>
            <w:r/>
            <w:r>
              <w:rPr>
                <w:rFonts w:ascii="Calibri" w:hAnsi="Calibri"/>
                <w:b/>
                <w:color w:val="172126"/>
                <w:sz w:val="16"/>
              </w:rPr>
              <w:t>techsmeinc/preckon-host</w:t>
            </w:r>
          </w:p>
        </w:tc>
        <w:tc>
          <w:tcPr>
            <w:tcW w:type="dxa" w:w="1296"/>
          </w:tcPr>
          <w:p>
            <w:pPr>
              <w:spacing w:line="283" w:lineRule="auto" w:after="20"/>
            </w:pPr>
            <w:r/>
            <w:r>
              <w:rPr>
                <w:rFonts w:ascii="Consolas" w:hAnsi="Consolas"/>
                <w:b w:val="0"/>
                <w:color w:val="526068"/>
                <w:sz w:val="16"/>
              </w:rPr>
              <w:t>2026-09-01</w:t>
            </w:r>
          </w:p>
        </w:tc>
        <w:tc>
          <w:tcPr>
            <w:tcW w:type="dxa" w:w="4752"/>
          </w:tcPr>
          <w:p>
            <w:pPr>
              <w:spacing w:line="283" w:lineRule="auto" w:after="20"/>
            </w:pPr>
            <w:r/>
            <w:r>
              <w:rPr>
                <w:rFonts w:ascii="Calibri" w:hAnsi="Calibri"/>
                <w:b w:val="0"/>
                <w:color w:val="526068"/>
                <w:sz w:val="16"/>
              </w:rPr>
              <w:t>Unrelated history — published by overlay on top of its own commits</w:t>
            </w:r>
          </w:p>
        </w:tc>
      </w:tr>
    </w:tbl>
    <w:p>
      <w:pPr>
        <w:spacing w:after="60"/>
      </w:pPr>
    </w:p>
    <w:p>
      <w:pPr>
        <w:spacing w:before="260" w:after="80" w:line="312" w:lineRule="auto"/>
      </w:pPr>
      <w:r>
        <w:rPr>
          <w:rFonts w:ascii="Calibri" w:hAnsi="Calibri"/>
          <w:b/>
          <w:color w:val="172126"/>
          <w:sz w:val="22"/>
        </w:rPr>
        <w:t>6.1  Why the mirror merges instead of force-pushing</w:t>
      </w:r>
    </w:p>
    <w:p>
      <w:pPr>
        <w:spacing w:before="0" w:after="140" w:line="312" w:lineRule="auto"/>
      </w:pPr>
      <w:r>
        <w:rPr>
          <w:rFonts w:ascii="Georgia" w:hAnsi="Georgia"/>
          <w:b w:val="0"/>
          <w:color w:val="526068"/>
          <w:sz w:val="19"/>
        </w:rPr>
        <w:t>The obvious mirror is split-and-force: the monorepo is the source of truth and the organisation repositories are artefacts. That is wrong here, and it was nearly expensive. Two directories had been deleted directly on GitHub and those deletions existed only on the remote — a force-push of a fresh split would have resurrected fourteen files somebody had deliberately removed, silently, on a schedule, forever.</w:t>
      </w:r>
    </w:p>
    <w:p>
      <w:pPr>
        <w:spacing w:before="0" w:after="140" w:line="312" w:lineRule="auto"/>
      </w:pPr>
      <w:r>
        <w:rPr>
          <w:rFonts w:ascii="Georgia" w:hAnsi="Georgia"/>
          <w:b w:val="0"/>
          <w:color w:val="526068"/>
          <w:sz w:val="19"/>
        </w:rPr>
        <w:t>Each target now fetches and merges the remote before pushing. A genuine conflict stops that target rather than picking a winner at half past two in the morning with nobody reading. Scheduled nightly at 02:30.</w:t>
      </w:r>
    </w:p>
    <w:tbl>
      <w:tblPr>
        <w:tblW w:type="auto" w:w="0"/>
        <w:tblLook w:firstColumn="1" w:firstRow="1" w:lastColumn="0" w:lastRow="0" w:noHBand="0" w:noVBand="1" w:val="04A0"/>
        <w:tblBorders>
          <w:top w:val="single" w:sz="2" w:space="0" w:color="E6F3F1"/>
          <w:left w:val="single" w:sz="2" w:space="0" w:color="E6F3F1"/>
          <w:bottom w:val="single" w:sz="2" w:space="0" w:color="E6F3F1"/>
          <w:right w:val="single" w:sz="2" w:space="0" w:color="E6F3F1"/>
          <w:insideH w:val="single" w:sz="2" w:space="0" w:color="E6F3F1"/>
          <w:insideV w:val="single" w:sz="2" w:space="0" w:color="E6F3F1"/>
        </w:tblBorders>
      </w:tblPr>
      <w:tblGrid>
        <w:gridCol w:w="9878"/>
      </w:tblGrid>
      <w:tr>
        <w:tc>
          <w:tcPr>
            <w:tcW w:type="dxa" w:w="9878"/>
            <w:shd w:val="clear" w:fill="E6F3F1"/>
          </w:tcPr>
          <w:p>
            <w:r/>
            <w:r>
              <w:rPr>
                <w:rFonts w:ascii="Calibri" w:hAnsi="Calibri"/>
                <w:b/>
                <w:color w:val="087E75"/>
                <w:sz w:val="14"/>
              </w:rPr>
              <w:t>THE HOST REPOSITORY WAS AHEAD OF THE MONOREPO</w:t>
            </w:r>
          </w:p>
          <w:p>
            <w:pPr>
              <w:spacing w:before="60" w:line="302" w:lineRule="auto"/>
            </w:pPr>
            <w:r>
              <w:rPr>
                <w:rFonts w:ascii="Georgia" w:hAnsi="Georgia"/>
                <w:color w:val="172126"/>
                <w:sz w:val="18"/>
              </w:rPr>
              <w:t>It carried a Next.js upgrade (15.5.23 against 15.1.6) and a credentials-hardening fix that had been made by pull request and never came back. A mirror would have overwritten both. They were brought into the monorepo first, verified by build, and the host is now published by overlay because its history has no common ancestor with the subtree.</w:t>
            </w:r>
          </w:p>
        </w:tc>
      </w:tr>
    </w:tbl>
    <w:p>
      <w:pPr>
        <w:spacing w:after="60"/>
      </w:pPr>
    </w:p>
    <w:p>
      <w:pPr>
        <w:spacing w:before="260" w:after="80" w:line="312" w:lineRule="auto"/>
      </w:pPr>
      <w:r>
        <w:rPr>
          <w:rFonts w:ascii="Calibri" w:hAnsi="Calibri"/>
          <w:b/>
          <w:color w:val="172126"/>
          <w:sz w:val="22"/>
        </w:rPr>
        <w:t>6.2  Pull request #5</w:t>
      </w:r>
    </w:p>
    <w:p>
      <w:pPr>
        <w:spacing w:before="0" w:after="140" w:line="312" w:lineRule="auto"/>
      </w:pPr>
      <w:r>
        <w:rPr>
          <w:rFonts w:ascii="Georgia" w:hAnsi="Georgia"/>
          <w:b w:val="0"/>
          <w:color w:val="526068"/>
          <w:sz w:val="19"/>
        </w:rPr>
        <w:t>Twelve commits ahead of its base and 192 behind. Everything it proposed had since reached main by another route, and merging it as-was would have been a 3,806-line deletion — removing the token metering module and five test files written since. Conflicts are resolved and it is now a no-op; the recommendation is to close it as superseded rather than merge it.</w:t>
      </w:r>
    </w:p>
    <w:p>
      <w:pPr>
        <w:spacing w:before="0" w:after="140" w:line="312" w:lineRule="auto"/>
      </w:pPr>
      <w:r>
        <w:rPr>
          <w:rFonts w:ascii="Georgia" w:hAnsi="Georgia"/>
          <w:b w:val="0"/>
          <w:color w:val="526068"/>
          <w:sz w:val="19"/>
        </w:rPr>
        <w:t>Three files auto-merged in the branch's favour without git reporting a conflict, because only one side had touched them. Each would have undone a later decision — restoring a topbar wordmark that had been deliberately removed, and replacing empty secret values with change-me placeholders. That silent class of conflict is the one worth watching.</w:t>
      </w:r>
    </w:p>
    <w:p>
      <w:r>
        <w:br w:type="page"/>
      </w:r>
    </w:p>
    <w:p>
      <w:pPr>
        <w:spacing w:before="0" w:after="60" w:line="312" w:lineRule="auto"/>
      </w:pPr>
      <w:r>
        <w:rPr>
          <w:rFonts w:ascii="Consolas" w:hAnsi="Consolas"/>
          <w:b/>
          <w:color w:val="087E75"/>
          <w:sz w:val="15"/>
        </w:rPr>
        <w:t>SECTION 7</w:t>
      </w:r>
    </w:p>
    <w:p>
      <w:pPr>
        <w:spacing w:before="0" w:after="160" w:line="252" w:lineRule="auto"/>
      </w:pPr>
      <w:r>
        <w:rPr>
          <w:rFonts w:ascii="Georgia" w:hAnsi="Georgia"/>
          <w:b/>
          <w:color w:val="172126"/>
          <w:sz w:val="38"/>
        </w:rPr>
        <w:t>Governance</w:t>
      </w:r>
    </w:p>
    <w:p>
      <w:pPr>
        <w:spacing w:before="0" w:after="200" w:line="312" w:lineRule="auto"/>
      </w:pPr>
      <w:r>
        <w:rPr>
          <w:rFonts w:ascii="Georgia" w:hAnsi="Georgia"/>
          <w:b w:val="0"/>
          <w:color w:val="526068"/>
          <w:sz w:val="21"/>
        </w:rPr>
        <w:t>The Preckon Engineering Bible: 373 chapters, 22 volumes, 373 machine-readable quality records, gated in CI.</w:t>
      </w:r>
    </w:p>
    <w:p>
      <w:pPr>
        <w:spacing w:before="0" w:after="140" w:line="312" w:lineRule="auto"/>
      </w:pPr>
      <w:r>
        <w:rPr>
          <w:rFonts w:ascii="Georgia" w:hAnsi="Georgia"/>
          <w:b w:val="0"/>
          <w:color w:val="526068"/>
          <w:sz w:val="19"/>
        </w:rPr>
        <w:t>Its most useful rule is procedural: material behaviour changes require specification, API, test and ADR updates together. By that rule the security work done here was non-compliant, so it has been recorded — PEB-PLT-306 gains three authentication rules, PEB-AIP-100 records two rules now met and one still unmet, and ADR-0002 sets out the decisions and the options rejected. Submitted as a specification branch for review.</w:t>
      </w: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9878"/>
      </w:tblGrid>
      <w:tr>
        <w:tc>
          <w:tcPr>
            <w:tcW w:type="dxa" w:w="9878"/>
            <w:shd w:val="clear" w:fill="FBF0E0"/>
          </w:tcPr>
          <w:p>
            <w:r/>
            <w:r>
              <w:rPr>
                <w:rFonts w:ascii="Calibri" w:hAnsi="Calibri"/>
                <w:b/>
                <w:color w:val="A56000"/>
                <w:sz w:val="14"/>
              </w:rPr>
              <w:t>TWO CORRECTIONS TO MY OWN REPORTING</w:t>
            </w:r>
          </w:p>
          <w:p>
            <w:pPr>
              <w:spacing w:before="60" w:line="302" w:lineRule="auto"/>
            </w:pPr>
            <w:r>
              <w:rPr>
                <w:rFonts w:ascii="Georgia" w:hAnsi="Georgia"/>
                <w:color w:val="172126"/>
                <w:sz w:val="18"/>
              </w:rPr>
              <w:t>I stated that only 27 of 369 chapters were tracked, and that CI was red with four orphan records. Both were wrong. Coverage is complete at 373 of 373; I had read one of thirty-one registry files. The 'orphans' exist — my Windows clone could not check out filenames longer than 260 characters, so the validator saw them as missing. On Linux CI it passes.</w:t>
            </w:r>
          </w:p>
        </w:tc>
      </w:tr>
    </w:tbl>
    <w:p>
      <w:pPr>
        <w:spacing w:after="60"/>
      </w:pPr>
    </w:p>
    <w:p>
      <w:r>
        <w:br w:type="page"/>
      </w:r>
    </w:p>
    <w:p>
      <w:pPr>
        <w:spacing w:before="0" w:after="60" w:line="312" w:lineRule="auto"/>
      </w:pPr>
      <w:r>
        <w:rPr>
          <w:rFonts w:ascii="Consolas" w:hAnsi="Consolas"/>
          <w:b/>
          <w:color w:val="087E75"/>
          <w:sz w:val="15"/>
        </w:rPr>
        <w:t>SECTION 8</w:t>
      </w:r>
    </w:p>
    <w:p>
      <w:pPr>
        <w:spacing w:before="0" w:after="160" w:line="252" w:lineRule="auto"/>
      </w:pPr>
      <w:r>
        <w:rPr>
          <w:rFonts w:ascii="Georgia" w:hAnsi="Georgia"/>
          <w:b/>
          <w:color w:val="172126"/>
          <w:sz w:val="38"/>
        </w:rPr>
        <w:t>Open decisions</w:t>
      </w:r>
    </w:p>
    <w:p>
      <w:pPr>
        <w:spacing w:before="0" w:after="200" w:line="312" w:lineRule="auto"/>
      </w:pPr>
      <w:r>
        <w:rPr>
          <w:rFonts w:ascii="Georgia" w:hAnsi="Georgia"/>
          <w:b w:val="0"/>
          <w:color w:val="526068"/>
          <w:sz w:val="21"/>
        </w:rPr>
        <w:t>Six items that need a person, not a patch. Ordered by urgency.</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469"/>
        <w:gridCol w:w="2469"/>
        <w:gridCol w:w="2469"/>
        <w:gridCol w:w="2469"/>
      </w:tblGrid>
      <w:tr>
        <w:tc>
          <w:tcPr>
            <w:tcW w:type="dxa" w:w="432"/>
            <w:shd w:val="clear" w:fill="F0F3F4"/>
          </w:tcPr>
          <w:p>
            <w:r/>
            <w:r>
              <w:rPr>
                <w:rFonts w:ascii="Calibri" w:hAnsi="Calibri"/>
                <w:b/>
                <w:color w:val="667279"/>
                <w:sz w:val="14"/>
              </w:rPr>
              <w:t>#</w:t>
            </w:r>
          </w:p>
        </w:tc>
        <w:tc>
          <w:tcPr>
            <w:tcW w:type="dxa" w:w="2880"/>
            <w:shd w:val="clear" w:fill="F0F3F4"/>
          </w:tcPr>
          <w:p>
            <w:r/>
            <w:r>
              <w:rPr>
                <w:rFonts w:ascii="Calibri" w:hAnsi="Calibri"/>
                <w:b/>
                <w:color w:val="667279"/>
                <w:sz w:val="14"/>
              </w:rPr>
              <w:t>DECISION</w:t>
            </w:r>
          </w:p>
        </w:tc>
        <w:tc>
          <w:tcPr>
            <w:tcW w:type="dxa" w:w="4464"/>
            <w:shd w:val="clear" w:fill="F0F3F4"/>
          </w:tcPr>
          <w:p>
            <w:r/>
            <w:r>
              <w:rPr>
                <w:rFonts w:ascii="Calibri" w:hAnsi="Calibri"/>
                <w:b/>
                <w:color w:val="667279"/>
                <w:sz w:val="14"/>
              </w:rPr>
              <w:t>WHY IT NEEDS YOU</w:t>
            </w:r>
          </w:p>
        </w:tc>
        <w:tc>
          <w:tcPr>
            <w:tcW w:type="dxa" w:w="1728"/>
            <w:shd w:val="clear" w:fill="F0F3F4"/>
          </w:tcPr>
          <w:p>
            <w:r/>
            <w:r>
              <w:rPr>
                <w:rFonts w:ascii="Calibri" w:hAnsi="Calibri"/>
                <w:b/>
                <w:color w:val="667279"/>
                <w:sz w:val="14"/>
              </w:rPr>
              <w:t>OWNER</w:t>
            </w:r>
          </w:p>
        </w:tc>
      </w:tr>
      <w:tr>
        <w:tc>
          <w:tcPr>
            <w:tcW w:type="dxa" w:w="432"/>
          </w:tcPr>
          <w:p>
            <w:pPr>
              <w:spacing w:line="283" w:lineRule="auto" w:after="20"/>
            </w:pPr>
            <w:r/>
            <w:r>
              <w:rPr>
                <w:rFonts w:ascii="Calibri" w:hAnsi="Calibri"/>
                <w:b/>
                <w:color w:val="172126"/>
                <w:sz w:val="16"/>
              </w:rPr>
              <w:t>1</w:t>
            </w:r>
          </w:p>
        </w:tc>
        <w:tc>
          <w:tcPr>
            <w:tcW w:type="dxa" w:w="2880"/>
          </w:tcPr>
          <w:p>
            <w:pPr>
              <w:spacing w:line="283" w:lineRule="auto" w:after="20"/>
            </w:pPr>
            <w:r/>
            <w:r>
              <w:rPr>
                <w:rFonts w:ascii="Calibri" w:hAnsi="Calibri"/>
                <w:b w:val="0"/>
                <w:color w:val="526068"/>
                <w:sz w:val="16"/>
              </w:rPr>
              <w:t>Rotate the three published account passwords, then deal with the public repository</w:t>
            </w:r>
          </w:p>
        </w:tc>
        <w:tc>
          <w:tcPr>
            <w:tcW w:type="dxa" w:w="4464"/>
          </w:tcPr>
          <w:p>
            <w:pPr>
              <w:spacing w:line="283" w:lineRule="auto" w:after="20"/>
            </w:pPr>
            <w:r/>
            <w:r>
              <w:rPr>
                <w:rFonts w:ascii="Calibri" w:hAnsi="Calibri"/>
                <w:b w:val="0"/>
                <w:color w:val="526068"/>
                <w:sz w:val="16"/>
              </w:rPr>
              <w:t>Locks three colleagues out until they are told the new ones. Making the repo private does not un-publish six weeks of history</w:t>
            </w:r>
          </w:p>
        </w:tc>
        <w:tc>
          <w:tcPr>
            <w:tcW w:type="dxa" w:w="1728"/>
          </w:tcPr>
          <w:p>
            <w:pPr>
              <w:spacing w:line="283" w:lineRule="auto" w:after="20"/>
            </w:pPr>
            <w:r/>
            <w:r>
              <w:rPr>
                <w:rFonts w:ascii="Calibri" w:hAnsi="Calibri"/>
                <w:b w:val="0"/>
                <w:color w:val="526068"/>
                <w:sz w:val="16"/>
              </w:rPr>
              <w:t>Leadership</w:t>
            </w:r>
          </w:p>
        </w:tc>
      </w:tr>
      <w:tr>
        <w:tc>
          <w:tcPr>
            <w:tcW w:type="dxa" w:w="432"/>
          </w:tcPr>
          <w:p>
            <w:pPr>
              <w:spacing w:line="283" w:lineRule="auto" w:after="20"/>
            </w:pPr>
            <w:r/>
            <w:r>
              <w:rPr>
                <w:rFonts w:ascii="Calibri" w:hAnsi="Calibri"/>
                <w:b/>
                <w:color w:val="172126"/>
                <w:sz w:val="16"/>
              </w:rPr>
              <w:t>2</w:t>
            </w:r>
          </w:p>
        </w:tc>
        <w:tc>
          <w:tcPr>
            <w:tcW w:type="dxa" w:w="2880"/>
          </w:tcPr>
          <w:p>
            <w:pPr>
              <w:spacing w:line="283" w:lineRule="auto" w:after="20"/>
            </w:pPr>
            <w:r/>
            <w:r>
              <w:rPr>
                <w:rFonts w:ascii="Calibri" w:hAnsi="Calibri"/>
                <w:b w:val="0"/>
                <w:color w:val="526068"/>
                <w:sz w:val="16"/>
              </w:rPr>
              <w:t>Turn on AI data-boundary enforcement, or accept shadow mode explicitly</w:t>
            </w:r>
          </w:p>
        </w:tc>
        <w:tc>
          <w:tcPr>
            <w:tcW w:type="dxa" w:w="4464"/>
          </w:tcPr>
          <w:p>
            <w:pPr>
              <w:spacing w:line="283" w:lineRule="auto" w:after="20"/>
            </w:pPr>
            <w:r/>
            <w:r>
              <w:rPr>
                <w:rFonts w:ascii="Calibri" w:hAnsi="Calibri"/>
                <w:b w:val="0"/>
                <w:color w:val="526068"/>
                <w:sz w:val="16"/>
              </w:rPr>
              <w:t>Requires one of three business choices: classify project data as internal, operate Preckon-boundary inference, or narrow what a tenant may send</w:t>
            </w:r>
          </w:p>
        </w:tc>
        <w:tc>
          <w:tcPr>
            <w:tcW w:type="dxa" w:w="1728"/>
          </w:tcPr>
          <w:p>
            <w:pPr>
              <w:spacing w:line="283" w:lineRule="auto" w:after="20"/>
            </w:pPr>
            <w:r/>
            <w:r>
              <w:rPr>
                <w:rFonts w:ascii="Calibri" w:hAnsi="Calibri"/>
                <w:b w:val="0"/>
                <w:color w:val="526068"/>
                <w:sz w:val="16"/>
              </w:rPr>
              <w:t>Product + Architecture</w:t>
            </w:r>
          </w:p>
        </w:tc>
      </w:tr>
      <w:tr>
        <w:tc>
          <w:tcPr>
            <w:tcW w:type="dxa" w:w="432"/>
          </w:tcPr>
          <w:p>
            <w:pPr>
              <w:spacing w:line="283" w:lineRule="auto" w:after="20"/>
            </w:pPr>
            <w:r/>
            <w:r>
              <w:rPr>
                <w:rFonts w:ascii="Calibri" w:hAnsi="Calibri"/>
                <w:b/>
                <w:color w:val="172126"/>
                <w:sz w:val="16"/>
              </w:rPr>
              <w:t>3</w:t>
            </w:r>
          </w:p>
        </w:tc>
        <w:tc>
          <w:tcPr>
            <w:tcW w:type="dxa" w:w="2880"/>
          </w:tcPr>
          <w:p>
            <w:pPr>
              <w:spacing w:line="283" w:lineRule="auto" w:after="20"/>
            </w:pPr>
            <w:r/>
            <w:r>
              <w:rPr>
                <w:rFonts w:ascii="Calibri" w:hAnsi="Calibri"/>
                <w:b w:val="0"/>
                <w:color w:val="526068"/>
                <w:sz w:val="16"/>
              </w:rPr>
              <w:t>Fix or remove the CI lint step</w:t>
            </w:r>
          </w:p>
        </w:tc>
        <w:tc>
          <w:tcPr>
            <w:tcW w:type="dxa" w:w="4464"/>
          </w:tcPr>
          <w:p>
            <w:pPr>
              <w:spacing w:line="283" w:lineRule="auto" w:after="20"/>
            </w:pPr>
            <w:r/>
            <w:r>
              <w:rPr>
                <w:rFonts w:ascii="Calibri" w:hAnsi="Calibri"/>
                <w:b w:val="0"/>
                <w:color w:val="526068"/>
                <w:sz w:val="16"/>
              </w:rPr>
              <w:t>next lint with no ESLint config prompts and exits 1. Configuring it properly means fixing what it reports across 188 modules</w:t>
            </w:r>
          </w:p>
        </w:tc>
        <w:tc>
          <w:tcPr>
            <w:tcW w:type="dxa" w:w="1728"/>
          </w:tcPr>
          <w:p>
            <w:pPr>
              <w:spacing w:line="283" w:lineRule="auto" w:after="20"/>
            </w:pPr>
            <w:r/>
            <w:r>
              <w:rPr>
                <w:rFonts w:ascii="Calibri" w:hAnsi="Calibri"/>
                <w:b w:val="0"/>
                <w:color w:val="526068"/>
                <w:sz w:val="16"/>
              </w:rPr>
              <w:t>Engineering</w:t>
            </w:r>
          </w:p>
        </w:tc>
      </w:tr>
      <w:tr>
        <w:tc>
          <w:tcPr>
            <w:tcW w:type="dxa" w:w="432"/>
          </w:tcPr>
          <w:p>
            <w:pPr>
              <w:spacing w:line="283" w:lineRule="auto" w:after="20"/>
            </w:pPr>
            <w:r/>
            <w:r>
              <w:rPr>
                <w:rFonts w:ascii="Calibri" w:hAnsi="Calibri"/>
                <w:b/>
                <w:color w:val="172126"/>
                <w:sz w:val="16"/>
              </w:rPr>
              <w:t>4</w:t>
            </w:r>
          </w:p>
        </w:tc>
        <w:tc>
          <w:tcPr>
            <w:tcW w:type="dxa" w:w="2880"/>
          </w:tcPr>
          <w:p>
            <w:pPr>
              <w:spacing w:line="283" w:lineRule="auto" w:after="20"/>
            </w:pPr>
            <w:r/>
            <w:r>
              <w:rPr>
                <w:rFonts w:ascii="Calibri" w:hAnsi="Calibri"/>
                <w:b w:val="0"/>
                <w:color w:val="526068"/>
                <w:sz w:val="16"/>
              </w:rPr>
              <w:t>Decide the budget re-route policy</w:t>
            </w:r>
          </w:p>
        </w:tc>
        <w:tc>
          <w:tcPr>
            <w:tcW w:type="dxa" w:w="4464"/>
          </w:tcPr>
          <w:p>
            <w:pPr>
              <w:spacing w:line="283" w:lineRule="auto" w:after="20"/>
            </w:pPr>
            <w:r/>
            <w:r>
              <w:rPr>
                <w:rFonts w:ascii="Calibri" w:hAnsi="Calibri"/>
                <w:b w:val="0"/>
                <w:color w:val="526068"/>
                <w:sz w:val="16"/>
              </w:rPr>
              <w:t>The largest fallback gap. A decision about desired behaviour at a spend ceiling, not a technical obstacle</w:t>
            </w:r>
          </w:p>
        </w:tc>
        <w:tc>
          <w:tcPr>
            <w:tcW w:type="dxa" w:w="1728"/>
          </w:tcPr>
          <w:p>
            <w:pPr>
              <w:spacing w:line="283" w:lineRule="auto" w:after="20"/>
            </w:pPr>
            <w:r/>
            <w:r>
              <w:rPr>
                <w:rFonts w:ascii="Calibri" w:hAnsi="Calibri"/>
                <w:b w:val="0"/>
                <w:color w:val="526068"/>
                <w:sz w:val="16"/>
              </w:rPr>
              <w:t>Product</w:t>
            </w:r>
          </w:p>
        </w:tc>
      </w:tr>
      <w:tr>
        <w:tc>
          <w:tcPr>
            <w:tcW w:type="dxa" w:w="432"/>
          </w:tcPr>
          <w:p>
            <w:pPr>
              <w:spacing w:line="283" w:lineRule="auto" w:after="20"/>
            </w:pPr>
            <w:r/>
            <w:r>
              <w:rPr>
                <w:rFonts w:ascii="Calibri" w:hAnsi="Calibri"/>
                <w:b/>
                <w:color w:val="172126"/>
                <w:sz w:val="16"/>
              </w:rPr>
              <w:t>5</w:t>
            </w:r>
          </w:p>
        </w:tc>
        <w:tc>
          <w:tcPr>
            <w:tcW w:type="dxa" w:w="2880"/>
          </w:tcPr>
          <w:p>
            <w:pPr>
              <w:spacing w:line="283" w:lineRule="auto" w:after="20"/>
            </w:pPr>
            <w:r/>
            <w:r>
              <w:rPr>
                <w:rFonts w:ascii="Calibri" w:hAnsi="Calibri"/>
                <w:b w:val="0"/>
                <w:color w:val="526068"/>
                <w:sz w:val="16"/>
              </w:rPr>
              <w:t>Build the golden end-to-end project</w:t>
            </w:r>
          </w:p>
        </w:tc>
        <w:tc>
          <w:tcPr>
            <w:tcW w:type="dxa" w:w="4464"/>
          </w:tcPr>
          <w:p>
            <w:pPr>
              <w:spacing w:line="283" w:lineRule="auto" w:after="20"/>
            </w:pPr>
            <w:r/>
            <w:r>
              <w:rPr>
                <w:rFonts w:ascii="Calibri" w:hAnsi="Calibri"/>
                <w:b w:val="0"/>
                <w:color w:val="526068"/>
                <w:sz w:val="16"/>
              </w:rPr>
              <w:t>Unblocks extraction scoring and therefore the model-routing correction</w:t>
            </w:r>
          </w:p>
        </w:tc>
        <w:tc>
          <w:tcPr>
            <w:tcW w:type="dxa" w:w="1728"/>
          </w:tcPr>
          <w:p>
            <w:pPr>
              <w:spacing w:line="283" w:lineRule="auto" w:after="20"/>
            </w:pPr>
            <w:r/>
            <w:r>
              <w:rPr>
                <w:rFonts w:ascii="Calibri" w:hAnsi="Calibri"/>
                <w:b w:val="0"/>
                <w:color w:val="526068"/>
                <w:sz w:val="16"/>
              </w:rPr>
              <w:t>Product workstream</w:t>
            </w:r>
          </w:p>
        </w:tc>
      </w:tr>
      <w:tr>
        <w:tc>
          <w:tcPr>
            <w:tcW w:type="dxa" w:w="432"/>
          </w:tcPr>
          <w:p>
            <w:pPr>
              <w:spacing w:line="283" w:lineRule="auto" w:after="20"/>
            </w:pPr>
            <w:r/>
            <w:r>
              <w:rPr>
                <w:rFonts w:ascii="Calibri" w:hAnsi="Calibri"/>
                <w:b/>
                <w:color w:val="172126"/>
                <w:sz w:val="16"/>
              </w:rPr>
              <w:t>6</w:t>
            </w:r>
          </w:p>
        </w:tc>
        <w:tc>
          <w:tcPr>
            <w:tcW w:type="dxa" w:w="2880"/>
          </w:tcPr>
          <w:p>
            <w:pPr>
              <w:spacing w:line="283" w:lineRule="auto" w:after="20"/>
            </w:pPr>
            <w:r/>
            <w:r>
              <w:rPr>
                <w:rFonts w:ascii="Calibri" w:hAnsi="Calibri"/>
                <w:b w:val="0"/>
                <w:color w:val="526068"/>
                <w:sz w:val="16"/>
              </w:rPr>
              <w:t>Close pull request #5 as superseded</w:t>
            </w:r>
          </w:p>
        </w:tc>
        <w:tc>
          <w:tcPr>
            <w:tcW w:type="dxa" w:w="4464"/>
          </w:tcPr>
          <w:p>
            <w:pPr>
              <w:spacing w:line="283" w:lineRule="auto" w:after="20"/>
            </w:pPr>
            <w:r/>
            <w:r>
              <w:rPr>
                <w:rFonts w:ascii="Calibri" w:hAnsi="Calibri"/>
                <w:b w:val="0"/>
                <w:color w:val="526068"/>
                <w:sz w:val="16"/>
              </w:rPr>
              <w:t>Its content shipped by another route; merging adds nothing</w:t>
            </w:r>
          </w:p>
        </w:tc>
        <w:tc>
          <w:tcPr>
            <w:tcW w:type="dxa" w:w="1728"/>
          </w:tcPr>
          <w:p>
            <w:pPr>
              <w:spacing w:line="283" w:lineRule="auto" w:after="20"/>
            </w:pPr>
            <w:r/>
            <w:r>
              <w:rPr>
                <w:rFonts w:ascii="Calibri" w:hAnsi="Calibri"/>
                <w:b w:val="0"/>
                <w:color w:val="526068"/>
                <w:sz w:val="16"/>
              </w:rPr>
              <w:t>Engineering</w:t>
            </w:r>
          </w:p>
        </w:tc>
      </w:tr>
    </w:tbl>
    <w:p>
      <w:pPr>
        <w:spacing w:after="60"/>
      </w:pPr>
    </w:p>
    <w:p>
      <w:pPr>
        <w:spacing w:before="260" w:after="80" w:line="312" w:lineRule="auto"/>
      </w:pPr>
      <w:r>
        <w:rPr>
          <w:rFonts w:ascii="Calibri" w:hAnsi="Calibri"/>
          <w:b/>
          <w:color w:val="172126"/>
          <w:sz w:val="22"/>
        </w:rPr>
        <w:t>8.1  Work that needs no decision, ranked by value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293"/>
        <w:gridCol w:w="3293"/>
        <w:gridCol w:w="3293"/>
      </w:tblGrid>
      <w:tr>
        <w:tc>
          <w:tcPr>
            <w:tcW w:type="dxa" w:w="4896"/>
            <w:shd w:val="clear" w:fill="F0F3F4"/>
          </w:tcPr>
          <w:p>
            <w:r/>
            <w:r>
              <w:rPr>
                <w:rFonts w:ascii="Calibri" w:hAnsi="Calibri"/>
                <w:b/>
                <w:color w:val="667279"/>
                <w:sz w:val="14"/>
              </w:rPr>
              <w:t>ACTION</w:t>
            </w:r>
          </w:p>
        </w:tc>
        <w:tc>
          <w:tcPr>
            <w:tcW w:type="dxa" w:w="1008"/>
            <w:shd w:val="clear" w:fill="F0F3F4"/>
          </w:tcPr>
          <w:p>
            <w:r/>
            <w:r>
              <w:rPr>
                <w:rFonts w:ascii="Calibri" w:hAnsi="Calibri"/>
                <w:b/>
                <w:color w:val="667279"/>
                <w:sz w:val="14"/>
              </w:rPr>
              <w:t>EFFORT</w:t>
            </w:r>
          </w:p>
        </w:tc>
        <w:tc>
          <w:tcPr>
            <w:tcW w:type="dxa" w:w="3600"/>
            <w:shd w:val="clear" w:fill="F0F3F4"/>
          </w:tcPr>
          <w:p>
            <w:r/>
            <w:r>
              <w:rPr>
                <w:rFonts w:ascii="Calibri" w:hAnsi="Calibri"/>
                <w:b/>
                <w:color w:val="667279"/>
                <w:sz w:val="14"/>
              </w:rPr>
              <w:t>VALUE</w:t>
            </w:r>
          </w:p>
        </w:tc>
      </w:tr>
      <w:tr>
        <w:tc>
          <w:tcPr>
            <w:tcW w:type="dxa" w:w="4896"/>
          </w:tcPr>
          <w:p>
            <w:pPr>
              <w:spacing w:line="283" w:lineRule="auto" w:after="20"/>
            </w:pPr>
            <w:r/>
            <w:r>
              <w:rPr>
                <w:rFonts w:ascii="Calibri" w:hAnsi="Calibri"/>
                <w:b/>
                <w:color w:val="172126"/>
                <w:sz w:val="16"/>
              </w:rPr>
              <w:t>Reorder the prompt so the shared brief precedes the persona, and add a documents cache breakpoint</w:t>
            </w:r>
          </w:p>
        </w:tc>
        <w:tc>
          <w:tcPr>
            <w:tcW w:type="dxa" w:w="1008"/>
          </w:tcPr>
          <w:p>
            <w:pPr>
              <w:spacing w:line="283" w:lineRule="auto" w:after="20"/>
            </w:pPr>
            <w:r/>
            <w:r>
              <w:rPr>
                <w:rFonts w:ascii="Calibri" w:hAnsi="Calibri"/>
                <w:b w:val="0"/>
                <w:color w:val="526068"/>
                <w:sz w:val="16"/>
              </w:rPr>
              <w:t>Small</w:t>
            </w:r>
          </w:p>
        </w:tc>
        <w:tc>
          <w:tcPr>
            <w:tcW w:type="dxa" w:w="3600"/>
          </w:tcPr>
          <w:p>
            <w:pPr>
              <w:spacing w:line="283" w:lineRule="auto" w:after="20"/>
            </w:pPr>
            <w:r/>
            <w:r>
              <w:rPr>
                <w:rFonts w:ascii="Calibri" w:hAnsi="Calibri"/>
                <w:b w:val="0"/>
                <w:color w:val="526068"/>
                <w:sz w:val="16"/>
              </w:rPr>
              <w:t>Half to two thirds of the input bill, at zero quality risk</w:t>
            </w:r>
          </w:p>
        </w:tc>
      </w:tr>
      <w:tr>
        <w:tc>
          <w:tcPr>
            <w:tcW w:type="dxa" w:w="4896"/>
          </w:tcPr>
          <w:p>
            <w:pPr>
              <w:spacing w:line="283" w:lineRule="auto" w:after="20"/>
            </w:pPr>
            <w:r/>
            <w:r>
              <w:rPr>
                <w:rFonts w:ascii="Calibri" w:hAnsi="Calibri"/>
                <w:b/>
                <w:color w:val="172126"/>
                <w:sz w:val="16"/>
              </w:rPr>
              <w:t>Add cached rates to the rate cards and carry cache writes as their own term</w:t>
            </w:r>
          </w:p>
        </w:tc>
        <w:tc>
          <w:tcPr>
            <w:tcW w:type="dxa" w:w="1008"/>
          </w:tcPr>
          <w:p>
            <w:pPr>
              <w:spacing w:line="283" w:lineRule="auto" w:after="20"/>
            </w:pPr>
            <w:r/>
            <w:r>
              <w:rPr>
                <w:rFonts w:ascii="Calibri" w:hAnsi="Calibri"/>
                <w:b w:val="0"/>
                <w:color w:val="526068"/>
                <w:sz w:val="16"/>
              </w:rPr>
              <w:t>Small</w:t>
            </w:r>
          </w:p>
        </w:tc>
        <w:tc>
          <w:tcPr>
            <w:tcW w:type="dxa" w:w="3600"/>
          </w:tcPr>
          <w:p>
            <w:pPr>
              <w:spacing w:line="283" w:lineRule="auto" w:after="20"/>
            </w:pPr>
            <w:r/>
            <w:r>
              <w:rPr>
                <w:rFonts w:ascii="Calibri" w:hAnsi="Calibri"/>
                <w:b w:val="0"/>
                <w:color w:val="526068"/>
                <w:sz w:val="16"/>
              </w:rPr>
              <w:t>Without it the saving above is mis-reported</w:t>
            </w:r>
          </w:p>
        </w:tc>
      </w:tr>
      <w:tr>
        <w:tc>
          <w:tcPr>
            <w:tcW w:type="dxa" w:w="4896"/>
          </w:tcPr>
          <w:p>
            <w:pPr>
              <w:spacing w:line="283" w:lineRule="auto" w:after="20"/>
            </w:pPr>
            <w:r/>
            <w:r>
              <w:rPr>
                <w:rFonts w:ascii="Calibri" w:hAnsi="Calibri"/>
                <w:b/>
                <w:color w:val="172126"/>
                <w:sz w:val="16"/>
              </w:rPr>
              <w:t>Repair the cost.price_lines parser</w:t>
            </w:r>
          </w:p>
        </w:tc>
        <w:tc>
          <w:tcPr>
            <w:tcW w:type="dxa" w:w="1008"/>
          </w:tcPr>
          <w:p>
            <w:pPr>
              <w:spacing w:line="283" w:lineRule="auto" w:after="20"/>
            </w:pPr>
            <w:r/>
            <w:r>
              <w:rPr>
                <w:rFonts w:ascii="Calibri" w:hAnsi="Calibri"/>
                <w:b w:val="0"/>
                <w:color w:val="526068"/>
                <w:sz w:val="16"/>
              </w:rPr>
              <w:t>Small</w:t>
            </w:r>
          </w:p>
        </w:tc>
        <w:tc>
          <w:tcPr>
            <w:tcW w:type="dxa" w:w="3600"/>
          </w:tcPr>
          <w:p>
            <w:pPr>
              <w:spacing w:line="283" w:lineRule="auto" w:after="20"/>
            </w:pPr>
            <w:r/>
            <w:r>
              <w:rPr>
                <w:rFonts w:ascii="Calibri" w:hAnsi="Calibri"/>
                <w:b w:val="0"/>
                <w:color w:val="526068"/>
                <w:sz w:val="16"/>
              </w:rPr>
              <w:t>Full-price calls currently returning nothing</w:t>
            </w:r>
          </w:p>
        </w:tc>
      </w:tr>
      <w:tr>
        <w:tc>
          <w:tcPr>
            <w:tcW w:type="dxa" w:w="4896"/>
          </w:tcPr>
          <w:p>
            <w:pPr>
              <w:spacing w:line="283" w:lineRule="auto" w:after="20"/>
            </w:pPr>
            <w:r/>
            <w:r>
              <w:rPr>
                <w:rFonts w:ascii="Calibri" w:hAnsi="Calibri"/>
                <w:b/>
                <w:color w:val="172126"/>
                <w:sz w:val="16"/>
              </w:rPr>
              <w:t>Write a DV Quaters retrieval corpus</w:t>
            </w:r>
          </w:p>
        </w:tc>
        <w:tc>
          <w:tcPr>
            <w:tcW w:type="dxa" w:w="1008"/>
          </w:tcPr>
          <w:p>
            <w:pPr>
              <w:spacing w:line="283" w:lineRule="auto" w:after="20"/>
            </w:pPr>
            <w:r/>
            <w:r>
              <w:rPr>
                <w:rFonts w:ascii="Calibri" w:hAnsi="Calibri"/>
                <w:b w:val="0"/>
                <w:color w:val="526068"/>
                <w:sz w:val="16"/>
              </w:rPr>
              <w:t>Small</w:t>
            </w:r>
          </w:p>
        </w:tc>
        <w:tc>
          <w:tcPr>
            <w:tcW w:type="dxa" w:w="3600"/>
          </w:tcPr>
          <w:p>
            <w:pPr>
              <w:spacing w:line="283" w:lineRule="auto" w:after="20"/>
            </w:pPr>
            <w:r/>
            <w:r>
              <w:rPr>
                <w:rFonts w:ascii="Calibri" w:hAnsi="Calibri"/>
                <w:b w:val="0"/>
                <w:color w:val="526068"/>
                <w:sz w:val="16"/>
              </w:rPr>
              <w:t>Turns the known 'shower section' miss into a number</w:t>
            </w:r>
          </w:p>
        </w:tc>
      </w:tr>
      <w:tr>
        <w:tc>
          <w:tcPr>
            <w:tcW w:type="dxa" w:w="4896"/>
          </w:tcPr>
          <w:p>
            <w:pPr>
              <w:spacing w:line="283" w:lineRule="auto" w:after="20"/>
            </w:pPr>
            <w:r/>
            <w:r>
              <w:rPr>
                <w:rFonts w:ascii="Calibri" w:hAnsi="Calibri"/>
                <w:b/>
                <w:color w:val="172126"/>
                <w:sz w:val="16"/>
              </w:rPr>
              <w:t>OCR the seven files with no text layer</w:t>
            </w:r>
          </w:p>
        </w:tc>
        <w:tc>
          <w:tcPr>
            <w:tcW w:type="dxa" w:w="1008"/>
          </w:tcPr>
          <w:p>
            <w:pPr>
              <w:spacing w:line="283" w:lineRule="auto" w:after="20"/>
            </w:pPr>
            <w:r/>
            <w:r>
              <w:rPr>
                <w:rFonts w:ascii="Calibri" w:hAnsi="Calibri"/>
                <w:b w:val="0"/>
                <w:color w:val="526068"/>
                <w:sz w:val="16"/>
              </w:rPr>
              <w:t>Medium</w:t>
            </w:r>
          </w:p>
        </w:tc>
        <w:tc>
          <w:tcPr>
            <w:tcW w:type="dxa" w:w="3600"/>
          </w:tcPr>
          <w:p>
            <w:pPr>
              <w:spacing w:line="283" w:lineRule="auto" w:after="20"/>
            </w:pPr>
            <w:r/>
            <w:r>
              <w:rPr>
                <w:rFonts w:ascii="Calibri" w:hAnsi="Calibri"/>
                <w:b w:val="0"/>
                <w:color w:val="526068"/>
                <w:sz w:val="16"/>
              </w:rPr>
              <w:t>They are invisible to every AI answer today</w:t>
            </w:r>
          </w:p>
        </w:tc>
      </w:tr>
    </w:tbl>
    <w:p>
      <w:pPr>
        <w:spacing w:after="60"/>
      </w:pPr>
    </w:p>
    <w:p>
      <w:r>
        <w:br w:type="page"/>
      </w:r>
    </w:p>
    <w:p>
      <w:pPr>
        <w:spacing w:before="0" w:after="60" w:line="312" w:lineRule="auto"/>
      </w:pPr>
      <w:r>
        <w:rPr>
          <w:rFonts w:ascii="Consolas" w:hAnsi="Consolas"/>
          <w:b/>
          <w:color w:val="087E75"/>
          <w:sz w:val="15"/>
        </w:rPr>
        <w:t>SECTION 9</w:t>
      </w:r>
    </w:p>
    <w:p>
      <w:pPr>
        <w:spacing w:before="0" w:after="160" w:line="252" w:lineRule="auto"/>
      </w:pPr>
      <w:r>
        <w:rPr>
          <w:rFonts w:ascii="Georgia" w:hAnsi="Georgia"/>
          <w:b/>
          <w:color w:val="172126"/>
          <w:sz w:val="38"/>
        </w:rPr>
        <w:t>Verification</w:t>
      </w:r>
    </w:p>
    <w:p>
      <w:pPr>
        <w:spacing w:before="0" w:after="200" w:line="312" w:lineRule="auto"/>
      </w:pPr>
      <w:r>
        <w:rPr>
          <w:rFonts w:ascii="Georgia" w:hAnsi="Georgia"/>
          <w:b w:val="0"/>
          <w:color w:val="526068"/>
          <w:sz w:val="21"/>
        </w:rPr>
        <w:t>Every claim in this report was checked by running something. This is how to repeat it.</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293"/>
        <w:gridCol w:w="3293"/>
        <w:gridCol w:w="3293"/>
      </w:tblGrid>
      <w:tr>
        <w:tc>
          <w:tcPr>
            <w:tcW w:type="dxa" w:w="2160"/>
            <w:shd w:val="clear" w:fill="F0F3F4"/>
          </w:tcPr>
          <w:p>
            <w:r/>
            <w:r>
              <w:rPr>
                <w:rFonts w:ascii="Calibri" w:hAnsi="Calibri"/>
                <w:b/>
                <w:color w:val="667279"/>
                <w:sz w:val="14"/>
              </w:rPr>
              <w:t>CHECK</w:t>
            </w:r>
          </w:p>
        </w:tc>
        <w:tc>
          <w:tcPr>
            <w:tcW w:type="dxa" w:w="3888"/>
            <w:shd w:val="clear" w:fill="F0F3F4"/>
          </w:tcPr>
          <w:p>
            <w:r/>
            <w:r>
              <w:rPr>
                <w:rFonts w:ascii="Calibri" w:hAnsi="Calibri"/>
                <w:b/>
                <w:color w:val="667279"/>
                <w:sz w:val="14"/>
              </w:rPr>
              <w:t>COMMAND</w:t>
            </w:r>
          </w:p>
        </w:tc>
        <w:tc>
          <w:tcPr>
            <w:tcW w:type="dxa" w:w="2304"/>
            <w:shd w:val="clear" w:fill="F0F3F4"/>
          </w:tcPr>
          <w:p>
            <w:r/>
            <w:r>
              <w:rPr>
                <w:rFonts w:ascii="Calibri" w:hAnsi="Calibri"/>
                <w:b/>
                <w:color w:val="667279"/>
                <w:sz w:val="14"/>
              </w:rPr>
              <w:t>RESULT</w:t>
            </w:r>
          </w:p>
        </w:tc>
      </w:tr>
      <w:tr>
        <w:tc>
          <w:tcPr>
            <w:tcW w:type="dxa" w:w="2160"/>
          </w:tcPr>
          <w:p>
            <w:pPr>
              <w:spacing w:line="283" w:lineRule="auto" w:after="20"/>
            </w:pPr>
            <w:r/>
            <w:r>
              <w:rPr>
                <w:rFonts w:ascii="Calibri" w:hAnsi="Calibri"/>
                <w:b/>
                <w:color w:val="172126"/>
                <w:sz w:val="16"/>
              </w:rPr>
              <w:t>Full suite</w:t>
            </w:r>
          </w:p>
        </w:tc>
        <w:tc>
          <w:tcPr>
            <w:tcW w:type="dxa" w:w="3888"/>
          </w:tcPr>
          <w:p>
            <w:pPr>
              <w:spacing w:line="283" w:lineRule="auto" w:after="20"/>
            </w:pPr>
            <w:r/>
            <w:r>
              <w:rPr>
                <w:rFonts w:ascii="Consolas" w:hAnsi="Consolas"/>
                <w:b w:val="0"/>
                <w:color w:val="526068"/>
                <w:sz w:val="16"/>
              </w:rPr>
              <w:t>npm test</w:t>
            </w:r>
          </w:p>
        </w:tc>
        <w:tc>
          <w:tcPr>
            <w:tcW w:type="dxa" w:w="2304"/>
          </w:tcPr>
          <w:p>
            <w:pPr>
              <w:spacing w:line="283" w:lineRule="auto" w:after="20"/>
            </w:pPr>
            <w:r/>
            <w:r>
              <w:rPr>
                <w:rFonts w:ascii="Calibri" w:hAnsi="Calibri"/>
                <w:b w:val="0"/>
                <w:color w:val="526068"/>
                <w:sz w:val="16"/>
              </w:rPr>
              <w:t>76 files · 1,569 tests</w:t>
            </w:r>
          </w:p>
        </w:tc>
      </w:tr>
      <w:tr>
        <w:tc>
          <w:tcPr>
            <w:tcW w:type="dxa" w:w="2160"/>
          </w:tcPr>
          <w:p>
            <w:pPr>
              <w:spacing w:line="283" w:lineRule="auto" w:after="20"/>
            </w:pPr>
            <w:r/>
            <w:r>
              <w:rPr>
                <w:rFonts w:ascii="Calibri" w:hAnsi="Calibri"/>
                <w:b/>
                <w:color w:val="172126"/>
                <w:sz w:val="16"/>
              </w:rPr>
              <w:t>Build</w:t>
            </w:r>
          </w:p>
        </w:tc>
        <w:tc>
          <w:tcPr>
            <w:tcW w:type="dxa" w:w="3888"/>
          </w:tcPr>
          <w:p>
            <w:pPr>
              <w:spacing w:line="283" w:lineRule="auto" w:after="20"/>
            </w:pPr>
            <w:r/>
            <w:r>
              <w:rPr>
                <w:rFonts w:ascii="Consolas" w:hAnsi="Consolas"/>
                <w:b w:val="0"/>
                <w:color w:val="526068"/>
                <w:sz w:val="16"/>
              </w:rPr>
              <w:t>npm run build</w:t>
            </w:r>
          </w:p>
        </w:tc>
        <w:tc>
          <w:tcPr>
            <w:tcW w:type="dxa" w:w="2304"/>
          </w:tcPr>
          <w:p>
            <w:pPr>
              <w:spacing w:line="283" w:lineRule="auto" w:after="20"/>
            </w:pPr>
            <w:r/>
            <w:r>
              <w:rPr>
                <w:rFonts w:ascii="Calibri" w:hAnsi="Calibri"/>
                <w:b w:val="0"/>
                <w:color w:val="526068"/>
                <w:sz w:val="16"/>
              </w:rPr>
              <w:t>Compiled successfully</w:t>
            </w:r>
          </w:p>
        </w:tc>
      </w:tr>
      <w:tr>
        <w:tc>
          <w:tcPr>
            <w:tcW w:type="dxa" w:w="2160"/>
          </w:tcPr>
          <w:p>
            <w:pPr>
              <w:spacing w:line="283" w:lineRule="auto" w:after="20"/>
            </w:pPr>
            <w:r/>
            <w:r>
              <w:rPr>
                <w:rFonts w:ascii="Calibri" w:hAnsi="Calibri"/>
                <w:b/>
                <w:color w:val="172126"/>
                <w:sz w:val="16"/>
              </w:rPr>
              <w:t>AI evaluation</w:t>
            </w:r>
          </w:p>
        </w:tc>
        <w:tc>
          <w:tcPr>
            <w:tcW w:type="dxa" w:w="3888"/>
          </w:tcPr>
          <w:p>
            <w:pPr>
              <w:spacing w:line="283" w:lineRule="auto" w:after="20"/>
            </w:pPr>
            <w:r/>
            <w:r>
              <w:rPr>
                <w:rFonts w:ascii="Consolas" w:hAnsi="Consolas"/>
                <w:b w:val="0"/>
                <w:color w:val="526068"/>
                <w:sz w:val="16"/>
              </w:rPr>
              <w:t>npm run eval</w:t>
            </w:r>
          </w:p>
        </w:tc>
        <w:tc>
          <w:tcPr>
            <w:tcW w:type="dxa" w:w="2304"/>
          </w:tcPr>
          <w:p>
            <w:pPr>
              <w:spacing w:line="283" w:lineRule="auto" w:after="20"/>
            </w:pPr>
            <w:r/>
            <w:r>
              <w:rPr>
                <w:rFonts w:ascii="Calibri" w:hAnsi="Calibri"/>
                <w:b w:val="0"/>
                <w:color w:val="526068"/>
                <w:sz w:val="16"/>
              </w:rPr>
              <w:t>55 tests · no DB, no API key</w:t>
            </w:r>
          </w:p>
        </w:tc>
      </w:tr>
      <w:tr>
        <w:tc>
          <w:tcPr>
            <w:tcW w:type="dxa" w:w="2160"/>
          </w:tcPr>
          <w:p>
            <w:pPr>
              <w:spacing w:line="283" w:lineRule="auto" w:after="20"/>
            </w:pPr>
            <w:r/>
            <w:r>
              <w:rPr>
                <w:rFonts w:ascii="Calibri" w:hAnsi="Calibri"/>
                <w:b/>
                <w:color w:val="172126"/>
                <w:sz w:val="16"/>
              </w:rPr>
              <w:t>Inventory closed list</w:t>
            </w:r>
          </w:p>
        </w:tc>
        <w:tc>
          <w:tcPr>
            <w:tcW w:type="dxa" w:w="3888"/>
          </w:tcPr>
          <w:p>
            <w:pPr>
              <w:spacing w:line="283" w:lineRule="auto" w:after="20"/>
            </w:pPr>
            <w:r/>
            <w:r>
              <w:rPr>
                <w:rFonts w:ascii="Consolas" w:hAnsi="Consolas"/>
                <w:b w:val="0"/>
                <w:color w:val="526068"/>
                <w:sz w:val="16"/>
              </w:rPr>
              <w:t>npx vitest run test/usage-coverage.test.ts</w:t>
            </w:r>
          </w:p>
        </w:tc>
        <w:tc>
          <w:tcPr>
            <w:tcW w:type="dxa" w:w="2304"/>
          </w:tcPr>
          <w:p>
            <w:pPr>
              <w:spacing w:line="283" w:lineRule="auto" w:after="20"/>
            </w:pPr>
            <w:r/>
            <w:r>
              <w:rPr>
                <w:rFonts w:ascii="Calibri" w:hAnsi="Calibri"/>
                <w:b w:val="0"/>
                <w:color w:val="526068"/>
                <w:sz w:val="16"/>
              </w:rPr>
              <w:t>17 passed</w:t>
            </w:r>
          </w:p>
        </w:tc>
      </w:tr>
      <w:tr>
        <w:tc>
          <w:tcPr>
            <w:tcW w:type="dxa" w:w="2160"/>
          </w:tcPr>
          <w:p>
            <w:pPr>
              <w:spacing w:line="283" w:lineRule="auto" w:after="20"/>
            </w:pPr>
            <w:r/>
            <w:r>
              <w:rPr>
                <w:rFonts w:ascii="Calibri" w:hAnsi="Calibri"/>
                <w:b/>
                <w:color w:val="172126"/>
                <w:sz w:val="16"/>
              </w:rPr>
              <w:t>Worker isolation</w:t>
            </w:r>
          </w:p>
        </w:tc>
        <w:tc>
          <w:tcPr>
            <w:tcW w:type="dxa" w:w="3888"/>
          </w:tcPr>
          <w:p>
            <w:pPr>
              <w:spacing w:line="283" w:lineRule="auto" w:after="20"/>
            </w:pPr>
            <w:r/>
            <w:r>
              <w:rPr>
                <w:rFonts w:ascii="Consolas" w:hAnsi="Consolas"/>
                <w:b w:val="0"/>
                <w:color w:val="526068"/>
                <w:sz w:val="16"/>
              </w:rPr>
              <w:t>0 deps, 0 DB imports + 3 governance suites</w:t>
            </w:r>
          </w:p>
        </w:tc>
        <w:tc>
          <w:tcPr>
            <w:tcW w:type="dxa" w:w="2304"/>
          </w:tcPr>
          <w:p>
            <w:pPr>
              <w:spacing w:line="283" w:lineRule="auto" w:after="20"/>
            </w:pPr>
            <w:r/>
            <w:r>
              <w:rPr>
                <w:rFonts w:ascii="Calibri" w:hAnsi="Calibri"/>
                <w:b w:val="0"/>
                <w:color w:val="526068"/>
                <w:sz w:val="16"/>
              </w:rPr>
              <w:t>71 passed</w:t>
            </w:r>
          </w:p>
        </w:tc>
      </w:tr>
      <w:tr>
        <w:tc>
          <w:tcPr>
            <w:tcW w:type="dxa" w:w="2160"/>
          </w:tcPr>
          <w:p>
            <w:pPr>
              <w:spacing w:line="283" w:lineRule="auto" w:after="20"/>
            </w:pPr>
            <w:r/>
            <w:r>
              <w:rPr>
                <w:rFonts w:ascii="Calibri" w:hAnsi="Calibri"/>
                <w:b/>
                <w:color w:val="172126"/>
                <w:sz w:val="16"/>
              </w:rPr>
              <w:t>Routing and pricing</w:t>
            </w:r>
          </w:p>
        </w:tc>
        <w:tc>
          <w:tcPr>
            <w:tcW w:type="dxa" w:w="3888"/>
          </w:tcPr>
          <w:p>
            <w:pPr>
              <w:spacing w:line="283" w:lineRule="auto" w:after="20"/>
            </w:pPr>
            <w:r/>
            <w:r>
              <w:rPr>
                <w:rFonts w:ascii="Consolas" w:hAnsi="Consolas"/>
                <w:b w:val="0"/>
                <w:color w:val="526068"/>
                <w:sz w:val="16"/>
              </w:rPr>
              <w:t>4 suites</w:t>
            </w:r>
          </w:p>
        </w:tc>
        <w:tc>
          <w:tcPr>
            <w:tcW w:type="dxa" w:w="2304"/>
          </w:tcPr>
          <w:p>
            <w:pPr>
              <w:spacing w:line="283" w:lineRule="auto" w:after="20"/>
            </w:pPr>
            <w:r/>
            <w:r>
              <w:rPr>
                <w:rFonts w:ascii="Calibri" w:hAnsi="Calibri"/>
                <w:b w:val="0"/>
                <w:color w:val="526068"/>
                <w:sz w:val="16"/>
              </w:rPr>
              <w:t>91 passed</w:t>
            </w:r>
          </w:p>
        </w:tc>
      </w:tr>
      <w:tr>
        <w:tc>
          <w:tcPr>
            <w:tcW w:type="dxa" w:w="2160"/>
          </w:tcPr>
          <w:p>
            <w:pPr>
              <w:spacing w:line="283" w:lineRule="auto" w:after="20"/>
            </w:pPr>
            <w:r/>
            <w:r>
              <w:rPr>
                <w:rFonts w:ascii="Calibri" w:hAnsi="Calibri"/>
                <w:b/>
                <w:color w:val="172126"/>
                <w:sz w:val="16"/>
              </w:rPr>
              <w:t>Prompt coverage</w:t>
            </w:r>
          </w:p>
        </w:tc>
        <w:tc>
          <w:tcPr>
            <w:tcW w:type="dxa" w:w="3888"/>
          </w:tcPr>
          <w:p>
            <w:pPr>
              <w:spacing w:line="283" w:lineRule="auto" w:after="20"/>
            </w:pPr>
            <w:r/>
            <w:r>
              <w:rPr>
                <w:rFonts w:ascii="Consolas" w:hAnsi="Consolas"/>
                <w:b w:val="0"/>
                <w:color w:val="526068"/>
                <w:sz w:val="16"/>
              </w:rPr>
              <w:t>SQL over ai_usage_ledger</w:t>
            </w:r>
          </w:p>
        </w:tc>
        <w:tc>
          <w:tcPr>
            <w:tcW w:type="dxa" w:w="2304"/>
          </w:tcPr>
          <w:p>
            <w:pPr>
              <w:spacing w:line="283" w:lineRule="auto" w:after="20"/>
            </w:pPr>
            <w:r/>
            <w:r>
              <w:rPr>
                <w:rFonts w:ascii="Calibri" w:hAnsi="Calibri"/>
                <w:b w:val="0"/>
                <w:color w:val="526068"/>
                <w:sz w:val="16"/>
              </w:rPr>
              <w:t>412 of 412</w:t>
            </w:r>
          </w:p>
        </w:tc>
      </w:tr>
      <w:tr>
        <w:tc>
          <w:tcPr>
            <w:tcW w:type="dxa" w:w="2160"/>
          </w:tcPr>
          <w:p>
            <w:pPr>
              <w:spacing w:line="283" w:lineRule="auto" w:after="20"/>
            </w:pPr>
            <w:r/>
            <w:r>
              <w:rPr>
                <w:rFonts w:ascii="Calibri" w:hAnsi="Calibri"/>
                <w:b/>
                <w:color w:val="172126"/>
                <w:sz w:val="16"/>
              </w:rPr>
              <w:t>Retrieval index</w:t>
            </w:r>
          </w:p>
        </w:tc>
        <w:tc>
          <w:tcPr>
            <w:tcW w:type="dxa" w:w="3888"/>
          </w:tcPr>
          <w:p>
            <w:pPr>
              <w:spacing w:line="283" w:lineRule="auto" w:after="20"/>
            </w:pPr>
            <w:r/>
            <w:r>
              <w:rPr>
                <w:rFonts w:ascii="Consolas" w:hAnsi="Consolas"/>
                <w:b w:val="0"/>
                <w:color w:val="526068"/>
                <w:sz w:val="16"/>
              </w:rPr>
              <w:t>SQL over chunk</w:t>
            </w:r>
          </w:p>
        </w:tc>
        <w:tc>
          <w:tcPr>
            <w:tcW w:type="dxa" w:w="2304"/>
          </w:tcPr>
          <w:p>
            <w:pPr>
              <w:spacing w:line="283" w:lineRule="auto" w:after="20"/>
            </w:pPr>
            <w:r/>
            <w:r>
              <w:rPr>
                <w:rFonts w:ascii="Calibri" w:hAnsi="Calibri"/>
                <w:b w:val="0"/>
                <w:color w:val="526068"/>
                <w:sz w:val="16"/>
              </w:rPr>
              <w:t>5,320 passages · 116 files</w:t>
            </w:r>
          </w:p>
        </w:tc>
      </w:tr>
      <w:tr>
        <w:tc>
          <w:tcPr>
            <w:tcW w:type="dxa" w:w="2160"/>
          </w:tcPr>
          <w:p>
            <w:pPr>
              <w:spacing w:line="283" w:lineRule="auto" w:after="20"/>
            </w:pPr>
            <w:r/>
            <w:r>
              <w:rPr>
                <w:rFonts w:ascii="Calibri" w:hAnsi="Calibri"/>
                <w:b/>
                <w:color w:val="172126"/>
                <w:sz w:val="16"/>
              </w:rPr>
              <w:t>Cost is measured</w:t>
            </w:r>
          </w:p>
        </w:tc>
        <w:tc>
          <w:tcPr>
            <w:tcW w:type="dxa" w:w="3888"/>
          </w:tcPr>
          <w:p>
            <w:pPr>
              <w:spacing w:line="283" w:lineRule="auto" w:after="20"/>
            </w:pPr>
            <w:r/>
            <w:r>
              <w:rPr>
                <w:rFonts w:ascii="Consolas" w:hAnsi="Consolas"/>
                <w:b w:val="0"/>
                <w:color w:val="526068"/>
                <w:sz w:val="16"/>
              </w:rPr>
              <w:t>SQL, grouped by fabricated/zero/measured</w:t>
            </w:r>
          </w:p>
        </w:tc>
        <w:tc>
          <w:tcPr>
            <w:tcW w:type="dxa" w:w="2304"/>
          </w:tcPr>
          <w:p>
            <w:pPr>
              <w:spacing w:line="283" w:lineRule="auto" w:after="20"/>
            </w:pPr>
            <w:r/>
            <w:r>
              <w:rPr>
                <w:rFonts w:ascii="Calibri" w:hAnsi="Calibri"/>
                <w:b w:val="0"/>
                <w:color w:val="526068"/>
                <w:sz w:val="16"/>
              </w:rPr>
              <w:t>last fabricated 27 Aug</w:t>
            </w:r>
          </w:p>
        </w:tc>
      </w:tr>
      <w:tr>
        <w:tc>
          <w:tcPr>
            <w:tcW w:type="dxa" w:w="2160"/>
          </w:tcPr>
          <w:p>
            <w:pPr>
              <w:spacing w:line="283" w:lineRule="auto" w:after="20"/>
            </w:pPr>
            <w:r/>
            <w:r>
              <w:rPr>
                <w:rFonts w:ascii="Calibri" w:hAnsi="Calibri"/>
                <w:b/>
                <w:color w:val="172126"/>
                <w:sz w:val="16"/>
              </w:rPr>
              <w:t>Registration closed</w:t>
            </w:r>
          </w:p>
        </w:tc>
        <w:tc>
          <w:tcPr>
            <w:tcW w:type="dxa" w:w="3888"/>
          </w:tcPr>
          <w:p>
            <w:pPr>
              <w:spacing w:line="283" w:lineRule="auto" w:after="20"/>
            </w:pPr>
            <w:r/>
            <w:r>
              <w:rPr>
                <w:rFonts w:ascii="Consolas" w:hAnsi="Consolas"/>
                <w:b w:val="0"/>
                <w:color w:val="526068"/>
                <w:sz w:val="16"/>
              </w:rPr>
              <w:t>curl POST sign-up on both planes</w:t>
            </w:r>
          </w:p>
        </w:tc>
        <w:tc>
          <w:tcPr>
            <w:tcW w:type="dxa" w:w="2304"/>
          </w:tcPr>
          <w:p>
            <w:pPr>
              <w:spacing w:line="283" w:lineRule="auto" w:after="20"/>
            </w:pPr>
            <w:r/>
            <w:r>
              <w:rPr>
                <w:rFonts w:ascii="Calibri" w:hAnsi="Calibri"/>
                <w:b w:val="0"/>
                <w:color w:val="526068"/>
                <w:sz w:val="16"/>
              </w:rPr>
              <w:t>403 / 403</w:t>
            </w:r>
          </w:p>
        </w:tc>
      </w:tr>
      <w:tr>
        <w:tc>
          <w:tcPr>
            <w:tcW w:type="dxa" w:w="2160"/>
          </w:tcPr>
          <w:p>
            <w:pPr>
              <w:spacing w:line="283" w:lineRule="auto" w:after="20"/>
            </w:pPr>
            <w:r/>
            <w:r>
              <w:rPr>
                <w:rFonts w:ascii="Calibri" w:hAnsi="Calibri"/>
                <w:b/>
                <w:color w:val="172126"/>
                <w:sz w:val="16"/>
              </w:rPr>
              <w:t>Transport</w:t>
            </w:r>
          </w:p>
        </w:tc>
        <w:tc>
          <w:tcPr>
            <w:tcW w:type="dxa" w:w="3888"/>
          </w:tcPr>
          <w:p>
            <w:pPr>
              <w:spacing w:line="283" w:lineRule="auto" w:after="20"/>
            </w:pPr>
            <w:r/>
            <w:r>
              <w:rPr>
                <w:rFonts w:ascii="Consolas" w:hAnsi="Consolas"/>
                <w:b w:val="0"/>
                <w:color w:val="526068"/>
                <w:sz w:val="16"/>
              </w:rPr>
              <w:t>curl -I both planes</w:t>
            </w:r>
          </w:p>
        </w:tc>
        <w:tc>
          <w:tcPr>
            <w:tcW w:type="dxa" w:w="2304"/>
          </w:tcPr>
          <w:p>
            <w:pPr>
              <w:spacing w:line="283" w:lineRule="auto" w:after="20"/>
            </w:pPr>
            <w:r/>
            <w:r>
              <w:rPr>
                <w:rFonts w:ascii="Calibri" w:hAnsi="Calibri"/>
                <w:b w:val="0"/>
                <w:color w:val="526068"/>
                <w:sz w:val="16"/>
              </w:rPr>
              <w:t>HSTS present on both</w:t>
            </w:r>
          </w:p>
        </w:tc>
      </w:tr>
    </w:tbl>
    <w:p>
      <w:pPr>
        <w:spacing w:after="60"/>
      </w:pP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9878"/>
      </w:tblGrid>
      <w:tr>
        <w:tc>
          <w:tcPr>
            <w:tcW w:type="dxa" w:w="9878"/>
            <w:shd w:val="clear" w:fill="FBEAE8"/>
          </w:tcPr>
          <w:p>
            <w:r/>
            <w:r>
              <w:rPr>
                <w:rFonts w:ascii="Calibri" w:hAnsi="Calibri"/>
                <w:b/>
                <w:color w:val="B42318"/>
                <w:sz w:val="14"/>
              </w:rPr>
              <w:t>ONE TEST SHAPE TO AVOID</w:t>
            </w:r>
          </w:p>
          <w:p>
            <w:pPr>
              <w:spacing w:before="60" w:line="302" w:lineRule="auto"/>
            </w:pPr>
            <w:r>
              <w:rPr>
                <w:rFonts w:ascii="Georgia" w:hAnsi="Georgia"/>
                <w:color w:val="172126"/>
                <w:sz w:val="18"/>
              </w:rPr>
              <w:t>Do not verify registration closure by probing the endpoint. When the control is absent that probe succeeds — and creates an account, as it did here. Assert the 403.</w:t>
            </w:r>
          </w:p>
        </w:tc>
      </w:tr>
    </w:tbl>
    <w:p>
      <w:pPr>
        <w:spacing w:after="60"/>
      </w:pPr>
    </w:p>
    <w:p>
      <w:pPr>
        <w:spacing w:before="320" w:after="140" w:line="360" w:lineRule="auto"/>
      </w:pPr>
      <w:r>
        <w:rPr>
          <w:rFonts w:ascii="Consolas" w:hAnsi="Consolas"/>
          <w:b w:val="0"/>
          <w:color w:val="667279"/>
          <w:sz w:val="16"/>
        </w:rPr>
        <w:t>Compiled 2 September 2026 from the running system: the tenant and host schemas, the workflow and agent registries, the production usage ledger and retrieval index, the deployed topology, the three organisation repositories and the Preckon Engineering Bible. Counts are measured. Judgements are labelled as judgements.</w:t>
      </w:r>
    </w:p>
    <w:sectPr w:rsidR="00FC693F" w:rsidRPr="0006063C" w:rsidSect="00034616">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Georgia" w:hAnsi="Georgia" w:eastAsia="Georgia"/>
      <w:color w:val="52606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