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7" w:lineRule="auto"/>
      </w:pPr>
      <w:r>
        <w:rPr>
          <w:rFonts w:ascii="Consolas" w:hAnsi="Consolas"/>
          <w:b/>
          <w:color w:val="087E75"/>
          <w:sz w:val="16"/>
        </w:rPr>
        <w:t>PRECKON  ·  REPOSITORIES AND BRANCHES  ·  3 SEPTEMBER 2026</w:t>
      </w:r>
    </w:p>
    <w:p>
      <w:pPr>
        <w:spacing w:before="0" w:after="200" w:line="252" w:lineRule="auto"/>
      </w:pPr>
      <w:r>
        <w:rPr>
          <w:rFonts w:ascii="Georgia" w:hAnsi="Georgia"/>
          <w:b/>
          <w:color w:val="172126"/>
          <w:sz w:val="46"/>
        </w:rPr>
        <w:t>Every repository, every branch, and where the credentials still are</w:t>
      </w:r>
    </w:p>
    <w:p>
      <w:pPr>
        <w:spacing w:before="0" w:after="260" w:line="307" w:lineRule="auto"/>
      </w:pPr>
      <w:r>
        <w:rPr>
          <w:rFonts w:ascii="Georgia" w:hAnsi="Georgia"/>
          <w:b w:val="0"/>
          <w:color w:val="526068"/>
          <w:sz w:val="22"/>
        </w:rPr>
        <w:t>Four repositories, nine branches. Read from the remotes on 3 September. The branch survey found something the repository-level survey had missed: deleting a credentials file from main did not remove it from the repository, and it is still readable on two live refs.</w:t>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2016"/>
        <w:gridCol w:w="2016"/>
        <w:gridCol w:w="2016"/>
        <w:gridCol w:w="2016"/>
        <w:gridCol w:w="2016"/>
      </w:tblGrid>
      <w:tr>
        <w:tc>
          <w:tcPr>
            <w:tcW w:type="dxa" w:w="2016"/>
            <w:shd w:val="clear" w:fill="F0F3F4"/>
          </w:tcPr>
          <w:p>
            <w:pPr>
              <w:jc w:val="center"/>
            </w:pPr>
            <w:r/>
            <w:r>
              <w:rPr>
                <w:rFonts w:ascii="Calibri" w:hAnsi="Calibri"/>
                <w:b/>
                <w:color w:val="667279"/>
                <w:sz w:val="12"/>
              </w:rPr>
              <w:t>REPOSITORIES</w:t>
              <w:br/>
            </w:r>
            <w:r>
              <w:rPr>
                <w:rFonts w:ascii="Consolas" w:hAnsi="Consolas"/>
                <w:color w:val="172126"/>
                <w:sz w:val="30"/>
              </w:rPr>
              <w:t>4</w:t>
            </w:r>
          </w:p>
        </w:tc>
        <w:tc>
          <w:tcPr>
            <w:tcW w:type="dxa" w:w="2016"/>
            <w:shd w:val="clear" w:fill="F0F3F4"/>
          </w:tcPr>
          <w:p>
            <w:pPr>
              <w:jc w:val="center"/>
            </w:pPr>
            <w:r/>
            <w:r>
              <w:rPr>
                <w:rFonts w:ascii="Calibri" w:hAnsi="Calibri"/>
                <w:b/>
                <w:color w:val="667279"/>
                <w:sz w:val="12"/>
              </w:rPr>
              <w:t>BRANCHES</w:t>
              <w:br/>
            </w:r>
            <w:r>
              <w:rPr>
                <w:rFonts w:ascii="Consolas" w:hAnsi="Consolas"/>
                <w:color w:val="172126"/>
                <w:sz w:val="30"/>
              </w:rPr>
              <w:t>9</w:t>
            </w:r>
          </w:p>
        </w:tc>
        <w:tc>
          <w:tcPr>
            <w:tcW w:type="dxa" w:w="2016"/>
            <w:shd w:val="clear" w:fill="F0F3F4"/>
          </w:tcPr>
          <w:p>
            <w:pPr>
              <w:jc w:val="center"/>
            </w:pPr>
            <w:r/>
            <w:r>
              <w:rPr>
                <w:rFonts w:ascii="Calibri" w:hAnsi="Calibri"/>
                <w:b/>
                <w:color w:val="667279"/>
                <w:sz w:val="12"/>
              </w:rPr>
              <w:t>PUBLIC</w:t>
              <w:br/>
            </w:r>
            <w:r>
              <w:rPr>
                <w:rFonts w:ascii="Consolas" w:hAnsi="Consolas"/>
                <w:color w:val="172126"/>
                <w:sz w:val="30"/>
              </w:rPr>
              <w:t>1</w:t>
            </w:r>
          </w:p>
        </w:tc>
        <w:tc>
          <w:tcPr>
            <w:tcW w:type="dxa" w:w="2016"/>
            <w:shd w:val="clear" w:fill="F0F3F4"/>
          </w:tcPr>
          <w:p>
            <w:pPr>
              <w:jc w:val="center"/>
            </w:pPr>
            <w:r/>
            <w:r>
              <w:rPr>
                <w:rFonts w:ascii="Calibri" w:hAnsi="Calibri"/>
                <w:b/>
                <w:color w:val="667279"/>
                <w:sz w:val="12"/>
              </w:rPr>
              <w:t>REFS CARRYING CREDENTIALS</w:t>
              <w:br/>
            </w:r>
            <w:r>
              <w:rPr>
                <w:rFonts w:ascii="Consolas" w:hAnsi="Consolas"/>
                <w:color w:val="172126"/>
                <w:sz w:val="30"/>
              </w:rPr>
              <w:t>2</w:t>
            </w:r>
          </w:p>
        </w:tc>
        <w:tc>
          <w:tcPr>
            <w:tcW w:type="dxa" w:w="2016"/>
            <w:shd w:val="clear" w:fill="F0F3F4"/>
          </w:tcPr>
          <w:p>
            <w:pPr>
              <w:jc w:val="center"/>
            </w:pPr>
            <w:r/>
            <w:r>
              <w:rPr>
                <w:rFonts w:ascii="Calibri" w:hAnsi="Calibri"/>
                <w:b/>
                <w:color w:val="667279"/>
                <w:sz w:val="12"/>
              </w:rPr>
              <w:t>SAFE TO DELETE</w:t>
              <w:br/>
            </w:r>
            <w:r>
              <w:rPr>
                <w:rFonts w:ascii="Consolas" w:hAnsi="Consolas"/>
                <w:color w:val="172126"/>
                <w:sz w:val="30"/>
              </w:rPr>
              <w:t>3</w:t>
            </w:r>
          </w:p>
        </w:tc>
      </w:tr>
    </w:tbl>
    <w:p>
      <w:pPr>
        <w:spacing w:after="160"/>
      </w:pP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READ THIS BEFORE THE DETAIL</w:t>
            </w:r>
          </w:p>
          <w:p>
            <w:pPr>
              <w:spacing w:before="60" w:line="302" w:lineRule="auto"/>
            </w:pPr>
            <w:r>
              <w:rPr>
                <w:rFonts w:ascii="Georgia" w:hAnsi="Georgia"/>
                <w:color w:val="172126"/>
                <w:sz w:val="17"/>
              </w:rPr>
              <w:t>DEMO-CREDENTIALS.md was removed from techsmeinc/preckon-tenant and techsmeinc/preckon-host during this cycle. It is STILL present on techsmeinc/preckon-system main — both copies — and on the tenant's pre-sync-2026-08-13 branch. Anyone with read access to either can check it out today. Removing a file from one branch does not remove it from a repository.</w:t>
            </w:r>
          </w:p>
        </w:tc>
      </w:tr>
    </w:tbl>
    <w:p>
      <w:pPr>
        <w:spacing w:after="60"/>
      </w:pPr>
    </w:p>
    <w:p>
      <w:pPr>
        <w:spacing w:before="0" w:after="60" w:line="307" w:lineRule="auto"/>
      </w:pPr>
      <w:r>
        <w:rPr>
          <w:rFonts w:ascii="Consolas" w:hAnsi="Consolas"/>
          <w:b/>
          <w:color w:val="087E75"/>
          <w:sz w:val="15"/>
        </w:rPr>
        <w:t>PART 1</w:t>
      </w:r>
    </w:p>
    <w:p>
      <w:pPr>
        <w:spacing w:before="0" w:after="160" w:line="252" w:lineRule="auto"/>
      </w:pPr>
      <w:r>
        <w:rPr>
          <w:rFonts w:ascii="Georgia" w:hAnsi="Georgia"/>
          <w:b/>
          <w:color w:val="172126"/>
          <w:sz w:val="38"/>
        </w:rPr>
        <w:t>The four repositories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016"/>
        <w:gridCol w:w="2016"/>
        <w:gridCol w:w="2016"/>
        <w:gridCol w:w="2016"/>
        <w:gridCol w:w="2016"/>
      </w:tblGrid>
      <w:tr>
        <w:tc>
          <w:tcPr>
            <w:tcW w:type="dxa" w:w="2520"/>
            <w:shd w:val="clear" w:fill="F0F3F4"/>
          </w:tcPr>
          <w:p>
            <w:r/>
            <w:r>
              <w:rPr>
                <w:rFonts w:ascii="Calibri" w:hAnsi="Calibri"/>
                <w:b/>
                <w:color w:val="667279"/>
                <w:sz w:val="13"/>
              </w:rPr>
              <w:t>REPOSITORY</w:t>
            </w:r>
          </w:p>
        </w:tc>
        <w:tc>
          <w:tcPr>
            <w:tcW w:type="dxa" w:w="1080"/>
            <w:shd w:val="clear" w:fill="F0F3F4"/>
          </w:tcPr>
          <w:p>
            <w:r/>
            <w:r>
              <w:rPr>
                <w:rFonts w:ascii="Calibri" w:hAnsi="Calibri"/>
                <w:b/>
                <w:color w:val="667279"/>
                <w:sz w:val="13"/>
              </w:rPr>
              <w:t>VISIBILITY</w:t>
            </w:r>
          </w:p>
        </w:tc>
        <w:tc>
          <w:tcPr>
            <w:tcW w:type="dxa" w:w="3888"/>
            <w:shd w:val="clear" w:fill="F0F3F4"/>
          </w:tcPr>
          <w:p>
            <w:r/>
            <w:r>
              <w:rPr>
                <w:rFonts w:ascii="Calibri" w:hAnsi="Calibri"/>
                <w:b/>
                <w:color w:val="667279"/>
                <w:sz w:val="13"/>
              </w:rPr>
              <w:t>ROLE</w:t>
            </w:r>
          </w:p>
        </w:tc>
        <w:tc>
          <w:tcPr>
            <w:tcW w:type="dxa" w:w="1080"/>
            <w:shd w:val="clear" w:fill="F0F3F4"/>
          </w:tcPr>
          <w:p>
            <w:r/>
            <w:r>
              <w:rPr>
                <w:rFonts w:ascii="Calibri" w:hAnsi="Calibri"/>
                <w:b/>
                <w:color w:val="667279"/>
                <w:sz w:val="13"/>
              </w:rPr>
              <w:t>TIP</w:t>
            </w:r>
          </w:p>
        </w:tc>
        <w:tc>
          <w:tcPr>
            <w:tcW w:type="dxa" w:w="792"/>
            <w:shd w:val="clear" w:fill="F0F3F4"/>
          </w:tcPr>
          <w:p>
            <w:r/>
            <w:r>
              <w:rPr>
                <w:rFonts w:ascii="Calibri" w:hAnsi="Calibri"/>
                <w:b/>
                <w:color w:val="667279"/>
                <w:sz w:val="13"/>
              </w:rPr>
              <w:t>COMMITS</w:t>
            </w:r>
          </w:p>
        </w:tc>
      </w:tr>
      <w:tr>
        <w:tc>
          <w:tcPr>
            <w:tcW w:type="dxa" w:w="2520"/>
          </w:tcPr>
          <w:p>
            <w:pPr>
              <w:spacing w:line="278" w:lineRule="auto" w:after="0"/>
            </w:pPr>
            <w:r/>
            <w:r>
              <w:rPr>
                <w:rFonts w:ascii="Calibri" w:hAnsi="Calibri"/>
                <w:b/>
                <w:color w:val="172126"/>
                <w:sz w:val="15"/>
              </w:rPr>
              <w:t>divya053/newcomplete</w:t>
            </w:r>
          </w:p>
        </w:tc>
        <w:tc>
          <w:tcPr>
            <w:tcW w:type="dxa" w:w="1080"/>
            <w:shd w:val="clear" w:fill="FBEAE8"/>
          </w:tcPr>
          <w:p>
            <w:pPr>
              <w:spacing w:line="278" w:lineRule="auto" w:after="0"/>
            </w:pPr>
            <w:r/>
            <w:r>
              <w:rPr>
                <w:rFonts w:ascii="Calibri" w:hAnsi="Calibri"/>
                <w:b/>
                <w:color w:val="B42318"/>
                <w:sz w:val="15"/>
              </w:rPr>
              <w:t>PUBLIC</w:t>
            </w:r>
          </w:p>
        </w:tc>
        <w:tc>
          <w:tcPr>
            <w:tcW w:type="dxa" w:w="3888"/>
          </w:tcPr>
          <w:p>
            <w:pPr>
              <w:spacing w:line="278" w:lineRule="auto" w:after="0"/>
            </w:pPr>
            <w:r/>
            <w:r>
              <w:rPr>
                <w:rFonts w:ascii="Calibri" w:hAnsi="Calibri"/>
                <w:b w:val="0"/>
                <w:color w:val="526068"/>
                <w:sz w:val="15"/>
              </w:rPr>
              <w:t>Working monorepo. Autosync pushes every ten minutes since July</w:t>
            </w:r>
          </w:p>
        </w:tc>
        <w:tc>
          <w:tcPr>
            <w:tcW w:type="dxa" w:w="1080"/>
          </w:tcPr>
          <w:p>
            <w:pPr>
              <w:spacing w:line="278" w:lineRule="auto" w:after="0"/>
            </w:pPr>
            <w:r/>
            <w:r>
              <w:rPr>
                <w:rFonts w:ascii="Consolas" w:hAnsi="Consolas"/>
                <w:b w:val="0"/>
                <w:color w:val="526068"/>
                <w:sz w:val="15"/>
              </w:rPr>
              <w:t>ddde426d</w:t>
            </w:r>
          </w:p>
        </w:tc>
        <w:tc>
          <w:tcPr>
            <w:tcW w:type="dxa" w:w="792"/>
          </w:tcPr>
          <w:p>
            <w:pPr>
              <w:spacing w:line="278" w:lineRule="auto" w:after="0"/>
            </w:pPr>
            <w:r/>
            <w:r>
              <w:rPr>
                <w:rFonts w:ascii="Consolas" w:hAnsi="Consolas"/>
                <w:b w:val="0"/>
                <w:color w:val="526068"/>
                <w:sz w:val="15"/>
              </w:rPr>
              <w:t>—</w:t>
            </w:r>
          </w:p>
        </w:tc>
      </w:tr>
      <w:tr>
        <w:tc>
          <w:tcPr>
            <w:tcW w:type="dxa" w:w="2520"/>
          </w:tcPr>
          <w:p>
            <w:pPr>
              <w:spacing w:line="278" w:lineRule="auto" w:after="0"/>
            </w:pPr>
            <w:r/>
            <w:r>
              <w:rPr>
                <w:rFonts w:ascii="Calibri" w:hAnsi="Calibri"/>
                <w:b/>
                <w:color w:val="172126"/>
                <w:sz w:val="15"/>
              </w:rPr>
              <w:t>techsmeinc/preckon-system</w:t>
            </w:r>
          </w:p>
        </w:tc>
        <w:tc>
          <w:tcPr>
            <w:tcW w:type="dxa" w:w="1080"/>
          </w:tcPr>
          <w:p>
            <w:pPr>
              <w:spacing w:line="278" w:lineRule="auto" w:after="0"/>
            </w:pPr>
            <w:r/>
            <w:r>
              <w:rPr>
                <w:rFonts w:ascii="Calibri" w:hAnsi="Calibri"/>
                <w:b/>
                <w:color w:val="526068"/>
                <w:sz w:val="15"/>
              </w:rPr>
              <w:t>private</w:t>
            </w:r>
          </w:p>
        </w:tc>
        <w:tc>
          <w:tcPr>
            <w:tcW w:type="dxa" w:w="3888"/>
          </w:tcPr>
          <w:p>
            <w:pPr>
              <w:spacing w:line="278" w:lineRule="auto" w:after="0"/>
            </w:pPr>
            <w:r/>
            <w:r>
              <w:rPr>
                <w:rFonts w:ascii="Calibri" w:hAnsi="Calibri"/>
                <w:b w:val="0"/>
                <w:color w:val="526068"/>
                <w:sz w:val="15"/>
              </w:rPr>
              <w:t>Organisation artefact. Subtree of Preckon-system/</w:t>
            </w:r>
          </w:p>
        </w:tc>
        <w:tc>
          <w:tcPr>
            <w:tcW w:type="dxa" w:w="1080"/>
          </w:tcPr>
          <w:p>
            <w:pPr>
              <w:spacing w:line="278" w:lineRule="auto" w:after="0"/>
            </w:pPr>
            <w:r/>
            <w:r>
              <w:rPr>
                <w:rFonts w:ascii="Consolas" w:hAnsi="Consolas"/>
                <w:b w:val="0"/>
                <w:color w:val="526068"/>
                <w:sz w:val="15"/>
              </w:rPr>
              <w:t>59ff2f4</w:t>
            </w:r>
          </w:p>
        </w:tc>
        <w:tc>
          <w:tcPr>
            <w:tcW w:type="dxa" w:w="792"/>
          </w:tcPr>
          <w:p>
            <w:pPr>
              <w:spacing w:line="278" w:lineRule="auto" w:after="0"/>
            </w:pPr>
            <w:r/>
            <w:r>
              <w:rPr>
                <w:rFonts w:ascii="Consolas" w:hAnsi="Consolas"/>
                <w:b w:val="0"/>
                <w:color w:val="526068"/>
                <w:sz w:val="15"/>
              </w:rPr>
              <w:t>—</w:t>
            </w:r>
          </w:p>
        </w:tc>
      </w:tr>
      <w:tr>
        <w:tc>
          <w:tcPr>
            <w:tcW w:type="dxa" w:w="2520"/>
          </w:tcPr>
          <w:p>
            <w:pPr>
              <w:spacing w:line="278" w:lineRule="auto" w:after="0"/>
            </w:pPr>
            <w:r/>
            <w:r>
              <w:rPr>
                <w:rFonts w:ascii="Calibri" w:hAnsi="Calibri"/>
                <w:b/>
                <w:color w:val="172126"/>
                <w:sz w:val="15"/>
              </w:rPr>
              <w:t>techsmeinc/preckon-tenant</w:t>
            </w:r>
          </w:p>
        </w:tc>
        <w:tc>
          <w:tcPr>
            <w:tcW w:type="dxa" w:w="1080"/>
          </w:tcPr>
          <w:p>
            <w:pPr>
              <w:spacing w:line="278" w:lineRule="auto" w:after="0"/>
            </w:pPr>
            <w:r/>
            <w:r>
              <w:rPr>
                <w:rFonts w:ascii="Calibri" w:hAnsi="Calibri"/>
                <w:b/>
                <w:color w:val="526068"/>
                <w:sz w:val="15"/>
              </w:rPr>
              <w:t>private</w:t>
            </w:r>
          </w:p>
        </w:tc>
        <w:tc>
          <w:tcPr>
            <w:tcW w:type="dxa" w:w="3888"/>
          </w:tcPr>
          <w:p>
            <w:pPr>
              <w:spacing w:line="278" w:lineRule="auto" w:after="0"/>
            </w:pPr>
            <w:r/>
            <w:r>
              <w:rPr>
                <w:rFonts w:ascii="Calibri" w:hAnsi="Calibri"/>
                <w:b w:val="0"/>
                <w:color w:val="526068"/>
                <w:sz w:val="15"/>
              </w:rPr>
              <w:t>Tenant plane at its root. What the server deploys from</w:t>
            </w:r>
          </w:p>
        </w:tc>
        <w:tc>
          <w:tcPr>
            <w:tcW w:type="dxa" w:w="1080"/>
          </w:tcPr>
          <w:p>
            <w:pPr>
              <w:spacing w:line="278" w:lineRule="auto" w:after="0"/>
            </w:pPr>
            <w:r/>
            <w:r>
              <w:rPr>
                <w:rFonts w:ascii="Consolas" w:hAnsi="Consolas"/>
                <w:b w:val="0"/>
                <w:color w:val="526068"/>
                <w:sz w:val="15"/>
              </w:rPr>
              <w:t>218713c</w:t>
            </w:r>
          </w:p>
        </w:tc>
        <w:tc>
          <w:tcPr>
            <w:tcW w:type="dxa" w:w="792"/>
          </w:tcPr>
          <w:p>
            <w:pPr>
              <w:spacing w:line="278" w:lineRule="auto" w:after="0"/>
            </w:pPr>
            <w:r/>
            <w:r>
              <w:rPr>
                <w:rFonts w:ascii="Consolas" w:hAnsi="Consolas"/>
                <w:b w:val="0"/>
                <w:color w:val="526068"/>
                <w:sz w:val="15"/>
              </w:rPr>
              <w:t>510</w:t>
            </w:r>
          </w:p>
        </w:tc>
      </w:tr>
      <w:tr>
        <w:tc>
          <w:tcPr>
            <w:tcW w:type="dxa" w:w="2520"/>
          </w:tcPr>
          <w:p>
            <w:pPr>
              <w:spacing w:line="278" w:lineRule="auto" w:after="0"/>
            </w:pPr>
            <w:r/>
            <w:r>
              <w:rPr>
                <w:rFonts w:ascii="Calibri" w:hAnsi="Calibri"/>
                <w:b/>
                <w:color w:val="172126"/>
                <w:sz w:val="15"/>
              </w:rPr>
              <w:t>techsmeinc/preckon-host</w:t>
            </w:r>
          </w:p>
        </w:tc>
        <w:tc>
          <w:tcPr>
            <w:tcW w:type="dxa" w:w="1080"/>
          </w:tcPr>
          <w:p>
            <w:pPr>
              <w:spacing w:line="278" w:lineRule="auto" w:after="0"/>
            </w:pPr>
            <w:r/>
            <w:r>
              <w:rPr>
                <w:rFonts w:ascii="Calibri" w:hAnsi="Calibri"/>
                <w:b/>
                <w:color w:val="526068"/>
                <w:sz w:val="15"/>
              </w:rPr>
              <w:t>private</w:t>
            </w:r>
          </w:p>
        </w:tc>
        <w:tc>
          <w:tcPr>
            <w:tcW w:type="dxa" w:w="3888"/>
          </w:tcPr>
          <w:p>
            <w:pPr>
              <w:spacing w:line="278" w:lineRule="auto" w:after="0"/>
            </w:pPr>
            <w:r/>
            <w:r>
              <w:rPr>
                <w:rFonts w:ascii="Calibri" w:hAnsi="Calibri"/>
                <w:b w:val="0"/>
                <w:color w:val="526068"/>
                <w:sz w:val="15"/>
              </w:rPr>
              <w:t>Host plane at its root</w:t>
            </w:r>
          </w:p>
        </w:tc>
        <w:tc>
          <w:tcPr>
            <w:tcW w:type="dxa" w:w="1080"/>
          </w:tcPr>
          <w:p>
            <w:pPr>
              <w:spacing w:line="278" w:lineRule="auto" w:after="0"/>
            </w:pPr>
            <w:r/>
            <w:r>
              <w:rPr>
                <w:rFonts w:ascii="Consolas" w:hAnsi="Consolas"/>
                <w:b w:val="0"/>
                <w:color w:val="526068"/>
                <w:sz w:val="15"/>
              </w:rPr>
              <w:t>4711473</w:t>
            </w:r>
          </w:p>
        </w:tc>
        <w:tc>
          <w:tcPr>
            <w:tcW w:type="dxa" w:w="792"/>
          </w:tcPr>
          <w:p>
            <w:pPr>
              <w:spacing w:line="278" w:lineRule="auto" w:after="0"/>
            </w:pPr>
            <w:r/>
            <w:r>
              <w:rPr>
                <w:rFonts w:ascii="Consolas" w:hAnsi="Consolas"/>
                <w:b w:val="0"/>
                <w:color w:val="526068"/>
                <w:sz w:val="15"/>
              </w:rPr>
              <w:t>23</w:t>
            </w:r>
          </w:p>
        </w:tc>
      </w:tr>
    </w:tbl>
    <w:p>
      <w:pPr>
        <w:spacing w:after="60"/>
      </w:pPr>
    </w:p>
    <w:p>
      <w:pPr>
        <w:spacing w:before="260" w:after="80" w:line="307" w:lineRule="auto"/>
      </w:pPr>
      <w:r>
        <w:rPr>
          <w:rFonts w:ascii="Calibri" w:hAnsi="Calibri"/>
          <w:b/>
          <w:color w:val="172126"/>
          <w:sz w:val="22"/>
        </w:rPr>
        <w:t>1.1  How they relate</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Preckon-system/                     one working monorepo</w:t>
              <w:br/>
              <w:t xml:space="preserve">  |                                 -&gt; divya053/newcomplete        (PUBLIC, every 10 min)</w:t>
              <w:br/>
              <w:t xml:space="preserve">  |-- subtree of Preckon-system/    -&gt; techsmeinc/preckon-system   (nightly, merge)</w:t>
              <w:br/>
              <w:t xml:space="preserve">  |-- subtree of preckon-tenant/    -&gt; techsmeinc/preckon-tenant   (nightly, merge)</w:t>
              <w:br/>
              <w:t xml:space="preserve">  \-- subtree of preckon-host/      -&gt; techsmeinc/preckon-host     (nightly, OVERLAY)</w:t>
            </w:r>
          </w:p>
        </w:tc>
      </w:tr>
    </w:tbl>
    <w:p>
      <w:pPr>
        <w:spacing w:after="40"/>
      </w:pPr>
    </w:p>
    <w:p>
      <w:pPr>
        <w:spacing w:before="0" w:after="140" w:line="307" w:lineRule="auto"/>
      </w:pPr>
      <w:r>
        <w:rPr>
          <w:rFonts w:ascii="Georgia" w:hAnsi="Georgia"/>
          <w:b w:val="0"/>
          <w:color w:val="526068"/>
          <w:sz w:val="19"/>
        </w:rPr>
        <w:t>The three organisation repositories hold their plane at the ROOT, so publishing is a subtree split rather than a plain push. preckon-host is the exception to the exception: its history has no common ancestor with the monorepo subtree, so git refuses to merge them and it is published by overlay on top of its own commits.</w:t>
      </w:r>
    </w:p>
    <w:p>
      <w:pPr>
        <w:spacing w:before="260" w:after="80" w:line="307" w:lineRule="auto"/>
      </w:pPr>
      <w:r>
        <w:rPr>
          <w:rFonts w:ascii="Calibri" w:hAnsi="Calibri"/>
          <w:b/>
          <w:color w:val="172126"/>
          <w:sz w:val="22"/>
        </w:rPr>
        <w:t>1.2  The public one</w:t>
      </w:r>
    </w:p>
    <w:p>
      <w:pPr>
        <w:spacing w:before="0" w:after="140" w:line="307" w:lineRule="auto"/>
      </w:pPr>
      <w:r>
        <w:rPr>
          <w:rFonts w:ascii="Georgia" w:hAnsi="Georgia"/>
          <w:b w:val="0"/>
          <w:color w:val="526068"/>
          <w:sz w:val="19"/>
        </w:rPr>
        <w:t>divya053/newcomplete is public and has received the entire source every ten minutes since July, DEMO-CREDENTIALS.md included. The credential guard in the sync script matches API-key shapes — sk-ant-, AKIA, JWTs — and a password that reads as ordinary prose passes straight through it.</w:t>
      </w:r>
    </w:p>
    <w:p>
      <w:pPr>
        <w:spacing w:before="0" w:after="140" w:line="307" w:lineRule="auto"/>
      </w:pPr>
      <w:r>
        <w:rPr>
          <w:rFonts w:ascii="Georgia" w:hAnsi="Georgia"/>
          <w:b w:val="0"/>
          <w:color w:val="526068"/>
          <w:sz w:val="19"/>
        </w:rPr>
        <w:t>This is the standing decision from the September engineering report and it sits above everything else in this document.</w:t>
      </w:r>
    </w:p>
    <w:p>
      <w:r>
        <w:br w:type="page"/>
      </w:r>
    </w:p>
    <w:p>
      <w:pPr>
        <w:spacing w:before="0" w:after="60" w:line="307" w:lineRule="auto"/>
      </w:pPr>
      <w:r>
        <w:rPr>
          <w:rFonts w:ascii="Consolas" w:hAnsi="Consolas"/>
          <w:b/>
          <w:color w:val="087E75"/>
          <w:sz w:val="15"/>
        </w:rPr>
        <w:t>PART 2</w:t>
      </w:r>
    </w:p>
    <w:p>
      <w:pPr>
        <w:spacing w:before="0" w:after="160" w:line="252" w:lineRule="auto"/>
      </w:pPr>
      <w:r>
        <w:rPr>
          <w:rFonts w:ascii="Georgia" w:hAnsi="Georgia"/>
          <w:b/>
          <w:color w:val="172126"/>
          <w:sz w:val="38"/>
        </w:rPr>
        <w:t>Branch by branch</w:t>
      </w:r>
    </w:p>
    <w:p>
      <w:pPr>
        <w:spacing w:before="0" w:after="200" w:line="307" w:lineRule="auto"/>
      </w:pPr>
      <w:r>
        <w:rPr>
          <w:rFonts w:ascii="Georgia" w:hAnsi="Georgia"/>
          <w:b w:val="0"/>
          <w:color w:val="526068"/>
          <w:sz w:val="21"/>
        </w:rPr>
        <w:t>Divergence measured against each repository's own main.</w:t>
      </w:r>
    </w:p>
    <w:p>
      <w:pPr>
        <w:spacing w:before="260" w:after="80" w:line="307" w:lineRule="auto"/>
      </w:pPr>
      <w:r>
        <w:rPr>
          <w:rFonts w:ascii="Calibri" w:hAnsi="Calibri"/>
          <w:b/>
          <w:color w:val="172126"/>
          <w:sz w:val="22"/>
        </w:rPr>
        <w:t>2.1  Summary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1440"/>
        <w:gridCol w:w="1440"/>
        <w:gridCol w:w="1440"/>
        <w:gridCol w:w="1440"/>
        <w:gridCol w:w="1440"/>
        <w:gridCol w:w="1440"/>
        <w:gridCol w:w="1440"/>
      </w:tblGrid>
      <w:tr>
        <w:tc>
          <w:tcPr>
            <w:tcW w:type="dxa" w:w="2808"/>
            <w:shd w:val="clear" w:fill="F0F3F4"/>
          </w:tcPr>
          <w:p>
            <w:r/>
            <w:r>
              <w:rPr>
                <w:rFonts w:ascii="Calibri" w:hAnsi="Calibri"/>
                <w:b/>
                <w:color w:val="667279"/>
                <w:sz w:val="13"/>
              </w:rPr>
              <w:t>BRANCH</w:t>
            </w:r>
          </w:p>
        </w:tc>
        <w:tc>
          <w:tcPr>
            <w:tcW w:type="dxa" w:w="864"/>
            <w:shd w:val="clear" w:fill="F0F3F4"/>
          </w:tcPr>
          <w:p>
            <w:r/>
            <w:r>
              <w:rPr>
                <w:rFonts w:ascii="Calibri" w:hAnsi="Calibri"/>
                <w:b/>
                <w:color w:val="667279"/>
                <w:sz w:val="13"/>
              </w:rPr>
              <w:t>REPO</w:t>
            </w:r>
          </w:p>
        </w:tc>
        <w:tc>
          <w:tcPr>
            <w:tcW w:type="dxa" w:w="648"/>
            <w:shd w:val="clear" w:fill="F0F3F4"/>
          </w:tcPr>
          <w:p>
            <w:r/>
            <w:r>
              <w:rPr>
                <w:rFonts w:ascii="Calibri" w:hAnsi="Calibri"/>
                <w:b/>
                <w:color w:val="667279"/>
                <w:sz w:val="13"/>
              </w:rPr>
              <w:t>AHEAD</w:t>
            </w:r>
          </w:p>
        </w:tc>
        <w:tc>
          <w:tcPr>
            <w:tcW w:type="dxa" w:w="720"/>
            <w:shd w:val="clear" w:fill="F0F3F4"/>
          </w:tcPr>
          <w:p>
            <w:r/>
            <w:r>
              <w:rPr>
                <w:rFonts w:ascii="Calibri" w:hAnsi="Calibri"/>
                <w:b/>
                <w:color w:val="667279"/>
                <w:sz w:val="13"/>
              </w:rPr>
              <w:t>BEHIND</w:t>
            </w:r>
          </w:p>
        </w:tc>
        <w:tc>
          <w:tcPr>
            <w:tcW w:type="dxa" w:w="1152"/>
            <w:shd w:val="clear" w:fill="F0F3F4"/>
          </w:tcPr>
          <w:p>
            <w:r/>
            <w:r>
              <w:rPr>
                <w:rFonts w:ascii="Calibri" w:hAnsi="Calibri"/>
                <w:b/>
                <w:color w:val="667279"/>
                <w:sz w:val="13"/>
              </w:rPr>
              <w:t>LAST</w:t>
            </w:r>
          </w:p>
        </w:tc>
        <w:tc>
          <w:tcPr>
            <w:tcW w:type="dxa" w:w="1152"/>
            <w:shd w:val="clear" w:fill="F0F3F4"/>
          </w:tcPr>
          <w:p>
            <w:r/>
            <w:r>
              <w:rPr>
                <w:rFonts w:ascii="Calibri" w:hAnsi="Calibri"/>
                <w:b/>
                <w:color w:val="667279"/>
                <w:sz w:val="13"/>
              </w:rPr>
              <w:t>AUTHOR</w:t>
            </w:r>
          </w:p>
        </w:tc>
        <w:tc>
          <w:tcPr>
            <w:tcW w:type="dxa" w:w="864"/>
            <w:shd w:val="clear" w:fill="F0F3F4"/>
          </w:tcPr>
          <w:p>
            <w:r/>
            <w:r>
              <w:rPr>
                <w:rFonts w:ascii="Calibri" w:hAnsi="Calibri"/>
                <w:b/>
                <w:color w:val="667279"/>
                <w:sz w:val="13"/>
              </w:rPr>
              <w:t>ACTION</w:t>
            </w:r>
          </w:p>
        </w:tc>
      </w:tr>
      <w:tr>
        <w:tc>
          <w:tcPr>
            <w:tcW w:type="dxa" w:w="2808"/>
          </w:tcPr>
          <w:p>
            <w:pPr>
              <w:spacing w:line="278" w:lineRule="auto" w:after="0"/>
            </w:pPr>
            <w:r/>
            <w:r>
              <w:rPr>
                <w:rFonts w:ascii="Calibri" w:hAnsi="Calibri"/>
                <w:b/>
                <w:color w:val="172126"/>
                <w:sz w:val="15"/>
              </w:rPr>
              <w:t>main</w:t>
            </w:r>
          </w:p>
        </w:tc>
        <w:tc>
          <w:tcPr>
            <w:tcW w:type="dxa" w:w="864"/>
          </w:tcPr>
          <w:p>
            <w:pPr>
              <w:spacing w:line="278" w:lineRule="auto" w:after="0"/>
            </w:pPr>
            <w:r/>
            <w:r>
              <w:rPr>
                <w:rFonts w:ascii="Calibri" w:hAnsi="Calibri"/>
                <w:b w:val="0"/>
                <w:color w:val="526068"/>
                <w:sz w:val="15"/>
              </w:rPr>
              <w:t>all four</w:t>
            </w:r>
          </w:p>
        </w:tc>
        <w:tc>
          <w:tcPr>
            <w:tcW w:type="dxa" w:w="648"/>
          </w:tcPr>
          <w:p>
            <w:pPr>
              <w:spacing w:line="278" w:lineRule="auto" w:after="0"/>
            </w:pPr>
            <w:r/>
            <w:r>
              <w:rPr>
                <w:rFonts w:ascii="Consolas" w:hAnsi="Consolas"/>
                <w:b w:val="0"/>
                <w:color w:val="526068"/>
                <w:sz w:val="15"/>
              </w:rPr>
              <w:t>—</w:t>
            </w:r>
          </w:p>
        </w:tc>
        <w:tc>
          <w:tcPr>
            <w:tcW w:type="dxa" w:w="720"/>
          </w:tcPr>
          <w:p>
            <w:pPr>
              <w:spacing w:line="278" w:lineRule="auto" w:after="0"/>
            </w:pPr>
            <w:r/>
            <w:r>
              <w:rPr>
                <w:rFonts w:ascii="Consolas" w:hAnsi="Consolas"/>
                <w:b w:val="0"/>
                <w:color w:val="526068"/>
                <w:sz w:val="15"/>
              </w:rPr>
              <w:t>—</w:t>
            </w:r>
          </w:p>
        </w:tc>
        <w:tc>
          <w:tcPr>
            <w:tcW w:type="dxa" w:w="1152"/>
          </w:tcPr>
          <w:p>
            <w:pPr>
              <w:spacing w:line="278" w:lineRule="auto" w:after="0"/>
            </w:pPr>
            <w:r/>
            <w:r>
              <w:rPr>
                <w:rFonts w:ascii="Consolas" w:hAnsi="Consolas"/>
                <w:b w:val="0"/>
                <w:color w:val="526068"/>
                <w:sz w:val="15"/>
              </w:rPr>
              <w:t>2026-09-03</w:t>
            </w:r>
          </w:p>
        </w:tc>
        <w:tc>
          <w:tcPr>
            <w:tcW w:type="dxa" w:w="1152"/>
          </w:tcPr>
          <w:p>
            <w:pPr>
              <w:spacing w:line="278" w:lineRule="auto" w:after="0"/>
            </w:pPr>
            <w:r/>
            <w:r>
              <w:rPr>
                <w:rFonts w:ascii="Calibri" w:hAnsi="Calibri"/>
                <w:b w:val="0"/>
                <w:color w:val="526068"/>
                <w:sz w:val="15"/>
              </w:rPr>
              <w:t>D. Lalwani</w:t>
            </w:r>
          </w:p>
        </w:tc>
        <w:tc>
          <w:tcPr>
            <w:tcW w:type="dxa" w:w="864"/>
            <w:shd w:val="clear" w:fill="E6F3F1"/>
          </w:tcPr>
          <w:p>
            <w:pPr>
              <w:spacing w:line="278" w:lineRule="auto" w:after="0"/>
            </w:pPr>
            <w:r/>
            <w:r>
              <w:rPr>
                <w:rFonts w:ascii="Calibri" w:hAnsi="Calibri"/>
                <w:b/>
                <w:color w:val="087E75"/>
                <w:sz w:val="15"/>
              </w:rPr>
              <w:t>Live</w:t>
            </w:r>
          </w:p>
        </w:tc>
      </w:tr>
      <w:tr>
        <w:tc>
          <w:tcPr>
            <w:tcW w:type="dxa" w:w="2808"/>
          </w:tcPr>
          <w:p>
            <w:pPr>
              <w:spacing w:line="278" w:lineRule="auto" w:after="0"/>
            </w:pPr>
            <w:r/>
            <w:r>
              <w:rPr>
                <w:rFonts w:ascii="Calibri" w:hAnsi="Calibri"/>
                <w:b/>
                <w:color w:val="172126"/>
                <w:sz w:val="15"/>
              </w:rPr>
              <w:t>agent/t01a-credential-hygiene</w:t>
            </w:r>
          </w:p>
        </w:tc>
        <w:tc>
          <w:tcPr>
            <w:tcW w:type="dxa" w:w="864"/>
          </w:tcPr>
          <w:p>
            <w:pPr>
              <w:spacing w:line="278" w:lineRule="auto" w:after="0"/>
            </w:pPr>
            <w:r/>
            <w:r>
              <w:rPr>
                <w:rFonts w:ascii="Calibri" w:hAnsi="Calibri"/>
                <w:b w:val="0"/>
                <w:color w:val="526068"/>
                <w:sz w:val="15"/>
              </w:rPr>
              <w:t>tenant</w:t>
            </w:r>
          </w:p>
        </w:tc>
        <w:tc>
          <w:tcPr>
            <w:tcW w:type="dxa" w:w="648"/>
          </w:tcPr>
          <w:p>
            <w:pPr>
              <w:spacing w:line="278" w:lineRule="auto" w:after="0"/>
            </w:pPr>
            <w:r/>
            <w:r>
              <w:rPr>
                <w:rFonts w:ascii="Consolas" w:hAnsi="Consolas"/>
                <w:b w:val="0"/>
                <w:color w:val="526068"/>
                <w:sz w:val="15"/>
              </w:rPr>
              <w:t>0</w:t>
            </w:r>
          </w:p>
        </w:tc>
        <w:tc>
          <w:tcPr>
            <w:tcW w:type="dxa" w:w="720"/>
          </w:tcPr>
          <w:p>
            <w:pPr>
              <w:spacing w:line="278" w:lineRule="auto" w:after="0"/>
            </w:pPr>
            <w:r/>
            <w:r>
              <w:rPr>
                <w:rFonts w:ascii="Consolas" w:hAnsi="Consolas"/>
                <w:b w:val="0"/>
                <w:color w:val="526068"/>
                <w:sz w:val="15"/>
              </w:rPr>
              <w:t>3</w:t>
            </w:r>
          </w:p>
        </w:tc>
        <w:tc>
          <w:tcPr>
            <w:tcW w:type="dxa" w:w="1152"/>
          </w:tcPr>
          <w:p>
            <w:pPr>
              <w:spacing w:line="278" w:lineRule="auto" w:after="0"/>
            </w:pPr>
            <w:r/>
            <w:r>
              <w:rPr>
                <w:rFonts w:ascii="Consolas" w:hAnsi="Consolas"/>
                <w:b w:val="0"/>
                <w:color w:val="526068"/>
                <w:sz w:val="15"/>
              </w:rPr>
              <w:t>2026-09-01</w:t>
            </w:r>
          </w:p>
        </w:tc>
        <w:tc>
          <w:tcPr>
            <w:tcW w:type="dxa" w:w="1152"/>
          </w:tcPr>
          <w:p>
            <w:pPr>
              <w:spacing w:line="278" w:lineRule="auto" w:after="0"/>
            </w:pPr>
            <w:r/>
            <w:r>
              <w:rPr>
                <w:rFonts w:ascii="Calibri" w:hAnsi="Calibri"/>
                <w:b w:val="0"/>
                <w:color w:val="526068"/>
                <w:sz w:val="15"/>
              </w:rPr>
              <w:t>D. Lalwani</w:t>
            </w:r>
          </w:p>
        </w:tc>
        <w:tc>
          <w:tcPr>
            <w:tcW w:type="dxa" w:w="864"/>
            <w:shd w:val="clear" w:fill="FBF0E0"/>
          </w:tcPr>
          <w:p>
            <w:pPr>
              <w:spacing w:line="278" w:lineRule="auto" w:after="0"/>
            </w:pPr>
            <w:r/>
            <w:r>
              <w:rPr>
                <w:rFonts w:ascii="Calibri" w:hAnsi="Calibri"/>
                <w:b/>
                <w:color w:val="A56000"/>
                <w:sz w:val="15"/>
              </w:rPr>
              <w:t>Delete</w:t>
            </w:r>
          </w:p>
        </w:tc>
      </w:tr>
      <w:tr>
        <w:tc>
          <w:tcPr>
            <w:tcW w:type="dxa" w:w="2808"/>
          </w:tcPr>
          <w:p>
            <w:pPr>
              <w:spacing w:line="278" w:lineRule="auto" w:after="0"/>
            </w:pPr>
            <w:r/>
            <w:r>
              <w:rPr>
                <w:rFonts w:ascii="Calibri" w:hAnsi="Calibri"/>
                <w:b/>
                <w:color w:val="172126"/>
                <w:sz w:val="15"/>
              </w:rPr>
              <w:t>agent/t01-security-ci-peb-sync-v1</w:t>
            </w:r>
          </w:p>
        </w:tc>
        <w:tc>
          <w:tcPr>
            <w:tcW w:type="dxa" w:w="864"/>
          </w:tcPr>
          <w:p>
            <w:pPr>
              <w:spacing w:line="278" w:lineRule="auto" w:after="0"/>
            </w:pPr>
            <w:r/>
            <w:r>
              <w:rPr>
                <w:rFonts w:ascii="Calibri" w:hAnsi="Calibri"/>
                <w:b w:val="0"/>
                <w:color w:val="526068"/>
                <w:sz w:val="15"/>
              </w:rPr>
              <w:t>tenant</w:t>
            </w:r>
          </w:p>
        </w:tc>
        <w:tc>
          <w:tcPr>
            <w:tcW w:type="dxa" w:w="648"/>
          </w:tcPr>
          <w:p>
            <w:pPr>
              <w:spacing w:line="278" w:lineRule="auto" w:after="0"/>
            </w:pPr>
            <w:r/>
            <w:r>
              <w:rPr>
                <w:rFonts w:ascii="Consolas" w:hAnsi="Consolas"/>
                <w:b w:val="0"/>
                <w:color w:val="526068"/>
                <w:sz w:val="15"/>
              </w:rPr>
              <w:t>0</w:t>
            </w:r>
          </w:p>
        </w:tc>
        <w:tc>
          <w:tcPr>
            <w:tcW w:type="dxa" w:w="720"/>
          </w:tcPr>
          <w:p>
            <w:pPr>
              <w:spacing w:line="278" w:lineRule="auto" w:after="0"/>
            </w:pPr>
            <w:r/>
            <w:r>
              <w:rPr>
                <w:rFonts w:ascii="Consolas" w:hAnsi="Consolas"/>
                <w:b w:val="0"/>
                <w:color w:val="526068"/>
                <w:sz w:val="15"/>
              </w:rPr>
              <w:t>209</w:t>
            </w:r>
          </w:p>
        </w:tc>
        <w:tc>
          <w:tcPr>
            <w:tcW w:type="dxa" w:w="1152"/>
          </w:tcPr>
          <w:p>
            <w:pPr>
              <w:spacing w:line="278" w:lineRule="auto" w:after="0"/>
            </w:pPr>
            <w:r/>
            <w:r>
              <w:rPr>
                <w:rFonts w:ascii="Consolas" w:hAnsi="Consolas"/>
                <w:b w:val="0"/>
                <w:color w:val="526068"/>
                <w:sz w:val="15"/>
              </w:rPr>
              <w:t>2026-08-26</w:t>
            </w:r>
          </w:p>
        </w:tc>
        <w:tc>
          <w:tcPr>
            <w:tcW w:type="dxa" w:w="1152"/>
          </w:tcPr>
          <w:p>
            <w:pPr>
              <w:spacing w:line="278" w:lineRule="auto" w:after="0"/>
            </w:pPr>
            <w:r/>
            <w:r>
              <w:rPr>
                <w:rFonts w:ascii="Calibri" w:hAnsi="Calibri"/>
                <w:b w:val="0"/>
                <w:color w:val="526068"/>
                <w:sz w:val="15"/>
              </w:rPr>
              <w:t>D. Lalwani</w:t>
            </w:r>
          </w:p>
        </w:tc>
        <w:tc>
          <w:tcPr>
            <w:tcW w:type="dxa" w:w="864"/>
            <w:shd w:val="clear" w:fill="FBF0E0"/>
          </w:tcPr>
          <w:p>
            <w:pPr>
              <w:spacing w:line="278" w:lineRule="auto" w:after="0"/>
            </w:pPr>
            <w:r/>
            <w:r>
              <w:rPr>
                <w:rFonts w:ascii="Calibri" w:hAnsi="Calibri"/>
                <w:b/>
                <w:color w:val="A56000"/>
                <w:sz w:val="15"/>
              </w:rPr>
              <w:t>Delete</w:t>
            </w:r>
          </w:p>
        </w:tc>
      </w:tr>
      <w:tr>
        <w:tc>
          <w:tcPr>
            <w:tcW w:type="dxa" w:w="2808"/>
          </w:tcPr>
          <w:p>
            <w:pPr>
              <w:spacing w:line="278" w:lineRule="auto" w:after="0"/>
            </w:pPr>
            <w:r/>
            <w:r>
              <w:rPr>
                <w:rFonts w:ascii="Calibri" w:hAnsi="Calibri"/>
                <w:b/>
                <w:color w:val="172126"/>
                <w:sz w:val="15"/>
              </w:rPr>
              <w:t>agent/h01-security-ci-peb-sync-v1</w:t>
            </w:r>
          </w:p>
        </w:tc>
        <w:tc>
          <w:tcPr>
            <w:tcW w:type="dxa" w:w="864"/>
          </w:tcPr>
          <w:p>
            <w:pPr>
              <w:spacing w:line="278" w:lineRule="auto" w:after="0"/>
            </w:pPr>
            <w:r/>
            <w:r>
              <w:rPr>
                <w:rFonts w:ascii="Calibri" w:hAnsi="Calibri"/>
                <w:b w:val="0"/>
                <w:color w:val="526068"/>
                <w:sz w:val="15"/>
              </w:rPr>
              <w:t>host</w:t>
            </w:r>
          </w:p>
        </w:tc>
        <w:tc>
          <w:tcPr>
            <w:tcW w:type="dxa" w:w="648"/>
          </w:tcPr>
          <w:p>
            <w:pPr>
              <w:spacing w:line="278" w:lineRule="auto" w:after="0"/>
            </w:pPr>
            <w:r/>
            <w:r>
              <w:rPr>
                <w:rFonts w:ascii="Consolas" w:hAnsi="Consolas"/>
                <w:b w:val="0"/>
                <w:color w:val="526068"/>
                <w:sz w:val="15"/>
              </w:rPr>
              <w:t>0</w:t>
            </w:r>
          </w:p>
        </w:tc>
        <w:tc>
          <w:tcPr>
            <w:tcW w:type="dxa" w:w="720"/>
          </w:tcPr>
          <w:p>
            <w:pPr>
              <w:spacing w:line="278" w:lineRule="auto" w:after="0"/>
            </w:pPr>
            <w:r/>
            <w:r>
              <w:rPr>
                <w:rFonts w:ascii="Consolas" w:hAnsi="Consolas"/>
                <w:b w:val="0"/>
                <w:color w:val="526068"/>
                <w:sz w:val="15"/>
              </w:rPr>
              <w:t>3</w:t>
            </w:r>
          </w:p>
        </w:tc>
        <w:tc>
          <w:tcPr>
            <w:tcW w:type="dxa" w:w="1152"/>
          </w:tcPr>
          <w:p>
            <w:pPr>
              <w:spacing w:line="278" w:lineRule="auto" w:after="0"/>
            </w:pPr>
            <w:r/>
            <w:r>
              <w:rPr>
                <w:rFonts w:ascii="Consolas" w:hAnsi="Consolas"/>
                <w:b w:val="0"/>
                <w:color w:val="526068"/>
                <w:sz w:val="15"/>
              </w:rPr>
              <w:t>2026-08-25</w:t>
            </w:r>
          </w:p>
        </w:tc>
        <w:tc>
          <w:tcPr>
            <w:tcW w:type="dxa" w:w="1152"/>
          </w:tcPr>
          <w:p>
            <w:pPr>
              <w:spacing w:line="278" w:lineRule="auto" w:after="0"/>
            </w:pPr>
            <w:r/>
            <w:r>
              <w:rPr>
                <w:rFonts w:ascii="Calibri" w:hAnsi="Calibri"/>
                <w:b w:val="0"/>
                <w:color w:val="526068"/>
                <w:sz w:val="15"/>
              </w:rPr>
              <w:t>D. Lalwani</w:t>
            </w:r>
          </w:p>
        </w:tc>
        <w:tc>
          <w:tcPr>
            <w:tcW w:type="dxa" w:w="864"/>
            <w:shd w:val="clear" w:fill="FBF0E0"/>
          </w:tcPr>
          <w:p>
            <w:pPr>
              <w:spacing w:line="278" w:lineRule="auto" w:after="0"/>
            </w:pPr>
            <w:r/>
            <w:r>
              <w:rPr>
                <w:rFonts w:ascii="Calibri" w:hAnsi="Calibri"/>
                <w:b/>
                <w:color w:val="A56000"/>
                <w:sz w:val="15"/>
              </w:rPr>
              <w:t>Delete</w:t>
            </w:r>
          </w:p>
        </w:tc>
      </w:tr>
      <w:tr>
        <w:tc>
          <w:tcPr>
            <w:tcW w:type="dxa" w:w="2808"/>
          </w:tcPr>
          <w:p>
            <w:pPr>
              <w:spacing w:line="278" w:lineRule="auto" w:after="0"/>
            </w:pPr>
            <w:r/>
            <w:r>
              <w:rPr>
                <w:rFonts w:ascii="Calibri" w:hAnsi="Calibri"/>
                <w:b/>
                <w:color w:val="172126"/>
                <w:sz w:val="15"/>
              </w:rPr>
              <w:t>pre-sync-2026-08-13</w:t>
            </w:r>
          </w:p>
        </w:tc>
        <w:tc>
          <w:tcPr>
            <w:tcW w:type="dxa" w:w="864"/>
          </w:tcPr>
          <w:p>
            <w:pPr>
              <w:spacing w:line="278" w:lineRule="auto" w:after="0"/>
            </w:pPr>
            <w:r/>
            <w:r>
              <w:rPr>
                <w:rFonts w:ascii="Calibri" w:hAnsi="Calibri"/>
                <w:b w:val="0"/>
                <w:color w:val="526068"/>
                <w:sz w:val="15"/>
              </w:rPr>
              <w:t>tenant</w:t>
            </w:r>
          </w:p>
        </w:tc>
        <w:tc>
          <w:tcPr>
            <w:tcW w:type="dxa" w:w="648"/>
          </w:tcPr>
          <w:p>
            <w:pPr>
              <w:spacing w:line="278" w:lineRule="auto" w:after="0"/>
            </w:pPr>
            <w:r/>
            <w:r>
              <w:rPr>
                <w:rFonts w:ascii="Consolas" w:hAnsi="Consolas"/>
                <w:b w:val="0"/>
                <w:color w:val="526068"/>
                <w:sz w:val="15"/>
              </w:rPr>
              <w:t>2</w:t>
            </w:r>
          </w:p>
        </w:tc>
        <w:tc>
          <w:tcPr>
            <w:tcW w:type="dxa" w:w="720"/>
          </w:tcPr>
          <w:p>
            <w:pPr>
              <w:spacing w:line="278" w:lineRule="auto" w:after="0"/>
            </w:pPr>
            <w:r/>
            <w:r>
              <w:rPr>
                <w:rFonts w:ascii="Consolas" w:hAnsi="Consolas"/>
                <w:b w:val="0"/>
                <w:color w:val="526068"/>
                <w:sz w:val="15"/>
              </w:rPr>
              <w:t>510</w:t>
            </w:r>
          </w:p>
        </w:tc>
        <w:tc>
          <w:tcPr>
            <w:tcW w:type="dxa" w:w="1152"/>
          </w:tcPr>
          <w:p>
            <w:pPr>
              <w:spacing w:line="278" w:lineRule="auto" w:after="0"/>
            </w:pPr>
            <w:r/>
            <w:r>
              <w:rPr>
                <w:rFonts w:ascii="Consolas" w:hAnsi="Consolas"/>
                <w:b w:val="0"/>
                <w:color w:val="526068"/>
                <w:sz w:val="15"/>
              </w:rPr>
              <w:t>2026-07-28</w:t>
            </w:r>
          </w:p>
        </w:tc>
        <w:tc>
          <w:tcPr>
            <w:tcW w:type="dxa" w:w="1152"/>
          </w:tcPr>
          <w:p>
            <w:pPr>
              <w:spacing w:line="278" w:lineRule="auto" w:after="0"/>
            </w:pPr>
            <w:r/>
            <w:r>
              <w:rPr>
                <w:rFonts w:ascii="Calibri" w:hAnsi="Calibri"/>
                <w:b w:val="0"/>
                <w:color w:val="526068"/>
                <w:sz w:val="15"/>
              </w:rPr>
              <w:t>D. Lalwani</w:t>
            </w:r>
          </w:p>
        </w:tc>
        <w:tc>
          <w:tcPr>
            <w:tcW w:type="dxa" w:w="864"/>
            <w:shd w:val="clear" w:fill="FBEAE8"/>
          </w:tcPr>
          <w:p>
            <w:pPr>
              <w:spacing w:line="278" w:lineRule="auto" w:after="0"/>
            </w:pPr>
            <w:r/>
            <w:r>
              <w:rPr>
                <w:rFonts w:ascii="Calibri" w:hAnsi="Calibri"/>
                <w:b/>
                <w:color w:val="B42318"/>
                <w:sz w:val="15"/>
              </w:rPr>
              <w:t>Purge</w:t>
            </w:r>
          </w:p>
        </w:tc>
      </w:tr>
      <w:tr>
        <w:tc>
          <w:tcPr>
            <w:tcW w:type="dxa" w:w="2808"/>
          </w:tcPr>
          <w:p>
            <w:pPr>
              <w:spacing w:line="278" w:lineRule="auto" w:after="0"/>
            </w:pPr>
            <w:r/>
            <w:r>
              <w:rPr>
                <w:rFonts w:ascii="Calibri" w:hAnsi="Calibri"/>
                <w:b/>
                <w:color w:val="172126"/>
                <w:sz w:val="15"/>
              </w:rPr>
              <w:t>spec/retrofit-2026-09-01</w:t>
            </w:r>
          </w:p>
        </w:tc>
        <w:tc>
          <w:tcPr>
            <w:tcW w:type="dxa" w:w="864"/>
          </w:tcPr>
          <w:p>
            <w:pPr>
              <w:spacing w:line="278" w:lineRule="auto" w:after="0"/>
            </w:pPr>
            <w:r/>
            <w:r>
              <w:rPr>
                <w:rFonts w:ascii="Calibri" w:hAnsi="Calibri"/>
                <w:b w:val="0"/>
                <w:color w:val="526068"/>
                <w:sz w:val="15"/>
              </w:rPr>
              <w:t>bible</w:t>
            </w:r>
          </w:p>
        </w:tc>
        <w:tc>
          <w:tcPr>
            <w:tcW w:type="dxa" w:w="648"/>
          </w:tcPr>
          <w:p>
            <w:pPr>
              <w:spacing w:line="278" w:lineRule="auto" w:after="0"/>
            </w:pPr>
            <w:r/>
            <w:r>
              <w:rPr>
                <w:rFonts w:ascii="Consolas" w:hAnsi="Consolas"/>
                <w:b w:val="0"/>
                <w:color w:val="526068"/>
                <w:sz w:val="15"/>
              </w:rPr>
              <w:t>1</w:t>
            </w:r>
          </w:p>
        </w:tc>
        <w:tc>
          <w:tcPr>
            <w:tcW w:type="dxa" w:w="720"/>
          </w:tcPr>
          <w:p>
            <w:pPr>
              <w:spacing w:line="278" w:lineRule="auto" w:after="0"/>
            </w:pPr>
            <w:r/>
            <w:r>
              <w:rPr>
                <w:rFonts w:ascii="Consolas" w:hAnsi="Consolas"/>
                <w:b w:val="0"/>
                <w:color w:val="526068"/>
                <w:sz w:val="15"/>
              </w:rPr>
              <w:t>0</w:t>
            </w:r>
          </w:p>
        </w:tc>
        <w:tc>
          <w:tcPr>
            <w:tcW w:type="dxa" w:w="1152"/>
          </w:tcPr>
          <w:p>
            <w:pPr>
              <w:spacing w:line="278" w:lineRule="auto" w:after="0"/>
            </w:pPr>
            <w:r/>
            <w:r>
              <w:rPr>
                <w:rFonts w:ascii="Consolas" w:hAnsi="Consolas"/>
                <w:b w:val="0"/>
                <w:color w:val="526068"/>
                <w:sz w:val="15"/>
              </w:rPr>
              <w:t>2026-09-01</w:t>
            </w:r>
          </w:p>
        </w:tc>
        <w:tc>
          <w:tcPr>
            <w:tcW w:type="dxa" w:w="1152"/>
          </w:tcPr>
          <w:p>
            <w:pPr>
              <w:spacing w:line="278" w:lineRule="auto" w:after="0"/>
            </w:pPr>
            <w:r/>
            <w:r>
              <w:rPr>
                <w:rFonts w:ascii="Calibri" w:hAnsi="Calibri"/>
                <w:b w:val="0"/>
                <w:color w:val="526068"/>
                <w:sz w:val="15"/>
              </w:rPr>
              <w:t>D. Lalwani</w:t>
            </w:r>
          </w:p>
        </w:tc>
        <w:tc>
          <w:tcPr>
            <w:tcW w:type="dxa" w:w="864"/>
            <w:shd w:val="clear" w:fill="FBF0E0"/>
          </w:tcPr>
          <w:p>
            <w:pPr>
              <w:spacing w:line="278" w:lineRule="auto" w:after="0"/>
            </w:pPr>
            <w:r/>
            <w:r>
              <w:rPr>
                <w:rFonts w:ascii="Calibri" w:hAnsi="Calibri"/>
                <w:b/>
                <w:color w:val="A56000"/>
                <w:sz w:val="15"/>
              </w:rPr>
              <w:t>Review</w:t>
            </w:r>
          </w:p>
        </w:tc>
      </w:tr>
    </w:tbl>
    <w:p>
      <w:pPr>
        <w:spacing w:after="60"/>
      </w:pPr>
    </w:p>
    <w:p>
      <w:pPr>
        <w:spacing w:before="260" w:after="80" w:line="307" w:lineRule="auto"/>
      </w:pPr>
      <w:r>
        <w:rPr>
          <w:rFonts w:ascii="Calibri" w:hAnsi="Calibri"/>
          <w:b/>
          <w:color w:val="172126"/>
          <w:sz w:val="22"/>
        </w:rPr>
        <w:t>2.2  agent/t01a-credential-hygiene — pull request #5</w:t>
      </w:r>
    </w:p>
    <w:p>
      <w:pPr>
        <w:spacing w:before="0" w:after="140" w:line="307" w:lineRule="auto"/>
      </w:pPr>
      <w:r>
        <w:rPr>
          <w:rFonts w:ascii="Georgia" w:hAnsi="Georgia"/>
          <w:b w:val="0"/>
          <w:color w:val="526068"/>
          <w:sz w:val="19"/>
        </w:rPr>
        <w:t>Twelve commits, every one of which reached main by another route. Merging it as-was would have been a 3,806-line DELETION, removing the token metering module and five test files written since. Its conflicts are now resolved and the tree is byte-identical to main.</w:t>
      </w:r>
    </w:p>
    <w:p>
      <w:pPr>
        <w:spacing w:before="200" w:after="60" w:line="307" w:lineRule="auto"/>
      </w:pPr>
      <w:r>
        <w:rPr>
          <w:rFonts w:ascii="Calibri" w:hAnsi="Calibri"/>
          <w:b/>
          <w:color w:val="087E75"/>
          <w:sz w:val="19"/>
        </w:rPr>
        <w:t>Its commits</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4f91759  2026-09-01  Merge main into t01a: the branch's work is already on main</w:t>
              <w:br/>
              <w:t>516c508  2026-08-28  Measure tokens and cost instead of declaring them</w:t>
              <w:br/>
              <w:t>f44a0ad  2026-08-28  Say the right thing about each period on the usage page</w:t>
              <w:br/>
              <w:t>318a3ed  2026-08-28  Scroll the Measured panel instead of stretching the row</w:t>
              <w:br/>
              <w:t>69c3824  2026-08-28  AI usage: pick a month, and see them all</w:t>
              <w:br/>
              <w:t>4adaf73  2026-08-28  Give the Measured panel its width back</w:t>
              <w:br/>
              <w:t>c1a5897  2026-08-28  Eight fixes from the tenant UI review</w:t>
              <w:br/>
              <w:t>1cb1af7  2026-08-28  Take the wordmark back out of the topbar</w:t>
              <w:br/>
              <w:t>e1ed285  2026-08-28  One Run button per stage, not a picker</w:t>
              <w:br/>
              <w:t>3469cd5  2026-08-28  Record what each AI call costs, and show it live</w:t>
              <w:br/>
              <w:t>1aff3c7  2026-08-27  Stop labels breaking mid-word, and make Run usable again</w:t>
              <w:br/>
              <w:t>5102922  2026-08-27  A gate must not wait for a confirmation that cannot arrive</w:t>
            </w:r>
          </w:p>
        </w:tc>
      </w:tr>
    </w:tbl>
    <w:p>
      <w:pPr>
        <w:spacing w:after="4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THREE FILES AUTO-MERGED IN THE BRANCH'S FAVOUR, AND GIT REPORTED NO CONFLICT</w:t>
            </w:r>
          </w:p>
          <w:p>
            <w:pPr>
              <w:spacing w:before="60" w:line="302" w:lineRule="auto"/>
            </w:pPr>
            <w:r>
              <w:rPr>
                <w:rFonts w:ascii="Georgia" w:hAnsi="Georgia"/>
                <w:color w:val="172126"/>
                <w:sz w:val="17"/>
              </w:rPr>
              <w:t>Because only one side had touched them since the merge base. Each would have undone a later decision: (app)/layout.tsx restored a topbar wordmark that 1cb1af7 had deliberately removed; .env.example replaced main's EMPTY secret values with change-me-... defaults; docker-compose.yml put older comments over the loopback-binding rewrite. That silent class is the one worth watching in any long-lived branch.</w:t>
            </w:r>
          </w:p>
        </w:tc>
      </w:tr>
    </w:tbl>
    <w:p>
      <w:pPr>
        <w:spacing w:after="60"/>
      </w:pPr>
    </w:p>
    <w:p>
      <w:pPr>
        <w:spacing w:before="0" w:after="140" w:line="307" w:lineRule="auto"/>
      </w:pPr>
      <w:r>
        <w:rPr>
          <w:rFonts w:ascii="Georgia" w:hAnsi="Georgia"/>
          <w:b w:val="0"/>
          <w:color w:val="526068"/>
          <w:sz w:val="19"/>
        </w:rPr>
        <w:t>Recommendation: close the pull request as superseded rather than merge it. Merging is now a no-op; closing records what actually happened.</w:t>
      </w:r>
    </w:p>
    <w:p>
      <w:pPr>
        <w:spacing w:before="260" w:after="80" w:line="307" w:lineRule="auto"/>
      </w:pPr>
      <w:r>
        <w:rPr>
          <w:rFonts w:ascii="Calibri" w:hAnsi="Calibri"/>
          <w:b/>
          <w:color w:val="172126"/>
          <w:sz w:val="22"/>
        </w:rPr>
        <w:t>2.3  agent/t01-security-ci-peb-sync-v1 and agent/h01-security-ci-peb-sync-v1</w:t>
      </w:r>
    </w:p>
    <w:p>
      <w:pPr>
        <w:spacing w:before="0" w:after="140" w:line="307" w:lineRule="auto"/>
      </w:pPr>
      <w:r>
        <w:rPr>
          <w:rFonts w:ascii="Georgia" w:hAnsi="Georgia"/>
          <w:b w:val="0"/>
          <w:color w:val="526068"/>
          <w:sz w:val="19"/>
        </w:rPr>
        <w:t>The merged pull request #1 on each plane — the security, CI and PEB-sync work. 209 and 3 commits behind their mains respectively, 0 ahead. Their content is in main and neither carries a credentials file. Safe to delete.</w:t>
      </w:r>
    </w:p>
    <w:p>
      <w:pPr>
        <w:spacing w:before="260" w:after="80" w:line="307" w:lineRule="auto"/>
      </w:pPr>
      <w:r>
        <w:rPr>
          <w:rFonts w:ascii="Calibri" w:hAnsi="Calibri"/>
          <w:b/>
          <w:color w:val="172126"/>
          <w:sz w:val="22"/>
        </w:rPr>
        <w:t>2.4  pre-sync-2026-08-13 — the one that matters</w:t>
      </w:r>
    </w:p>
    <w:p>
      <w:pPr>
        <w:spacing w:before="0" w:after="140" w:line="307" w:lineRule="auto"/>
      </w:pPr>
      <w:r>
        <w:rPr>
          <w:rFonts w:ascii="Georgia" w:hAnsi="Georgia"/>
          <w:b w:val="0"/>
          <w:color w:val="526068"/>
          <w:sz w:val="19"/>
        </w:rPr>
        <w:t>Two commits, 510 behind main, untouched since 28 July, and NO COMMON ANCESTOR with main. It is not a feature branch that fell behind; it is a separate root — the original repository lineage, kept as a snapshot before the monorepo subtree took over.</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91e67b1  2026-07-28  Demo logins: add Shruthi + Pranavi (Admin) to AIGCC seed;</w:t>
              <w:br/>
              <w:t xml:space="preserve">                     document credentials</w:t>
              <w:br/>
              <w:t>9f63852  2026-07-23  Preckon Tenant - AI-native construction workspace</w:t>
              <w:br/>
              <w:t xml:space="preserve">                     (initial commit)</w:t>
            </w:r>
          </w:p>
        </w:tc>
      </w:tr>
    </w:tbl>
    <w:p>
      <w:pPr>
        <w:spacing w:after="40"/>
      </w:pP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THIS BRANCH STILL CARRIES DEMO-CREDENTIALS.MD</w:t>
            </w:r>
          </w:p>
          <w:p>
            <w:pPr>
              <w:spacing w:before="60" w:line="302" w:lineRule="auto"/>
            </w:pPr>
            <w:r>
              <w:rPr>
                <w:rFonts w:ascii="Georgia" w:hAnsi="Georgia"/>
                <w:color w:val="172126"/>
                <w:sz w:val="17"/>
              </w:rPr>
              <w:t>Its second commit is literally titled 'document credentials'. The file was removed from main during this cycle; this branch was never touched, so the production Owner password and two Admin passwords are readable to anyone with access to the repository, today, by checking out this ref. Removing a file from main removes it from main.</w:t>
            </w:r>
          </w:p>
        </w:tc>
      </w:tr>
    </w:tbl>
    <w:p>
      <w:pPr>
        <w:spacing w:after="60"/>
      </w:pPr>
    </w:p>
    <w:p>
      <w:pPr>
        <w:spacing w:before="0" w:after="140" w:line="307" w:lineRule="auto"/>
      </w:pPr>
      <w:r>
        <w:rPr>
          <w:rFonts w:ascii="Georgia" w:hAnsi="Georgia"/>
          <w:b w:val="0"/>
          <w:color w:val="526068"/>
          <w:sz w:val="19"/>
        </w:rPr>
        <w:t>Recommendation: rotate those three passwords first — they should be treated as known regardless — then delete this branch. The two commits are an initial import and a credentials commit; neither is work that needs preserving. If the initial-commit lineage is wanted for history, tag it after the credentials file has been purged rather than keeping a live branch that serves them.</w:t>
      </w:r>
    </w:p>
    <w:p>
      <w:pPr>
        <w:spacing w:before="260" w:after="80" w:line="307" w:lineRule="auto"/>
      </w:pPr>
      <w:r>
        <w:rPr>
          <w:rFonts w:ascii="Calibri" w:hAnsi="Calibri"/>
          <w:b/>
          <w:color w:val="172126"/>
          <w:sz w:val="22"/>
        </w:rPr>
        <w:t>2.5  spec/retrofit-2026-09-01 — Engineering Bible</w:t>
      </w:r>
    </w:p>
    <w:p>
      <w:pPr>
        <w:spacing w:before="0" w:after="140" w:line="307" w:lineRule="auto"/>
      </w:pPr>
      <w:r>
        <w:rPr>
          <w:rFonts w:ascii="Georgia" w:hAnsi="Georgia"/>
          <w:b w:val="0"/>
          <w:color w:val="526068"/>
          <w:sz w:val="19"/>
        </w:rPr>
        <w:t>One commit against techsmeinc/preckon-engineering-bible, awaiting review. Records this cycle's findings against PEB-PLT-306 (three new authentication rules) and PEB-AIP-100 (two rules now met, one recorded as a formal exception), plus ADR-0002 setting out the decisions and the options rejected. Validated locally: 373 of 373 quality-gate records, universal headings on all 373 chapters.</w:t>
      </w:r>
    </w:p>
    <w:p>
      <w:r>
        <w:br w:type="page"/>
      </w:r>
    </w:p>
    <w:p>
      <w:pPr>
        <w:spacing w:before="0" w:after="60" w:line="307" w:lineRule="auto"/>
      </w:pPr>
      <w:r>
        <w:rPr>
          <w:rFonts w:ascii="Consolas" w:hAnsi="Consolas"/>
          <w:b/>
          <w:color w:val="087E75"/>
          <w:sz w:val="15"/>
        </w:rPr>
        <w:t>PART 3</w:t>
      </w:r>
    </w:p>
    <w:p>
      <w:pPr>
        <w:spacing w:before="0" w:after="160" w:line="252" w:lineRule="auto"/>
      </w:pPr>
      <w:r>
        <w:rPr>
          <w:rFonts w:ascii="Georgia" w:hAnsi="Georgia"/>
          <w:b/>
          <w:color w:val="172126"/>
          <w:sz w:val="38"/>
        </w:rPr>
        <w:t>Where the credentials actually are</w:t>
      </w:r>
    </w:p>
    <w:p>
      <w:pPr>
        <w:spacing w:before="0" w:after="200" w:line="307" w:lineRule="auto"/>
      </w:pPr>
      <w:r>
        <w:rPr>
          <w:rFonts w:ascii="Georgia" w:hAnsi="Georgia"/>
          <w:b w:val="0"/>
          <w:color w:val="526068"/>
          <w:sz w:val="21"/>
        </w:rPr>
        <w:t>A file removed from one branch is not removed from a repository. This is the full sweep.</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5616"/>
            <w:shd w:val="clear" w:fill="F0F3F4"/>
          </w:tcPr>
          <w:p>
            <w:r/>
            <w:r>
              <w:rPr>
                <w:rFonts w:ascii="Calibri" w:hAnsi="Calibri"/>
                <w:b/>
                <w:color w:val="667279"/>
                <w:sz w:val="13"/>
              </w:rPr>
              <w:t>REF</w:t>
            </w:r>
          </w:p>
        </w:tc>
        <w:tc>
          <w:tcPr>
            <w:tcW w:type="dxa" w:w="2880"/>
            <w:shd w:val="clear" w:fill="F0F3F4"/>
          </w:tcPr>
          <w:p>
            <w:r/>
            <w:r>
              <w:rPr>
                <w:rFonts w:ascii="Calibri" w:hAnsi="Calibri"/>
                <w:b/>
                <w:color w:val="667279"/>
                <w:sz w:val="13"/>
              </w:rPr>
              <w:t>CARRIES DEMO-CREDENTIALS.MD</w:t>
            </w:r>
          </w:p>
        </w:tc>
      </w:tr>
      <w:tr>
        <w:tc>
          <w:tcPr>
            <w:tcW w:type="dxa" w:w="5616"/>
          </w:tcPr>
          <w:p>
            <w:pPr>
              <w:spacing w:line="278" w:lineRule="auto" w:after="0"/>
            </w:pPr>
            <w:r/>
            <w:r>
              <w:rPr>
                <w:rFonts w:ascii="Consolas" w:hAnsi="Consolas"/>
                <w:b/>
                <w:color w:val="172126"/>
                <w:sz w:val="15"/>
              </w:rPr>
              <w:t>techsmeinc/preckon-system  main</w:t>
            </w:r>
          </w:p>
        </w:tc>
        <w:tc>
          <w:tcPr>
            <w:tcW w:type="dxa" w:w="2880"/>
            <w:shd w:val="clear" w:fill="FBEAE8"/>
          </w:tcPr>
          <w:p>
            <w:pPr>
              <w:spacing w:line="278" w:lineRule="auto" w:after="0"/>
            </w:pPr>
            <w:r/>
            <w:r>
              <w:rPr>
                <w:rFonts w:ascii="Calibri" w:hAnsi="Calibri"/>
                <w:b/>
                <w:color w:val="B42318"/>
                <w:sz w:val="15"/>
              </w:rPr>
              <w:t>CARRIES</w:t>
            </w:r>
          </w:p>
        </w:tc>
      </w:tr>
      <w:tr>
        <w:tc>
          <w:tcPr>
            <w:tcW w:type="dxa" w:w="5616"/>
          </w:tcPr>
          <w:p>
            <w:pPr>
              <w:spacing w:line="278" w:lineRule="auto" w:after="0"/>
            </w:pPr>
            <w:r/>
            <w:r>
              <w:rPr>
                <w:rFonts w:ascii="Consolas" w:hAnsi="Consolas"/>
                <w:b/>
                <w:color w:val="172126"/>
                <w:sz w:val="15"/>
              </w:rPr>
              <w:t>techsmeinc/preckon-tenant  pre-sync-2026-08-13</w:t>
            </w:r>
          </w:p>
        </w:tc>
        <w:tc>
          <w:tcPr>
            <w:tcW w:type="dxa" w:w="2880"/>
            <w:shd w:val="clear" w:fill="FBEAE8"/>
          </w:tcPr>
          <w:p>
            <w:pPr>
              <w:spacing w:line="278" w:lineRule="auto" w:after="0"/>
            </w:pPr>
            <w:r/>
            <w:r>
              <w:rPr>
                <w:rFonts w:ascii="Calibri" w:hAnsi="Calibri"/>
                <w:b/>
                <w:color w:val="B42318"/>
                <w:sz w:val="15"/>
              </w:rPr>
              <w:t>CARRIES</w:t>
            </w:r>
          </w:p>
        </w:tc>
      </w:tr>
      <w:tr>
        <w:tc>
          <w:tcPr>
            <w:tcW w:type="dxa" w:w="5616"/>
          </w:tcPr>
          <w:p>
            <w:pPr>
              <w:spacing w:line="278" w:lineRule="auto" w:after="0"/>
            </w:pPr>
            <w:r/>
            <w:r>
              <w:rPr>
                <w:rFonts w:ascii="Consolas" w:hAnsi="Consolas"/>
                <w:b/>
                <w:color w:val="172126"/>
                <w:sz w:val="15"/>
              </w:rPr>
              <w:t>techsmeinc/preckon-tenant  main</w:t>
            </w:r>
          </w:p>
        </w:tc>
        <w:tc>
          <w:tcPr>
            <w:tcW w:type="dxa" w:w="2880"/>
            <w:shd w:val="clear" w:fill="E6F3F1"/>
          </w:tcPr>
          <w:p>
            <w:pPr>
              <w:spacing w:line="278" w:lineRule="auto" w:after="0"/>
            </w:pPr>
            <w:r/>
            <w:r>
              <w:rPr>
                <w:rFonts w:ascii="Calibri" w:hAnsi="Calibri"/>
                <w:b/>
                <w:color w:val="087E75"/>
                <w:sz w:val="15"/>
              </w:rPr>
              <w:t>Clean</w:t>
            </w:r>
          </w:p>
        </w:tc>
      </w:tr>
      <w:tr>
        <w:tc>
          <w:tcPr>
            <w:tcW w:type="dxa" w:w="5616"/>
          </w:tcPr>
          <w:p>
            <w:pPr>
              <w:spacing w:line="278" w:lineRule="auto" w:after="0"/>
            </w:pPr>
            <w:r/>
            <w:r>
              <w:rPr>
                <w:rFonts w:ascii="Consolas" w:hAnsi="Consolas"/>
                <w:b/>
                <w:color w:val="172126"/>
                <w:sz w:val="15"/>
              </w:rPr>
              <w:t>techsmeinc/preckon-tenant  agent/t01a-credential-hygiene</w:t>
            </w:r>
          </w:p>
        </w:tc>
        <w:tc>
          <w:tcPr>
            <w:tcW w:type="dxa" w:w="2880"/>
            <w:shd w:val="clear" w:fill="E6F3F1"/>
          </w:tcPr>
          <w:p>
            <w:pPr>
              <w:spacing w:line="278" w:lineRule="auto" w:after="0"/>
            </w:pPr>
            <w:r/>
            <w:r>
              <w:rPr>
                <w:rFonts w:ascii="Calibri" w:hAnsi="Calibri"/>
                <w:b/>
                <w:color w:val="087E75"/>
                <w:sz w:val="15"/>
              </w:rPr>
              <w:t>Clean</w:t>
            </w:r>
          </w:p>
        </w:tc>
      </w:tr>
      <w:tr>
        <w:tc>
          <w:tcPr>
            <w:tcW w:type="dxa" w:w="5616"/>
          </w:tcPr>
          <w:p>
            <w:pPr>
              <w:spacing w:line="278" w:lineRule="auto" w:after="0"/>
            </w:pPr>
            <w:r/>
            <w:r>
              <w:rPr>
                <w:rFonts w:ascii="Consolas" w:hAnsi="Consolas"/>
                <w:b/>
                <w:color w:val="172126"/>
                <w:sz w:val="15"/>
              </w:rPr>
              <w:t>techsmeinc/preckon-tenant  agent/t01-security-ci-peb-sync-v1</w:t>
            </w:r>
          </w:p>
        </w:tc>
        <w:tc>
          <w:tcPr>
            <w:tcW w:type="dxa" w:w="2880"/>
            <w:shd w:val="clear" w:fill="E6F3F1"/>
          </w:tcPr>
          <w:p>
            <w:pPr>
              <w:spacing w:line="278" w:lineRule="auto" w:after="0"/>
            </w:pPr>
            <w:r/>
            <w:r>
              <w:rPr>
                <w:rFonts w:ascii="Calibri" w:hAnsi="Calibri"/>
                <w:b/>
                <w:color w:val="087E75"/>
                <w:sz w:val="15"/>
              </w:rPr>
              <w:t>Clean</w:t>
            </w:r>
          </w:p>
        </w:tc>
      </w:tr>
      <w:tr>
        <w:tc>
          <w:tcPr>
            <w:tcW w:type="dxa" w:w="5616"/>
          </w:tcPr>
          <w:p>
            <w:pPr>
              <w:spacing w:line="278" w:lineRule="auto" w:after="0"/>
            </w:pPr>
            <w:r/>
            <w:r>
              <w:rPr>
                <w:rFonts w:ascii="Consolas" w:hAnsi="Consolas"/>
                <w:b/>
                <w:color w:val="172126"/>
                <w:sz w:val="15"/>
              </w:rPr>
              <w:t>techsmeinc/preckon-host  main</w:t>
            </w:r>
          </w:p>
        </w:tc>
        <w:tc>
          <w:tcPr>
            <w:tcW w:type="dxa" w:w="2880"/>
            <w:shd w:val="clear" w:fill="E6F3F1"/>
          </w:tcPr>
          <w:p>
            <w:pPr>
              <w:spacing w:line="278" w:lineRule="auto" w:after="0"/>
            </w:pPr>
            <w:r/>
            <w:r>
              <w:rPr>
                <w:rFonts w:ascii="Calibri" w:hAnsi="Calibri"/>
                <w:b/>
                <w:color w:val="087E75"/>
                <w:sz w:val="15"/>
              </w:rPr>
              <w:t>Clean</w:t>
            </w:r>
          </w:p>
        </w:tc>
      </w:tr>
      <w:tr>
        <w:tc>
          <w:tcPr>
            <w:tcW w:type="dxa" w:w="5616"/>
          </w:tcPr>
          <w:p>
            <w:pPr>
              <w:spacing w:line="278" w:lineRule="auto" w:after="0"/>
            </w:pPr>
            <w:r/>
            <w:r>
              <w:rPr>
                <w:rFonts w:ascii="Consolas" w:hAnsi="Consolas"/>
                <w:b/>
                <w:color w:val="172126"/>
                <w:sz w:val="15"/>
              </w:rPr>
              <w:t>techsmeinc/preckon-host  agent/h01-security-ci-peb-sync-v1</w:t>
            </w:r>
          </w:p>
        </w:tc>
        <w:tc>
          <w:tcPr>
            <w:tcW w:type="dxa" w:w="2880"/>
            <w:shd w:val="clear" w:fill="E6F3F1"/>
          </w:tcPr>
          <w:p>
            <w:pPr>
              <w:spacing w:line="278" w:lineRule="auto" w:after="0"/>
            </w:pPr>
            <w:r/>
            <w:r>
              <w:rPr>
                <w:rFonts w:ascii="Calibri" w:hAnsi="Calibri"/>
                <w:b/>
                <w:color w:val="087E75"/>
                <w:sz w:val="15"/>
              </w:rPr>
              <w:t>Clean</w:t>
            </w:r>
          </w:p>
        </w:tc>
      </w:tr>
      <w:tr>
        <w:tc>
          <w:tcPr>
            <w:tcW w:type="dxa" w:w="5616"/>
          </w:tcPr>
          <w:p>
            <w:pPr>
              <w:spacing w:line="278" w:lineRule="auto" w:after="0"/>
            </w:pPr>
            <w:r/>
            <w:r>
              <w:rPr>
                <w:rFonts w:ascii="Consolas" w:hAnsi="Consolas"/>
                <w:b/>
                <w:color w:val="172126"/>
                <w:sz w:val="15"/>
              </w:rPr>
              <w:t>divya053/newcomplete  main  (PUBLIC)</w:t>
            </w:r>
          </w:p>
        </w:tc>
        <w:tc>
          <w:tcPr>
            <w:tcW w:type="dxa" w:w="2880"/>
            <w:shd w:val="clear" w:fill="FBEAE8"/>
          </w:tcPr>
          <w:p>
            <w:pPr>
              <w:spacing w:line="278" w:lineRule="auto" w:after="0"/>
            </w:pPr>
            <w:r/>
            <w:r>
              <w:rPr>
                <w:rFonts w:ascii="Calibri" w:hAnsi="Calibri"/>
                <w:b/>
                <w:color w:val="B42318"/>
                <w:sz w:val="15"/>
              </w:rPr>
              <w:t>CARRIES</w:t>
            </w:r>
          </w:p>
        </w:tc>
      </w:tr>
    </w:tbl>
    <w:p>
      <w:pPr>
        <w:spacing w:after="60"/>
      </w:pPr>
    </w:p>
    <w:p>
      <w:pPr>
        <w:spacing w:before="260" w:after="80" w:line="307" w:lineRule="auto"/>
      </w:pPr>
      <w:r>
        <w:rPr>
          <w:rFonts w:ascii="Calibri" w:hAnsi="Calibri"/>
          <w:b/>
          <w:color w:val="172126"/>
          <w:sz w:val="22"/>
        </w:rPr>
        <w:t>3.1  Why preckon-system still has both copies</w:t>
      </w:r>
    </w:p>
    <w:p>
      <w:pPr>
        <w:spacing w:before="0" w:after="140" w:line="307" w:lineRule="auto"/>
      </w:pPr>
      <w:r>
        <w:rPr>
          <w:rFonts w:ascii="Georgia" w:hAnsi="Georgia"/>
          <w:b w:val="0"/>
          <w:color w:val="526068"/>
          <w:sz w:val="19"/>
        </w:rPr>
        <w:t>The file was removed from the tenant and host organisation repositories during the reconciliation work — but never from the MONOREPO, and preckon-system is published from the monorepo. So both copies survive there:</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preckon-host/DEMO-CREDENTIALS.md</w:t>
              <w:br/>
              <w:t>preckon-tenant/DEMO-CREDENTIALS.md</w:t>
            </w:r>
          </w:p>
        </w:tc>
      </w:tr>
    </w:tbl>
    <w:p>
      <w:pPr>
        <w:spacing w:after="40"/>
      </w:pPr>
    </w:p>
    <w:p>
      <w:pPr>
        <w:spacing w:before="0" w:after="140" w:line="307" w:lineRule="auto"/>
      </w:pPr>
      <w:r>
        <w:rPr>
          <w:rFonts w:ascii="Georgia" w:hAnsi="Georgia"/>
          <w:b w:val="0"/>
          <w:color w:val="526068"/>
          <w:sz w:val="19"/>
        </w:rPr>
        <w:t>The same monorepo is what autosync pushes to the public repository every ten minutes. Removing the files from the monorepo therefore fixes three places at once — the working copy, preckon-system, and future pushes to the public repo — and fixes none of the history that is already published.</w:t>
      </w:r>
    </w:p>
    <w:p>
      <w:pPr>
        <w:spacing w:before="260" w:after="80" w:line="307" w:lineRule="auto"/>
      </w:pPr>
      <w:r>
        <w:rPr>
          <w:rFonts w:ascii="Calibri" w:hAnsi="Calibri"/>
          <w:b/>
          <w:color w:val="172126"/>
          <w:sz w:val="22"/>
        </w:rPr>
        <w:t>3.2  The order that actually works</w:t>
      </w:r>
    </w:p>
    <w:p>
      <w:pPr>
        <w:pStyle w:val="ListBullet"/>
        <w:spacing w:after="60" w:line="302" w:lineRule="auto"/>
        <w:ind w:left="360"/>
      </w:pPr>
      <w:r>
        <w:rPr>
          <w:rFonts w:ascii="Calibri" w:hAnsi="Calibri"/>
          <w:b/>
          <w:color w:val="172126"/>
          <w:sz w:val="17"/>
        </w:rPr>
        <w:t xml:space="preserve">1. Rotate the three account passwords. </w:t>
      </w:r>
      <w:r>
        <w:rPr>
          <w:rFonts w:ascii="Georgia" w:hAnsi="Georgia"/>
          <w:color w:val="526068"/>
          <w:sz w:val="17"/>
        </w:rPr>
        <w:t>They have been publicly readable for six weeks. Everything else is cleanup; this is the only step that removes the exposure. It locks three colleagues out until they are told the new ones, which is why it is a decision rather than a task.</w:t>
      </w:r>
    </w:p>
    <w:p>
      <w:pPr>
        <w:pStyle w:val="ListBullet"/>
        <w:spacing w:after="60" w:line="302" w:lineRule="auto"/>
        <w:ind w:left="360"/>
      </w:pPr>
      <w:r>
        <w:rPr>
          <w:rFonts w:ascii="Calibri" w:hAnsi="Calibri"/>
          <w:b/>
          <w:color w:val="172126"/>
          <w:sz w:val="17"/>
        </w:rPr>
        <w:t xml:space="preserve">2. Delete both files from the monorepo. </w:t>
      </w:r>
      <w:r>
        <w:rPr>
          <w:rFonts w:ascii="Georgia" w:hAnsi="Georgia"/>
          <w:color w:val="526068"/>
          <w:sz w:val="17"/>
        </w:rPr>
        <w:t>Fixes the working copy, preckon-system on its next nightly publish, and every future push to the public repository.</w:t>
      </w:r>
    </w:p>
    <w:p>
      <w:pPr>
        <w:pStyle w:val="ListBullet"/>
        <w:spacing w:after="60" w:line="302" w:lineRule="auto"/>
        <w:ind w:left="360"/>
      </w:pPr>
      <w:r>
        <w:rPr>
          <w:rFonts w:ascii="Calibri" w:hAnsi="Calibri"/>
          <w:b/>
          <w:color w:val="172126"/>
          <w:sz w:val="17"/>
        </w:rPr>
        <w:t xml:space="preserve">3. Delete pre-sync-2026-08-13. </w:t>
      </w:r>
      <w:r>
        <w:rPr>
          <w:rFonts w:ascii="Georgia" w:hAnsi="Georgia"/>
          <w:color w:val="526068"/>
          <w:sz w:val="17"/>
        </w:rPr>
        <w:t>After confirming nobody wants the initial-commit lineage. If they do, tag it once the file is purged.</w:t>
      </w:r>
    </w:p>
    <w:p>
      <w:pPr>
        <w:pStyle w:val="ListBullet"/>
        <w:spacing w:after="60" w:line="302" w:lineRule="auto"/>
        <w:ind w:left="360"/>
      </w:pPr>
      <w:r>
        <w:rPr>
          <w:rFonts w:ascii="Calibri" w:hAnsi="Calibri"/>
          <w:b/>
          <w:color w:val="172126"/>
          <w:sz w:val="17"/>
        </w:rPr>
        <w:t xml:space="preserve">4. Make newcomplete private, or delete it. </w:t>
      </w:r>
      <w:r>
        <w:rPr>
          <w:rFonts w:ascii="Georgia" w:hAnsi="Georgia"/>
          <w:color w:val="526068"/>
          <w:sz w:val="17"/>
        </w:rPr>
        <w:t>This does not un-publish six weeks of readable history, and forks or clones may exist. It stops the bleeding; step 1 is what closes the wound.</w:t>
      </w:r>
    </w:p>
    <w:p>
      <w:pPr>
        <w:pStyle w:val="ListBullet"/>
        <w:spacing w:after="60" w:line="302" w:lineRule="auto"/>
        <w:ind w:left="360"/>
      </w:pPr>
      <w:r>
        <w:rPr>
          <w:rFonts w:ascii="Calibri" w:hAnsi="Calibri"/>
          <w:b/>
          <w:color w:val="172126"/>
          <w:sz w:val="17"/>
        </w:rPr>
        <w:t xml:space="preserve">5. Purge from history. </w:t>
      </w:r>
      <w:r>
        <w:rPr>
          <w:rFonts w:ascii="Georgia" w:hAnsi="Georgia"/>
          <w:color w:val="526068"/>
          <w:sz w:val="17"/>
        </w:rPr>
        <w:t>git filter-repo across the affected repositories. Last, because it is the most disruptive and the least urgent once the passwords are dead.</w:t>
      </w:r>
    </w:p>
    <w:p>
      <w:pPr>
        <w:spacing w:after="40"/>
      </w:pP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WHY ROTATION COMES FIRST AND NOT LAST</w:t>
            </w:r>
          </w:p>
          <w:p>
            <w:pPr>
              <w:spacing w:before="60" w:line="302" w:lineRule="auto"/>
            </w:pPr>
            <w:r>
              <w:rPr>
                <w:rFonts w:ascii="Georgia" w:hAnsi="Georgia"/>
                <w:color w:val="172126"/>
                <w:sz w:val="17"/>
              </w:rPr>
              <w:t>Every other step reduces future exposure. Only rotation addresses what has already been readable since July. A repository made private today still leaks whatever was cloned yesterday.</w:t>
            </w:r>
          </w:p>
        </w:tc>
      </w:tr>
    </w:tbl>
    <w:p>
      <w:pPr>
        <w:spacing w:after="60"/>
      </w:pPr>
    </w:p>
    <w:p>
      <w:r>
        <w:br w:type="page"/>
      </w:r>
    </w:p>
    <w:p>
      <w:pPr>
        <w:spacing w:before="0" w:after="60" w:line="307" w:lineRule="auto"/>
      </w:pPr>
      <w:r>
        <w:rPr>
          <w:rFonts w:ascii="Consolas" w:hAnsi="Consolas"/>
          <w:b/>
          <w:color w:val="087E75"/>
          <w:sz w:val="15"/>
        </w:rPr>
        <w:t>PART 4</w:t>
      </w:r>
    </w:p>
    <w:p>
      <w:pPr>
        <w:spacing w:before="0" w:after="160" w:line="252" w:lineRule="auto"/>
      </w:pPr>
      <w:r>
        <w:rPr>
          <w:rFonts w:ascii="Georgia" w:hAnsi="Georgia"/>
          <w:b/>
          <w:color w:val="172126"/>
          <w:sz w:val="38"/>
        </w:rPr>
        <w:t>Publishing</w:t>
      </w:r>
    </w:p>
    <w:p>
      <w:pPr>
        <w:spacing w:before="260" w:after="80" w:line="307" w:lineRule="auto"/>
      </w:pPr>
      <w:r>
        <w:rPr>
          <w:rFonts w:ascii="Calibri" w:hAnsi="Calibri"/>
          <w:b/>
          <w:color w:val="172126"/>
          <w:sz w:val="22"/>
        </w:rPr>
        <w:t>4.1  The nightly mirror</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task     PreckonMirror-TechSME</w:t>
              <w:br/>
              <w:t>when     daily 02:30</w:t>
              <w:br/>
              <w:t>script   .autosync\mirror.ps1</w:t>
              <w:br/>
              <w:t>log      .autosync\mirror.log</w:t>
            </w:r>
          </w:p>
        </w:tc>
      </w:tr>
    </w:tbl>
    <w:p>
      <w:pPr>
        <w:spacing w:after="40"/>
      </w:pPr>
    </w:p>
    <w:p>
      <w:pPr>
        <w:spacing w:before="0" w:after="140" w:line="307" w:lineRule="auto"/>
      </w:pPr>
      <w:r>
        <w:rPr>
          <w:rFonts w:ascii="Georgia" w:hAnsi="Georgia"/>
          <w:b w:val="0"/>
          <w:color w:val="526068"/>
          <w:sz w:val="19"/>
        </w:rPr>
        <w:t>Publishes all three organisation repositories. Each target fetches and MERGES the remote before pushing rather than force-pushing, and a genuine conflict stops that target instead of picking a winner.</w:t>
      </w:r>
    </w:p>
    <w:p>
      <w:pPr>
        <w:spacing w:before="260" w:after="80" w:line="307" w:lineRule="auto"/>
      </w:pPr>
      <w:r>
        <w:rPr>
          <w:rFonts w:ascii="Calibri" w:hAnsi="Calibri"/>
          <w:b/>
          <w:color w:val="172126"/>
          <w:sz w:val="22"/>
        </w:rPr>
        <w:t>4.2  Why it merges</w:t>
      </w:r>
    </w:p>
    <w:p>
      <w:pPr>
        <w:spacing w:before="0" w:after="140" w:line="307" w:lineRule="auto"/>
      </w:pPr>
      <w:r>
        <w:rPr>
          <w:rFonts w:ascii="Georgia" w:hAnsi="Georgia"/>
          <w:b w:val="0"/>
          <w:color w:val="526068"/>
          <w:sz w:val="19"/>
        </w:rPr>
        <w:t>The obvious mirror is split-and-force: the monorepo is the source of truth and the organisation repositories are artefacts. That is wrong here, and nearly expensive. Two directories had been deleted directly on GitHub and those deletions existed only on the remote — a force-push of a fresh split would have resurrected fourteen files somebody deliberately removed, silently, on a schedule, forever.</w:t>
      </w:r>
    </w:p>
    <w:p>
      <w:pPr>
        <w:spacing w:before="260" w:after="80" w:line="307" w:lineRule="auto"/>
      </w:pPr>
      <w:r>
        <w:rPr>
          <w:rFonts w:ascii="Calibri" w:hAnsi="Calibri"/>
          <w:b/>
          <w:color w:val="172126"/>
          <w:sz w:val="22"/>
        </w:rPr>
        <w:t>4.3  The host exception</w:t>
      </w:r>
    </w:p>
    <w:p>
      <w:pPr>
        <w:spacing w:before="0" w:after="140" w:line="307" w:lineRule="auto"/>
      </w:pPr>
      <w:r>
        <w:rPr>
          <w:rFonts w:ascii="Georgia" w:hAnsi="Georgia"/>
          <w:b w:val="0"/>
          <w:color w:val="526068"/>
          <w:sz w:val="19"/>
        </w:rPr>
        <w:t>preckon-host's history has no common ancestor with the monorepo subtree, so git refuses to merge them at all. That target is published by overlay: start from the remote tip, lay the subtree content on top as one commit. The remote's history is preserved and extended, the push is a fast-forward, and files that exist only on the remote survive because an overlay adds and updates but never deletes.</w:t>
      </w: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THE OVERLAY'S ONE CONDITION</w:t>
            </w:r>
          </w:p>
          <w:p>
            <w:pPr>
              <w:spacing w:before="60" w:line="302" w:lineRule="auto"/>
            </w:pPr>
            <w:r>
              <w:rPr>
                <w:rFonts w:ascii="Georgia" w:hAnsi="Georgia"/>
                <w:color w:val="172126"/>
                <w:sz w:val="17"/>
              </w:rPr>
              <w:t>It is safe only while the monorepo is the authority on shared files, because an overlay reverts a remote edit to a file the monorepo also has. That is exactly why the host's Next.js 15.5.23 baseline and its capture-shapes hardening had to be pulled INTO the monorepo before this path was enabled — a mirror would otherwise have downgraded a security fix. If someone edits a shared file on GitHub again, bring it back first.</w:t>
            </w:r>
          </w:p>
        </w:tc>
      </w:tr>
    </w:tbl>
    <w:p>
      <w:pPr>
        <w:spacing w:after="60"/>
      </w:pPr>
    </w:p>
    <w:p>
      <w:pPr>
        <w:spacing w:before="260" w:after="80" w:line="307" w:lineRule="auto"/>
      </w:pPr>
      <w:r>
        <w:rPr>
          <w:rFonts w:ascii="Calibri" w:hAnsi="Calibri"/>
          <w:b/>
          <w:color w:val="172126"/>
          <w:sz w:val="22"/>
        </w:rPr>
        <w:t>4.4  The ten-minute autosync</w:t>
      </w:r>
    </w:p>
    <w:p>
      <w:pPr>
        <w:spacing w:before="0" w:after="140" w:line="307" w:lineRule="auto"/>
      </w:pPr>
      <w:r>
        <w:rPr>
          <w:rFonts w:ascii="Georgia" w:hAnsi="Georgia"/>
          <w:b w:val="0"/>
          <w:color w:val="526068"/>
          <w:sz w:val="19"/>
        </w:rPr>
        <w:t>A separate scheduled task commits and pushes the whole monorepo to the public repository every ten minutes, with a credential guard that aborts the push when an API-key-shaped string appears in the staged diff. It does not run subtree splits — a split walks the entire history of a prefix, which is minutes of CPU to publish nothing new.</w:t>
      </w:r>
    </w:p>
    <w:p>
      <w:pPr>
        <w:spacing w:before="320" w:after="140" w:line="360" w:lineRule="auto"/>
      </w:pPr>
      <w:r>
        <w:rPr>
          <w:rFonts w:ascii="Consolas" w:hAnsi="Consolas"/>
          <w:b w:val="0"/>
          <w:color w:val="667279"/>
          <w:sz w:val="16"/>
        </w:rPr>
        <w:t>Read 3 September 2026 from the four git remotes. Divergence from git rev-list; file presence from git ls-tree against each ref, not the working copy.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Georgia" w:hAnsi="Georgia" w:eastAsia="Georgia"/>
      <w:color w:val="52606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