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7" w:lineRule="auto"/>
      </w:pPr>
      <w:r>
        <w:rPr>
          <w:rFonts w:ascii="Consolas" w:hAnsi="Consolas"/>
          <w:b/>
          <w:color w:val="087E75"/>
          <w:sz w:val="16"/>
        </w:rPr>
        <w:t>PRECKON  ·  ARCHITECTURE REFERENCE v2.0  ·  4 SEPTEMBER 2026</w:t>
      </w:r>
    </w:p>
    <w:p>
      <w:pPr>
        <w:spacing w:before="0" w:after="200" w:line="247" w:lineRule="auto"/>
      </w:pPr>
      <w:r>
        <w:rPr>
          <w:rFonts w:ascii="Georgia" w:hAnsi="Georgia"/>
          <w:b/>
          <w:color w:val="172126"/>
          <w:sz w:val="48"/>
        </w:rPr>
        <w:t>Architecture reference</w:t>
      </w:r>
    </w:p>
    <w:p>
      <w:pPr>
        <w:spacing w:before="0" w:after="260" w:line="307" w:lineRule="auto"/>
      </w:pPr>
      <w:r>
        <w:rPr>
          <w:rFonts w:ascii="Georgia" w:hAnsi="Georgia"/>
          <w:b w:val="0"/>
          <w:color w:val="526068"/>
          <w:sz w:val="22"/>
        </w:rPr>
        <w:t>Ten parts covering the whole tenant plane: 86 tables grouped by concern, the AI stack with what is used and what is not, isolation, API contracts, orchestration, prompts, backups, deployment and every branch across four repositories. Read from the live database, the production host and the remotes on 4 September.</w:t>
      </w:r>
    </w:p>
    <w:p>
      <w:pPr>
        <w:spacing w:before="0" w:after="260" w:line="307" w:lineRule="auto"/>
      </w:pPr>
      <w:r>
        <w:rPr>
          <w:rFonts w:ascii="Georgia" w:hAnsi="Georgia"/>
          <w:b w:val="0"/>
          <w:color w:val="667279"/>
          <w:sz w:val="19"/>
        </w:rPr>
        <w:t>v2.0 answers six points of review on v1.1: the branches section that Word had truncated out of the file, the buried caching finding, inconsistent table counts, and three subjects that were missing entirely - backups, deployment and rollback, and the model registry.</w:t>
      </w:r>
    </w:p>
    <w:tbl>
      <w:tblPr>
        <w:tblW w:type="auto" w:w="0"/>
        <w:tblLook w:firstColumn="1" w:firstRow="1" w:lastColumn="0" w:lastRow="0" w:noHBand="0" w:noVBand="1" w:val="04A0"/>
        <w:tblBorders>
          <w:top w:val="single" w:sz="2" w:space="0" w:color="D8DEE2"/>
          <w:left w:val="single" w:sz="2" w:space="0" w:color="D8DEE2"/>
          <w:bottom w:val="single" w:sz="2" w:space="0" w:color="D8DEE2"/>
          <w:right w:val="single" w:sz="2" w:space="0" w:color="D8DEE2"/>
          <w:insideH w:val="single" w:sz="2" w:space="0" w:color="D8DEE2"/>
          <w:insideV w:val="single" w:sz="2" w:space="0" w:color="D8DEE2"/>
        </w:tblBorders>
      </w:tblPr>
      <w:tblGrid>
        <w:gridCol w:w="1680"/>
        <w:gridCol w:w="1680"/>
        <w:gridCol w:w="1680"/>
        <w:gridCol w:w="1680"/>
        <w:gridCol w:w="1680"/>
        <w:gridCol w:w="1680"/>
      </w:tblGrid>
      <w:tr>
        <w:tc>
          <w:tcPr>
            <w:tcW w:type="dxa" w:w="1680"/>
            <w:shd w:val="clear" w:fill="F0F3F4"/>
          </w:tcPr>
          <w:p>
            <w:pPr>
              <w:jc w:val="center"/>
            </w:pPr>
            <w:r/>
            <w:r>
              <w:rPr>
                <w:rFonts w:ascii="Calibri" w:hAnsi="Calibri"/>
                <w:b/>
                <w:color w:val="667279"/>
                <w:sz w:val="13"/>
              </w:rPr>
              <w:t>TABLES</w:t>
              <w:br/>
            </w:r>
            <w:r>
              <w:rPr>
                <w:rFonts w:ascii="Consolas" w:hAnsi="Consolas"/>
                <w:color w:val="172126"/>
                <w:sz w:val="30"/>
              </w:rPr>
              <w:t>83</w:t>
            </w:r>
          </w:p>
        </w:tc>
        <w:tc>
          <w:tcPr>
            <w:tcW w:type="dxa" w:w="1680"/>
            <w:shd w:val="clear" w:fill="F0F3F4"/>
          </w:tcPr>
          <w:p>
            <w:pPr>
              <w:jc w:val="center"/>
            </w:pPr>
            <w:r/>
            <w:r>
              <w:rPr>
                <w:rFonts w:ascii="Calibri" w:hAnsi="Calibri"/>
                <w:b/>
                <w:color w:val="667279"/>
                <w:sz w:val="13"/>
              </w:rPr>
              <w:t>VIEWS</w:t>
              <w:br/>
            </w:r>
            <w:r>
              <w:rPr>
                <w:rFonts w:ascii="Consolas" w:hAnsi="Consolas"/>
                <w:color w:val="172126"/>
                <w:sz w:val="30"/>
              </w:rPr>
              <w:t>3</w:t>
            </w:r>
          </w:p>
        </w:tc>
        <w:tc>
          <w:tcPr>
            <w:tcW w:type="dxa" w:w="1680"/>
            <w:shd w:val="clear" w:fill="F0F3F4"/>
          </w:tcPr>
          <w:p>
            <w:pPr>
              <w:jc w:val="center"/>
            </w:pPr>
            <w:r/>
            <w:r>
              <w:rPr>
                <w:rFonts w:ascii="Calibri" w:hAnsi="Calibri"/>
                <w:b/>
                <w:color w:val="667279"/>
                <w:sz w:val="13"/>
              </w:rPr>
              <w:t>COLUMNS</w:t>
              <w:br/>
            </w:r>
            <w:r>
              <w:rPr>
                <w:rFonts w:ascii="Consolas" w:hAnsi="Consolas"/>
                <w:color w:val="172126"/>
                <w:sz w:val="30"/>
              </w:rPr>
              <w:t>924</w:t>
            </w:r>
          </w:p>
        </w:tc>
        <w:tc>
          <w:tcPr>
            <w:tcW w:type="dxa" w:w="1680"/>
            <w:shd w:val="clear" w:fill="F0F3F4"/>
          </w:tcPr>
          <w:p>
            <w:pPr>
              <w:jc w:val="center"/>
            </w:pPr>
            <w:r/>
            <w:r>
              <w:rPr>
                <w:rFonts w:ascii="Calibri" w:hAnsi="Calibri"/>
                <w:b/>
                <w:color w:val="667279"/>
                <w:sz w:val="13"/>
              </w:rPr>
              <w:t>TENANT-SCOPED</w:t>
              <w:br/>
            </w:r>
            <w:r>
              <w:rPr>
                <w:rFonts w:ascii="Consolas" w:hAnsi="Consolas"/>
                <w:color w:val="172126"/>
                <w:sz w:val="30"/>
              </w:rPr>
              <w:t>71</w:t>
            </w:r>
          </w:p>
        </w:tc>
        <w:tc>
          <w:tcPr>
            <w:tcW w:type="dxa" w:w="1680"/>
            <w:shd w:val="clear" w:fill="F0F3F4"/>
          </w:tcPr>
          <w:p>
            <w:pPr>
              <w:jc w:val="center"/>
            </w:pPr>
            <w:r/>
            <w:r>
              <w:rPr>
                <w:rFonts w:ascii="Calibri" w:hAnsi="Calibri"/>
                <w:b/>
                <w:color w:val="667279"/>
                <w:sz w:val="13"/>
              </w:rPr>
              <w:t>FOREIGN KEYS</w:t>
              <w:br/>
            </w:r>
            <w:r>
              <w:rPr>
                <w:rFonts w:ascii="Consolas" w:hAnsi="Consolas"/>
                <w:color w:val="172126"/>
                <w:sz w:val="30"/>
              </w:rPr>
              <w:t>47</w:t>
            </w:r>
          </w:p>
        </w:tc>
        <w:tc>
          <w:tcPr>
            <w:tcW w:type="dxa" w:w="1680"/>
            <w:shd w:val="clear" w:fill="F0F3F4"/>
          </w:tcPr>
          <w:p>
            <w:pPr>
              <w:jc w:val="center"/>
            </w:pPr>
            <w:r/>
            <w:r>
              <w:rPr>
                <w:rFonts w:ascii="Calibri" w:hAnsi="Calibri"/>
                <w:b/>
                <w:color w:val="667279"/>
                <w:sz w:val="13"/>
              </w:rPr>
              <w:t>BRANCHES</w:t>
              <w:br/>
            </w:r>
            <w:r>
              <w:rPr>
                <w:rFonts w:ascii="Consolas" w:hAnsi="Consolas"/>
                <w:color w:val="172126"/>
                <w:sz w:val="30"/>
              </w:rPr>
              <w:t>9</w:t>
            </w:r>
          </w:p>
        </w:tc>
      </w:tr>
    </w:tbl>
    <w:p>
      <w:pPr>
        <w:spacing w:after="160"/>
      </w:pPr>
    </w:p>
    <w:p>
      <w:pPr>
        <w:spacing w:before="0" w:after="60" w:line="307" w:lineRule="auto"/>
      </w:pPr>
      <w:r>
        <w:rPr>
          <w:rFonts w:ascii="Consolas" w:hAnsi="Consolas"/>
          <w:b/>
          <w:color w:val="087E75"/>
          <w:sz w:val="15"/>
        </w:rPr>
        <w:t>PART 1</w:t>
      </w:r>
    </w:p>
    <w:p>
      <w:pPr>
        <w:spacing w:before="0" w:after="160" w:line="252" w:lineRule="auto"/>
      </w:pPr>
      <w:r>
        <w:rPr>
          <w:rFonts w:ascii="Georgia" w:hAnsi="Georgia"/>
          <w:b/>
          <w:color w:val="172126"/>
          <w:sz w:val="38"/>
        </w:rPr>
        <w:t>Read this first</w:t>
      </w:r>
    </w:p>
    <w:p>
      <w:pPr>
        <w:spacing w:before="0" w:after="200" w:line="307" w:lineRule="auto"/>
      </w:pPr>
      <w:r>
        <w:rPr>
          <w:rFonts w:ascii="Georgia" w:hAnsi="Georgia"/>
          <w:b w:val="0"/>
          <w:color w:val="526068"/>
          <w:sz w:val="21"/>
        </w:rPr>
        <w:t>Four findings that change a decision, pulled to the front because in v1.1 the most valuable of them sat on the last page.</w:t>
      </w:r>
    </w:p>
    <w:p>
      <w:pPr>
        <w:spacing w:before="260" w:after="80" w:line="307" w:lineRule="auto"/>
      </w:pPr>
      <w:r>
        <w:rPr>
          <w:rFonts w:ascii="Calibri" w:hAnsi="Calibri"/>
          <w:b/>
          <w:color w:val="172126"/>
          <w:sz w:val="22"/>
        </w:rPr>
        <w:t>1.1  Prompt caching is enabled and has never returned a token</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cache hits in 180 calls          0</w:t>
              <w:br/>
              <w:t>common prefix between two calls  12 characters</w:t>
              <w:br/>
              <w:t>identical content sitting after  8,982 characters</w:t>
              <w:br/>
              <w:t>system prompt                    8,994 characters</w:t>
            </w:r>
          </w:p>
        </w:tc>
      </w:tr>
    </w:tbl>
    <w:p>
      <w:pPr>
        <w:spacing w:after="40"/>
      </w:pPr>
    </w:p>
    <w:p>
      <w:pPr>
        <w:spacing w:before="0" w:after="140" w:line="307" w:lineRule="auto"/>
      </w:pPr>
      <w:r>
        <w:rPr>
          <w:rFonts w:ascii="Georgia" w:hAnsi="Georgia"/>
          <w:b w:val="0"/>
          <w:color w:val="526068"/>
          <w:sz w:val="19"/>
        </w:rPr>
        <w:t>Anthropic's cache matches on a PREFIX. The BOQ section prompt opens with the per-specialist persona — label, expertise, measurement guide, vocabulary — which differs on every call, and the shared brief that caching exists to reuse sits behind it. So the common prefix between any two calls is twelve characters: "You are the ".</w:t>
      </w:r>
    </w:p>
    <w:p>
      <w:pPr>
        <w:spacing w:before="0" w:after="140" w:line="307" w:lineRule="auto"/>
      </w:pPr>
      <w:r>
        <w:rPr>
          <w:rFonts w:ascii="Georgia" w:hAnsi="Georgia"/>
          <w:b w:val="0"/>
          <w:color w:val="526068"/>
          <w:sz w:val="19"/>
        </w:rPr>
        <w:t>A cache WRITE bills at 1.25x. Every call therefore pays a premium to store a prefix the next call cannot match, and reads nothing back. Caching as configured is worse than caching switched off.</w:t>
      </w:r>
    </w:p>
    <w:tbl>
      <w:tblPr>
        <w:tblW w:type="auto" w:w="0"/>
        <w:tblLook w:firstColumn="1" w:firstRow="1" w:lastColumn="0" w:lastRow="0" w:noHBand="0" w:noVBand="1" w:val="04A0"/>
        <w:tblBorders>
          <w:top w:val="single" w:sz="2" w:space="0" w:color="E6F3F1"/>
          <w:left w:val="single" w:sz="2" w:space="0" w:color="E6F3F1"/>
          <w:bottom w:val="single" w:sz="2" w:space="0" w:color="E6F3F1"/>
          <w:right w:val="single" w:sz="2" w:space="0" w:color="E6F3F1"/>
          <w:insideH w:val="single" w:sz="2" w:space="0" w:color="E6F3F1"/>
          <w:insideV w:val="single" w:sz="2" w:space="0" w:color="E6F3F1"/>
        </w:tblBorders>
      </w:tblPr>
      <w:tblGrid>
        <w:gridCol w:w="10080"/>
      </w:tblGrid>
      <w:tr>
        <w:tc>
          <w:tcPr>
            <w:tcW w:type="dxa" w:w="10080"/>
            <w:shd w:val="clear" w:fill="E6F3F1"/>
          </w:tcPr>
          <w:p>
            <w:r/>
            <w:r>
              <w:rPr>
                <w:rFonts w:ascii="Calibri" w:hAnsi="Calibri"/>
                <w:b/>
                <w:color w:val="087E75"/>
                <w:sz w:val="14"/>
              </w:rPr>
              <w:t>THE FIX IS A REORDERING, NOT A REWRITE</w:t>
            </w:r>
          </w:p>
          <w:p>
            <w:pPr>
              <w:spacing w:before="60" w:line="302" w:lineRule="auto"/>
            </w:pPr>
            <w:r>
              <w:rPr>
                <w:rFonts w:ascii="Georgia" w:hAnsi="Georgia"/>
                <w:color w:val="172126"/>
                <w:sz w:val="17"/>
              </w:rPr>
              <w:t>Move the shared blocks ahead of the persona. Same bytes, same prompt, same answer — the model cannot tell the difference. At 44:1 input-to-output this is roughly half to two thirds of the input bill, at zero quality risk. Correct the cache pricing terms first, or the usage page will report the improvement wrongly and nobody will learn how much was saved. There is a second gap behind it: the documents block, identical for every specialist in a run, carries no breakpoint at all.</w:t>
            </w:r>
          </w:p>
        </w:tc>
      </w:tr>
    </w:tbl>
    <w:p>
      <w:pPr>
        <w:spacing w:after="60"/>
      </w:pPr>
    </w:p>
    <w:p>
      <w:pPr>
        <w:spacing w:before="260" w:after="80" w:line="307" w:lineRule="auto"/>
      </w:pPr>
      <w:r>
        <w:rPr>
          <w:rFonts w:ascii="Calibri" w:hAnsi="Calibri"/>
          <w:b/>
          <w:color w:val="172126"/>
          <w:sz w:val="22"/>
        </w:rPr>
        <w:t>1.2  Backups had been failing for three nights</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Sep 1  02:15   26 MB     last good backup</w:t>
              <w:br/>
              <w:t>Sep 2  02:15   20 bytes</w:t>
              <w:br/>
              <w:t>Sep 3  02:15   20 bytes</w:t>
              <w:br/>
              <w:t>Sep 4  02:15   20 bytes</w:t>
            </w:r>
          </w:p>
        </w:tc>
      </w:tr>
    </w:tbl>
    <w:p>
      <w:pPr>
        <w:spacing w:after="40"/>
      </w:pPr>
    </w:p>
    <w:p>
      <w:pPr>
        <w:spacing w:before="0" w:after="140" w:line="307" w:lineRule="auto"/>
      </w:pPr>
      <w:r>
        <w:rPr>
          <w:rFonts w:ascii="Georgia" w:hAnsi="Georgia"/>
          <w:b w:val="0"/>
          <w:color w:val="526068"/>
          <w:sz w:val="19"/>
        </w:rPr>
        <w:t>backup.sh defaulted to the database password `preckon`, which was rotated on 1 September as part of the security work. Cron sets no DB_PASS, so every run since failed with "Access denied" and wrote a 20-byte file. Fixed and verified on 4 September — see Part 8. The rotation caused it; the report is included because the interesting part is not the cause but why it went unnoticed for three days.</w:t>
      </w:r>
    </w:p>
    <w:p>
      <w:pPr>
        <w:spacing w:before="260" w:after="80" w:line="307" w:lineRule="auto"/>
      </w:pPr>
      <w:r>
        <w:rPr>
          <w:rFonts w:ascii="Calibri" w:hAnsi="Calibri"/>
          <w:b/>
          <w:color w:val="172126"/>
          <w:sz w:val="22"/>
        </w:rPr>
        <w:t>1.3  The frontier alias points at a superseded model</w:t>
      </w:r>
    </w:p>
    <w:p>
      <w:pPr>
        <w:spacing w:before="0" w:after="140" w:line="307" w:lineRule="auto"/>
      </w:pPr>
      <w:r>
        <w:rPr>
          <w:rFonts w:ascii="Georgia" w:hAnsi="Georgia"/>
          <w:b w:val="0"/>
          <w:color w:val="526068"/>
          <w:sz w:val="19"/>
        </w:rPr>
        <w:t>ai_model_registry maps frontier-reasoning and frontier-multimodal to claude-opus-4-8. Opus 5 is the current Opus-tier model. Because this is an alias in a table, moving it is an UPDATE rather than a code change and a deploy — which is the whole point of the registry. See Part 3.4 for the recommendation, which is to benchmark before switching rather than after.</w:t>
      </w:r>
    </w:p>
    <w:p>
      <w:pPr>
        <w:spacing w:before="260" w:after="80" w:line="307" w:lineRule="auto"/>
      </w:pPr>
      <w:r>
        <w:rPr>
          <w:rFonts w:ascii="Calibri" w:hAnsi="Calibri"/>
          <w:b/>
          <w:color w:val="172126"/>
          <w:sz w:val="22"/>
        </w:rPr>
        <w:t>1.4  Eighteen of twenty-three task types default to frontier</w:t>
      </w:r>
    </w:p>
    <w:p>
      <w:pPr>
        <w:spacing w:before="0" w:after="140" w:line="307" w:lineRule="auto"/>
      </w:pPr>
      <w:r>
        <w:rPr>
          <w:rFonts w:ascii="Georgia" w:hAnsi="Georgia"/>
          <w:b w:val="0"/>
          <w:color w:val="526068"/>
          <w:sz w:val="19"/>
        </w:rPr>
        <w:t>Against the platform's own governing rule that frontier inference is an escalation path rather than a default. Recorded as a formal exception with an owner, an expiry and a compensating control, because re-routing changes what the models return and the evaluation corpus does not yet score extraction accuracy.</w:t>
      </w:r>
    </w:p>
    <w:p>
      <w:r>
        <w:br w:type="page"/>
      </w:r>
    </w:p>
    <w:p>
      <w:pPr>
        <w:spacing w:before="0" w:after="60" w:line="307" w:lineRule="auto"/>
      </w:pPr>
      <w:r>
        <w:rPr>
          <w:rFonts w:ascii="Consolas" w:hAnsi="Consolas"/>
          <w:b/>
          <w:color w:val="087E75"/>
          <w:sz w:val="15"/>
        </w:rPr>
        <w:t>PART 2</w:t>
      </w:r>
    </w:p>
    <w:p>
      <w:pPr>
        <w:spacing w:before="0" w:after="160" w:line="252" w:lineRule="auto"/>
      </w:pPr>
      <w:r>
        <w:rPr>
          <w:rFonts w:ascii="Georgia" w:hAnsi="Georgia"/>
          <w:b/>
          <w:color w:val="172126"/>
          <w:sz w:val="38"/>
        </w:rPr>
        <w:t>The schema</w:t>
      </w:r>
    </w:p>
    <w:p>
      <w:pPr>
        <w:spacing w:before="0" w:after="200" w:line="307" w:lineRule="auto"/>
      </w:pPr>
      <w:r>
        <w:rPr>
          <w:rFonts w:ascii="Georgia" w:hAnsi="Georgia"/>
          <w:b w:val="0"/>
          <w:color w:val="526068"/>
          <w:sz w:val="21"/>
        </w:rPr>
        <w:t>83 tables and 3 views — 86 objects, 924 columns, 47 foreign keys. 71 of the 83 tables carry a tenant_id. The section counts below add up, so the scale is visible rather than asserted.</w:t>
      </w: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A CORRECTION TO V1.1</w:t>
            </w:r>
          </w:p>
          <w:p>
            <w:pPr>
              <w:spacing w:before="60" w:line="302" w:lineRule="auto"/>
            </w:pPr>
            <w:r>
              <w:rPr>
                <w:rFonts w:ascii="Georgia" w:hAnsi="Georgia"/>
                <w:color w:val="172126"/>
                <w:sz w:val="17"/>
              </w:rPr>
              <w:t>v1.1 said 86 tables, of which three arrived by migration. That was wrong. There are 83 base tables — exactly matching schema.sql — plus 3 VIEWS: review_queue, user_effective_permission and calibration_stat. Nothing arrived unaccounted for.</w:t>
            </w:r>
          </w:p>
        </w:tc>
      </w:tr>
    </w:tbl>
    <w:p>
      <w:pPr>
        <w:spacing w:after="60"/>
      </w:pP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4896"/>
            <w:shd w:val="clear" w:fill="F0F3F4"/>
          </w:tcPr>
          <w:p>
            <w:r/>
            <w:r>
              <w:rPr>
                <w:rFonts w:ascii="Calibri" w:hAnsi="Calibri"/>
                <w:b/>
                <w:color w:val="667279"/>
                <w:sz w:val="13"/>
              </w:rPr>
              <w:t>CONCERN</w:t>
            </w:r>
          </w:p>
        </w:tc>
        <w:tc>
          <w:tcPr>
            <w:tcW w:type="dxa" w:w="1296"/>
            <w:shd w:val="clear" w:fill="F0F3F4"/>
          </w:tcPr>
          <w:p>
            <w:r/>
            <w:r>
              <w:rPr>
                <w:rFonts w:ascii="Calibri" w:hAnsi="Calibri"/>
                <w:b/>
                <w:color w:val="667279"/>
                <w:sz w:val="13"/>
              </w:rPr>
              <w:t>TABLES</w:t>
            </w:r>
          </w:p>
        </w:tc>
        <w:tc>
          <w:tcPr>
            <w:tcW w:type="dxa" w:w="1296"/>
            <w:shd w:val="clear" w:fill="F0F3F4"/>
          </w:tcPr>
          <w:p>
            <w:r/>
            <w:r>
              <w:rPr>
                <w:rFonts w:ascii="Calibri" w:hAnsi="Calibri"/>
                <w:b/>
                <w:color w:val="667279"/>
                <w:sz w:val="13"/>
              </w:rPr>
              <w:t>COLUMNS</w:t>
            </w:r>
          </w:p>
        </w:tc>
      </w:tr>
      <w:tr>
        <w:tc>
          <w:tcPr>
            <w:tcW w:type="dxa" w:w="4896"/>
          </w:tcPr>
          <w:p>
            <w:pPr>
              <w:spacing w:line="278" w:lineRule="auto" w:after="0"/>
            </w:pPr>
            <w:r/>
            <w:r>
              <w:rPr>
                <w:rFonts w:ascii="Calibri" w:hAnsi="Calibri"/>
                <w:b/>
                <w:color w:val="172126"/>
                <w:sz w:val="15"/>
              </w:rPr>
              <w:t>Identity and tenancy</w:t>
            </w:r>
          </w:p>
        </w:tc>
        <w:tc>
          <w:tcPr>
            <w:tcW w:type="dxa" w:w="1296"/>
          </w:tcPr>
          <w:p>
            <w:pPr>
              <w:spacing w:line="278" w:lineRule="auto" w:after="0"/>
            </w:pPr>
            <w:r/>
            <w:r>
              <w:rPr>
                <w:rFonts w:ascii="Consolas" w:hAnsi="Consolas"/>
                <w:b w:val="0"/>
                <w:color w:val="526068"/>
                <w:sz w:val="15"/>
              </w:rPr>
              <w:t>16</w:t>
            </w:r>
          </w:p>
        </w:tc>
        <w:tc>
          <w:tcPr>
            <w:tcW w:type="dxa" w:w="1296"/>
          </w:tcPr>
          <w:p>
            <w:pPr>
              <w:spacing w:line="278" w:lineRule="auto" w:after="0"/>
            </w:pPr>
            <w:r/>
            <w:r>
              <w:rPr>
                <w:rFonts w:ascii="Consolas" w:hAnsi="Consolas"/>
                <w:b w:val="0"/>
                <w:color w:val="526068"/>
                <w:sz w:val="15"/>
              </w:rPr>
              <w:t>115</w:t>
            </w:r>
          </w:p>
        </w:tc>
      </w:tr>
      <w:tr>
        <w:tc>
          <w:tcPr>
            <w:tcW w:type="dxa" w:w="4896"/>
          </w:tcPr>
          <w:p>
            <w:pPr>
              <w:spacing w:line="278" w:lineRule="auto" w:after="0"/>
            </w:pPr>
            <w:r/>
            <w:r>
              <w:rPr>
                <w:rFonts w:ascii="Calibri" w:hAnsi="Calibri"/>
                <w:b/>
                <w:color w:val="172126"/>
                <w:sz w:val="15"/>
              </w:rPr>
              <w:t>Project and the artifact spine</w:t>
            </w:r>
          </w:p>
        </w:tc>
        <w:tc>
          <w:tcPr>
            <w:tcW w:type="dxa" w:w="1296"/>
          </w:tcPr>
          <w:p>
            <w:pPr>
              <w:spacing w:line="278" w:lineRule="auto" w:after="0"/>
            </w:pPr>
            <w:r/>
            <w:r>
              <w:rPr>
                <w:rFonts w:ascii="Consolas" w:hAnsi="Consolas"/>
                <w:b w:val="0"/>
                <w:color w:val="526068"/>
                <w:sz w:val="15"/>
              </w:rPr>
              <w:t>8</w:t>
            </w:r>
          </w:p>
        </w:tc>
        <w:tc>
          <w:tcPr>
            <w:tcW w:type="dxa" w:w="1296"/>
          </w:tcPr>
          <w:p>
            <w:pPr>
              <w:spacing w:line="278" w:lineRule="auto" w:after="0"/>
            </w:pPr>
            <w:r/>
            <w:r>
              <w:rPr>
                <w:rFonts w:ascii="Consolas" w:hAnsi="Consolas"/>
                <w:b w:val="0"/>
                <w:color w:val="526068"/>
                <w:sz w:val="15"/>
              </w:rPr>
              <w:t>78</w:t>
            </w:r>
          </w:p>
        </w:tc>
      </w:tr>
      <w:tr>
        <w:tc>
          <w:tcPr>
            <w:tcW w:type="dxa" w:w="4896"/>
          </w:tcPr>
          <w:p>
            <w:pPr>
              <w:spacing w:line="278" w:lineRule="auto" w:after="0"/>
            </w:pPr>
            <w:r/>
            <w:r>
              <w:rPr>
                <w:rFonts w:ascii="Calibri" w:hAnsi="Calibri"/>
                <w:b/>
                <w:color w:val="172126"/>
                <w:sz w:val="15"/>
              </w:rPr>
              <w:t>Workflow and jobs</w:t>
            </w:r>
          </w:p>
        </w:tc>
        <w:tc>
          <w:tcPr>
            <w:tcW w:type="dxa" w:w="1296"/>
          </w:tcPr>
          <w:p>
            <w:pPr>
              <w:spacing w:line="278" w:lineRule="auto" w:after="0"/>
            </w:pPr>
            <w:r/>
            <w:r>
              <w:rPr>
                <w:rFonts w:ascii="Consolas" w:hAnsi="Consolas"/>
                <w:b w:val="0"/>
                <w:color w:val="526068"/>
                <w:sz w:val="15"/>
              </w:rPr>
              <w:t>7</w:t>
            </w:r>
          </w:p>
        </w:tc>
        <w:tc>
          <w:tcPr>
            <w:tcW w:type="dxa" w:w="1296"/>
          </w:tcPr>
          <w:p>
            <w:pPr>
              <w:spacing w:line="278" w:lineRule="auto" w:after="0"/>
            </w:pPr>
            <w:r/>
            <w:r>
              <w:rPr>
                <w:rFonts w:ascii="Consolas" w:hAnsi="Consolas"/>
                <w:b w:val="0"/>
                <w:color w:val="526068"/>
                <w:sz w:val="15"/>
              </w:rPr>
              <w:t>95</w:t>
            </w:r>
          </w:p>
        </w:tc>
      </w:tr>
      <w:tr>
        <w:tc>
          <w:tcPr>
            <w:tcW w:type="dxa" w:w="4896"/>
          </w:tcPr>
          <w:p>
            <w:pPr>
              <w:spacing w:line="278" w:lineRule="auto" w:after="0"/>
            </w:pPr>
            <w:r/>
            <w:r>
              <w:rPr>
                <w:rFonts w:ascii="Calibri" w:hAnsi="Calibri"/>
                <w:b/>
                <w:color w:val="172126"/>
                <w:sz w:val="15"/>
              </w:rPr>
              <w:t>The AI fabric</w:t>
            </w:r>
          </w:p>
        </w:tc>
        <w:tc>
          <w:tcPr>
            <w:tcW w:type="dxa" w:w="1296"/>
          </w:tcPr>
          <w:p>
            <w:pPr>
              <w:spacing w:line="278" w:lineRule="auto" w:after="0"/>
            </w:pPr>
            <w:r/>
            <w:r>
              <w:rPr>
                <w:rFonts w:ascii="Consolas" w:hAnsi="Consolas"/>
                <w:b w:val="0"/>
                <w:color w:val="526068"/>
                <w:sz w:val="15"/>
              </w:rPr>
              <w:t>6</w:t>
            </w:r>
          </w:p>
        </w:tc>
        <w:tc>
          <w:tcPr>
            <w:tcW w:type="dxa" w:w="1296"/>
          </w:tcPr>
          <w:p>
            <w:pPr>
              <w:spacing w:line="278" w:lineRule="auto" w:after="0"/>
            </w:pPr>
            <w:r/>
            <w:r>
              <w:rPr>
                <w:rFonts w:ascii="Consolas" w:hAnsi="Consolas"/>
                <w:b w:val="0"/>
                <w:color w:val="526068"/>
                <w:sz w:val="15"/>
              </w:rPr>
              <w:t>81</w:t>
            </w:r>
          </w:p>
        </w:tc>
      </w:tr>
      <w:tr>
        <w:tc>
          <w:tcPr>
            <w:tcW w:type="dxa" w:w="4896"/>
          </w:tcPr>
          <w:p>
            <w:pPr>
              <w:spacing w:line="278" w:lineRule="auto" w:after="0"/>
            </w:pPr>
            <w:r/>
            <w:r>
              <w:rPr>
                <w:rFonts w:ascii="Calibri" w:hAnsi="Calibri"/>
                <w:b/>
                <w:color w:val="172126"/>
                <w:sz w:val="15"/>
              </w:rPr>
              <w:t>Documents and retrieval</w:t>
            </w:r>
          </w:p>
        </w:tc>
        <w:tc>
          <w:tcPr>
            <w:tcW w:type="dxa" w:w="1296"/>
          </w:tcPr>
          <w:p>
            <w:pPr>
              <w:spacing w:line="278" w:lineRule="auto" w:after="0"/>
            </w:pPr>
            <w:r/>
            <w:r>
              <w:rPr>
                <w:rFonts w:ascii="Consolas" w:hAnsi="Consolas"/>
                <w:b w:val="0"/>
                <w:color w:val="526068"/>
                <w:sz w:val="15"/>
              </w:rPr>
              <w:t>15</w:t>
            </w:r>
          </w:p>
        </w:tc>
        <w:tc>
          <w:tcPr>
            <w:tcW w:type="dxa" w:w="1296"/>
          </w:tcPr>
          <w:p>
            <w:pPr>
              <w:spacing w:line="278" w:lineRule="auto" w:after="0"/>
            </w:pPr>
            <w:r/>
            <w:r>
              <w:rPr>
                <w:rFonts w:ascii="Consolas" w:hAnsi="Consolas"/>
                <w:b w:val="0"/>
                <w:color w:val="526068"/>
                <w:sz w:val="15"/>
              </w:rPr>
              <w:t>201</w:t>
            </w:r>
          </w:p>
        </w:tc>
      </w:tr>
      <w:tr>
        <w:tc>
          <w:tcPr>
            <w:tcW w:type="dxa" w:w="4896"/>
          </w:tcPr>
          <w:p>
            <w:pPr>
              <w:spacing w:line="278" w:lineRule="auto" w:after="0"/>
            </w:pPr>
            <w:r/>
            <w:r>
              <w:rPr>
                <w:rFonts w:ascii="Calibri" w:hAnsi="Calibri"/>
                <w:b/>
                <w:color w:val="172126"/>
                <w:sz w:val="15"/>
              </w:rPr>
              <w:t>Drawings, BIM and the PCM</w:t>
            </w:r>
          </w:p>
        </w:tc>
        <w:tc>
          <w:tcPr>
            <w:tcW w:type="dxa" w:w="1296"/>
          </w:tcPr>
          <w:p>
            <w:pPr>
              <w:spacing w:line="278" w:lineRule="auto" w:after="0"/>
            </w:pPr>
            <w:r/>
            <w:r>
              <w:rPr>
                <w:rFonts w:ascii="Consolas" w:hAnsi="Consolas"/>
                <w:b w:val="0"/>
                <w:color w:val="526068"/>
                <w:sz w:val="15"/>
              </w:rPr>
              <w:t>16</w:t>
            </w:r>
          </w:p>
        </w:tc>
        <w:tc>
          <w:tcPr>
            <w:tcW w:type="dxa" w:w="1296"/>
          </w:tcPr>
          <w:p>
            <w:pPr>
              <w:spacing w:line="278" w:lineRule="auto" w:after="0"/>
            </w:pPr>
            <w:r/>
            <w:r>
              <w:rPr>
                <w:rFonts w:ascii="Consolas" w:hAnsi="Consolas"/>
                <w:b w:val="0"/>
                <w:color w:val="526068"/>
                <w:sz w:val="15"/>
              </w:rPr>
              <w:t>184</w:t>
            </w:r>
          </w:p>
        </w:tc>
      </w:tr>
      <w:tr>
        <w:tc>
          <w:tcPr>
            <w:tcW w:type="dxa" w:w="4896"/>
          </w:tcPr>
          <w:p>
            <w:pPr>
              <w:spacing w:line="278" w:lineRule="auto" w:after="0"/>
            </w:pPr>
            <w:r/>
            <w:r>
              <w:rPr>
                <w:rFonts w:ascii="Calibri" w:hAnsi="Calibri"/>
                <w:b/>
                <w:color w:val="172126"/>
                <w:sz w:val="15"/>
              </w:rPr>
              <w:t>Commercial, library and operations</w:t>
            </w:r>
          </w:p>
        </w:tc>
        <w:tc>
          <w:tcPr>
            <w:tcW w:type="dxa" w:w="1296"/>
          </w:tcPr>
          <w:p>
            <w:pPr>
              <w:spacing w:line="278" w:lineRule="auto" w:after="0"/>
            </w:pPr>
            <w:r/>
            <w:r>
              <w:rPr>
                <w:rFonts w:ascii="Consolas" w:hAnsi="Consolas"/>
                <w:b w:val="0"/>
                <w:color w:val="526068"/>
                <w:sz w:val="15"/>
              </w:rPr>
              <w:t>15</w:t>
            </w:r>
          </w:p>
        </w:tc>
        <w:tc>
          <w:tcPr>
            <w:tcW w:type="dxa" w:w="1296"/>
          </w:tcPr>
          <w:p>
            <w:pPr>
              <w:spacing w:line="278" w:lineRule="auto" w:after="0"/>
            </w:pPr>
            <w:r/>
            <w:r>
              <w:rPr>
                <w:rFonts w:ascii="Consolas" w:hAnsi="Consolas"/>
                <w:b w:val="0"/>
                <w:color w:val="526068"/>
                <w:sz w:val="15"/>
              </w:rPr>
              <w:t>153</w:t>
            </w:r>
          </w:p>
        </w:tc>
      </w:tr>
      <w:tr>
        <w:tc>
          <w:tcPr>
            <w:tcW w:type="dxa" w:w="4896"/>
          </w:tcPr>
          <w:p>
            <w:pPr>
              <w:spacing w:line="278" w:lineRule="auto" w:after="0"/>
            </w:pPr>
            <w:r/>
            <w:r>
              <w:rPr>
                <w:rFonts w:ascii="Calibri" w:hAnsi="Calibri"/>
                <w:b/>
                <w:color w:val="172126"/>
                <w:sz w:val="15"/>
              </w:rPr>
              <w:t>Base tables</w:t>
            </w:r>
          </w:p>
        </w:tc>
        <w:tc>
          <w:tcPr>
            <w:tcW w:type="dxa" w:w="1296"/>
          </w:tcPr>
          <w:p>
            <w:pPr>
              <w:spacing w:line="278" w:lineRule="auto" w:after="0"/>
            </w:pPr>
            <w:r/>
            <w:r>
              <w:rPr>
                <w:rFonts w:ascii="Consolas" w:hAnsi="Consolas"/>
                <w:b w:val="0"/>
                <w:color w:val="526068"/>
                <w:sz w:val="15"/>
              </w:rPr>
              <w:t>83</w:t>
            </w:r>
          </w:p>
        </w:tc>
        <w:tc>
          <w:tcPr>
            <w:tcW w:type="dxa" w:w="1296"/>
          </w:tcPr>
          <w:p>
            <w:pPr>
              <w:spacing w:line="278" w:lineRule="auto" w:after="0"/>
            </w:pPr>
            <w:r/>
            <w:r>
              <w:rPr>
                <w:rFonts w:ascii="Consolas" w:hAnsi="Consolas"/>
                <w:b w:val="0"/>
                <w:color w:val="526068"/>
                <w:sz w:val="15"/>
              </w:rPr>
              <w:t>907</w:t>
            </w:r>
          </w:p>
        </w:tc>
      </w:tr>
      <w:tr>
        <w:tc>
          <w:tcPr>
            <w:tcW w:type="dxa" w:w="4896"/>
          </w:tcPr>
          <w:p>
            <w:pPr>
              <w:spacing w:line="278" w:lineRule="auto" w:after="0"/>
            </w:pPr>
            <w:r/>
            <w:r>
              <w:rPr>
                <w:rFonts w:ascii="Calibri" w:hAnsi="Calibri"/>
                <w:b/>
                <w:color w:val="172126"/>
                <w:sz w:val="15"/>
              </w:rPr>
              <w:t>Views</w:t>
            </w:r>
          </w:p>
        </w:tc>
        <w:tc>
          <w:tcPr>
            <w:tcW w:type="dxa" w:w="1296"/>
          </w:tcPr>
          <w:p>
            <w:pPr>
              <w:spacing w:line="278" w:lineRule="auto" w:after="0"/>
            </w:pPr>
            <w:r/>
            <w:r>
              <w:rPr>
                <w:rFonts w:ascii="Consolas" w:hAnsi="Consolas"/>
                <w:b w:val="0"/>
                <w:color w:val="526068"/>
                <w:sz w:val="15"/>
              </w:rPr>
              <w:t>3</w:t>
            </w:r>
          </w:p>
        </w:tc>
        <w:tc>
          <w:tcPr>
            <w:tcW w:type="dxa" w:w="1296"/>
          </w:tcPr>
          <w:p>
            <w:pPr>
              <w:spacing w:line="278" w:lineRule="auto" w:after="0"/>
            </w:pPr>
            <w:r/>
            <w:r>
              <w:rPr>
                <w:rFonts w:ascii="Consolas" w:hAnsi="Consolas"/>
                <w:b w:val="0"/>
                <w:color w:val="526068"/>
                <w:sz w:val="15"/>
              </w:rPr>
              <w:t>17</w:t>
            </w:r>
          </w:p>
        </w:tc>
      </w:tr>
      <w:tr>
        <w:tc>
          <w:tcPr>
            <w:tcW w:type="dxa" w:w="4896"/>
          </w:tcPr>
          <w:p>
            <w:pPr>
              <w:spacing w:line="278" w:lineRule="auto" w:after="0"/>
            </w:pPr>
            <w:r/>
            <w:r>
              <w:rPr>
                <w:rFonts w:ascii="Calibri" w:hAnsi="Calibri"/>
                <w:b/>
                <w:color w:val="172126"/>
                <w:sz w:val="15"/>
              </w:rPr>
              <w:t>TOTAL</w:t>
            </w:r>
          </w:p>
        </w:tc>
        <w:tc>
          <w:tcPr>
            <w:tcW w:type="dxa" w:w="1296"/>
          </w:tcPr>
          <w:p>
            <w:pPr>
              <w:spacing w:line="278" w:lineRule="auto" w:after="0"/>
            </w:pPr>
            <w:r/>
            <w:r>
              <w:rPr>
                <w:rFonts w:ascii="Consolas" w:hAnsi="Consolas"/>
                <w:b w:val="0"/>
                <w:color w:val="526068"/>
                <w:sz w:val="15"/>
              </w:rPr>
              <w:t>86</w:t>
            </w:r>
          </w:p>
        </w:tc>
        <w:tc>
          <w:tcPr>
            <w:tcW w:type="dxa" w:w="1296"/>
          </w:tcPr>
          <w:p>
            <w:pPr>
              <w:spacing w:line="278" w:lineRule="auto" w:after="0"/>
            </w:pPr>
            <w:r/>
            <w:r>
              <w:rPr>
                <w:rFonts w:ascii="Consolas" w:hAnsi="Consolas"/>
                <w:b w:val="0"/>
                <w:color w:val="526068"/>
                <w:sz w:val="15"/>
              </w:rPr>
              <w:t>924</w:t>
            </w:r>
          </w:p>
        </w:tc>
      </w:tr>
    </w:tbl>
    <w:p>
      <w:pPr>
        <w:spacing w:after="60"/>
      </w:pPr>
    </w:p>
    <w:p>
      <w:pPr>
        <w:spacing w:before="260" w:after="80" w:line="307" w:lineRule="auto"/>
      </w:pPr>
      <w:r>
        <w:rPr>
          <w:rFonts w:ascii="Calibri" w:hAnsi="Calibri"/>
          <w:b/>
          <w:color w:val="172126"/>
          <w:sz w:val="22"/>
        </w:rPr>
        <w:t>2.1  Identity and tenancy — 16 tables, 115 columns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2880"/>
            <w:shd w:val="clear" w:fill="F0F3F4"/>
          </w:tcPr>
          <w:p>
            <w:r/>
            <w:r>
              <w:rPr>
                <w:rFonts w:ascii="Calibri" w:hAnsi="Calibri"/>
                <w:b/>
                <w:color w:val="667279"/>
                <w:sz w:val="13"/>
              </w:rPr>
              <w:t>TABLE</w:t>
            </w:r>
          </w:p>
        </w:tc>
        <w:tc>
          <w:tcPr>
            <w:tcW w:type="dxa" w:w="7056"/>
            <w:shd w:val="clear" w:fill="F0F3F4"/>
          </w:tcPr>
          <w:p>
            <w:r/>
            <w:r>
              <w:rPr>
                <w:rFonts w:ascii="Calibri" w:hAnsi="Calibri"/>
                <w:b/>
                <w:color w:val="667279"/>
                <w:sz w:val="13"/>
              </w:rPr>
              <w:t>PURPOSE</w:t>
            </w:r>
          </w:p>
        </w:tc>
      </w:tr>
      <w:tr>
        <w:tc>
          <w:tcPr>
            <w:tcW w:type="dxa" w:w="2880"/>
          </w:tcPr>
          <w:p>
            <w:pPr>
              <w:spacing w:line="278" w:lineRule="auto" w:after="0"/>
            </w:pPr>
            <w:r/>
            <w:r>
              <w:rPr>
                <w:rFonts w:ascii="Consolas" w:hAnsi="Consolas"/>
                <w:b/>
                <w:color w:val="172126"/>
                <w:sz w:val="15"/>
              </w:rPr>
              <w:t>domain</w:t>
            </w:r>
          </w:p>
        </w:tc>
        <w:tc>
          <w:tcPr>
            <w:tcW w:type="dxa" w:w="7056"/>
          </w:tcPr>
          <w:p>
            <w:pPr>
              <w:spacing w:line="278" w:lineRule="auto" w:after="0"/>
            </w:pPr>
            <w:r/>
            <w:r>
              <w:rPr>
                <w:rFonts w:ascii="Calibri" w:hAnsi="Calibri"/>
                <w:b w:val="0"/>
                <w:color w:val="526068"/>
                <w:sz w:val="15"/>
              </w:rPr>
              <w:t>Vertical pack definition (construction, underwriting)</w:t>
            </w:r>
          </w:p>
        </w:tc>
      </w:tr>
      <w:tr>
        <w:tc>
          <w:tcPr>
            <w:tcW w:type="dxa" w:w="2880"/>
          </w:tcPr>
          <w:p>
            <w:pPr>
              <w:spacing w:line="278" w:lineRule="auto" w:after="0"/>
            </w:pPr>
            <w:r/>
            <w:r>
              <w:rPr>
                <w:rFonts w:ascii="Consolas" w:hAnsi="Consolas"/>
                <w:b/>
                <w:color w:val="172126"/>
                <w:sz w:val="15"/>
              </w:rPr>
              <w:t>tenant_domain</w:t>
            </w:r>
          </w:p>
        </w:tc>
        <w:tc>
          <w:tcPr>
            <w:tcW w:type="dxa" w:w="7056"/>
          </w:tcPr>
          <w:p>
            <w:pPr>
              <w:spacing w:line="278" w:lineRule="auto" w:after="0"/>
            </w:pPr>
            <w:r/>
            <w:r>
              <w:rPr>
                <w:rFonts w:ascii="Calibri" w:hAnsi="Calibri"/>
                <w:b w:val="0"/>
                <w:color w:val="526068"/>
                <w:sz w:val="15"/>
              </w:rPr>
              <w:t>Which packs a tenant is licensed for</w:t>
            </w:r>
          </w:p>
        </w:tc>
      </w:tr>
      <w:tr>
        <w:tc>
          <w:tcPr>
            <w:tcW w:type="dxa" w:w="2880"/>
          </w:tcPr>
          <w:p>
            <w:pPr>
              <w:spacing w:line="278" w:lineRule="auto" w:after="0"/>
            </w:pPr>
            <w:r/>
            <w:r>
              <w:rPr>
                <w:rFonts w:ascii="Consolas" w:hAnsi="Consolas"/>
                <w:b/>
                <w:color w:val="172126"/>
                <w:sz w:val="15"/>
              </w:rPr>
              <w:t>tenant_bootstrap</w:t>
            </w:r>
          </w:p>
        </w:tc>
        <w:tc>
          <w:tcPr>
            <w:tcW w:type="dxa" w:w="7056"/>
          </w:tcPr>
          <w:p>
            <w:pPr>
              <w:spacing w:line="278" w:lineRule="auto" w:after="0"/>
            </w:pPr>
            <w:r/>
            <w:r>
              <w:rPr>
                <w:rFonts w:ascii="Calibri" w:hAnsi="Calibri"/>
                <w:b w:val="0"/>
                <w:color w:val="526068"/>
                <w:sz w:val="15"/>
              </w:rPr>
              <w:t>One-time provisioning record</w:t>
            </w:r>
          </w:p>
        </w:tc>
      </w:tr>
      <w:tr>
        <w:tc>
          <w:tcPr>
            <w:tcW w:type="dxa" w:w="2880"/>
          </w:tcPr>
          <w:p>
            <w:pPr>
              <w:spacing w:line="278" w:lineRule="auto" w:after="0"/>
            </w:pPr>
            <w:r/>
            <w:r>
              <w:rPr>
                <w:rFonts w:ascii="Consolas" w:hAnsi="Consolas"/>
                <w:b/>
                <w:color w:val="172126"/>
                <w:sz w:val="15"/>
              </w:rPr>
              <w:t>tenant_setting</w:t>
            </w:r>
          </w:p>
        </w:tc>
        <w:tc>
          <w:tcPr>
            <w:tcW w:type="dxa" w:w="7056"/>
          </w:tcPr>
          <w:p>
            <w:pPr>
              <w:spacing w:line="278" w:lineRule="auto" w:after="0"/>
            </w:pPr>
            <w:r/>
            <w:r>
              <w:rPr>
                <w:rFonts w:ascii="Calibri" w:hAnsi="Calibri"/>
                <w:b w:val="0"/>
                <w:color w:val="526068"/>
                <w:sz w:val="15"/>
              </w:rPr>
              <w:t>Per-tenant configuration, incl. auto-accept threshold</w:t>
            </w:r>
          </w:p>
        </w:tc>
      </w:tr>
      <w:tr>
        <w:tc>
          <w:tcPr>
            <w:tcW w:type="dxa" w:w="2880"/>
          </w:tcPr>
          <w:p>
            <w:pPr>
              <w:spacing w:line="278" w:lineRule="auto" w:after="0"/>
            </w:pPr>
            <w:r/>
            <w:r>
              <w:rPr>
                <w:rFonts w:ascii="Consolas" w:hAnsi="Consolas"/>
                <w:b/>
                <w:color w:val="172126"/>
                <w:sz w:val="15"/>
              </w:rPr>
              <w:t>app_user</w:t>
            </w:r>
          </w:p>
        </w:tc>
        <w:tc>
          <w:tcPr>
            <w:tcW w:type="dxa" w:w="7056"/>
          </w:tcPr>
          <w:p>
            <w:pPr>
              <w:spacing w:line="278" w:lineRule="auto" w:after="0"/>
            </w:pPr>
            <w:r/>
            <w:r>
              <w:rPr>
                <w:rFonts w:ascii="Calibri" w:hAnsi="Calibri"/>
                <w:b w:val="0"/>
                <w:color w:val="526068"/>
                <w:sz w:val="15"/>
              </w:rPr>
              <w:t>A person in a tenant. Links to the auth user by id</w:t>
            </w:r>
          </w:p>
        </w:tc>
      </w:tr>
      <w:tr>
        <w:tc>
          <w:tcPr>
            <w:tcW w:type="dxa" w:w="2880"/>
          </w:tcPr>
          <w:p>
            <w:pPr>
              <w:spacing w:line="278" w:lineRule="auto" w:after="0"/>
            </w:pPr>
            <w:r/>
            <w:r>
              <w:rPr>
                <w:rFonts w:ascii="Consolas" w:hAnsi="Consolas"/>
                <w:b/>
                <w:color w:val="172126"/>
                <w:sz w:val="15"/>
              </w:rPr>
              <w:t>tenant_role</w:t>
            </w:r>
          </w:p>
        </w:tc>
        <w:tc>
          <w:tcPr>
            <w:tcW w:type="dxa" w:w="7056"/>
          </w:tcPr>
          <w:p>
            <w:pPr>
              <w:spacing w:line="278" w:lineRule="auto" w:after="0"/>
            </w:pPr>
            <w:r/>
            <w:r>
              <w:rPr>
                <w:rFonts w:ascii="Calibri" w:hAnsi="Calibri"/>
                <w:b w:val="0"/>
                <w:color w:val="526068"/>
                <w:sz w:val="15"/>
              </w:rPr>
              <w:t>Six system roles plus any the customer creates</w:t>
            </w:r>
          </w:p>
        </w:tc>
      </w:tr>
      <w:tr>
        <w:tc>
          <w:tcPr>
            <w:tcW w:type="dxa" w:w="2880"/>
          </w:tcPr>
          <w:p>
            <w:pPr>
              <w:spacing w:line="278" w:lineRule="auto" w:after="0"/>
            </w:pPr>
            <w:r/>
            <w:r>
              <w:rPr>
                <w:rFonts w:ascii="Consolas" w:hAnsi="Consolas"/>
                <w:b/>
                <w:color w:val="172126"/>
                <w:sz w:val="15"/>
              </w:rPr>
              <w:t>tenant_permission</w:t>
            </w:r>
          </w:p>
        </w:tc>
        <w:tc>
          <w:tcPr>
            <w:tcW w:type="dxa" w:w="7056"/>
          </w:tcPr>
          <w:p>
            <w:pPr>
              <w:spacing w:line="278" w:lineRule="auto" w:after="0"/>
            </w:pPr>
            <w:r/>
            <w:r>
              <w:rPr>
                <w:rFonts w:ascii="Calibri" w:hAnsi="Calibri"/>
                <w:b w:val="0"/>
                <w:color w:val="526068"/>
                <w:sz w:val="15"/>
              </w:rPr>
              <w:t>The 19-permission catalogue. Global, not tenant-scoped</w:t>
            </w:r>
          </w:p>
        </w:tc>
      </w:tr>
      <w:tr>
        <w:tc>
          <w:tcPr>
            <w:tcW w:type="dxa" w:w="2880"/>
          </w:tcPr>
          <w:p>
            <w:pPr>
              <w:spacing w:line="278" w:lineRule="auto" w:after="0"/>
            </w:pPr>
            <w:r/>
            <w:r>
              <w:rPr>
                <w:rFonts w:ascii="Consolas" w:hAnsi="Consolas"/>
                <w:b/>
                <w:color w:val="172126"/>
                <w:sz w:val="15"/>
              </w:rPr>
              <w:t>tenant_role_permission</w:t>
            </w:r>
          </w:p>
        </w:tc>
        <w:tc>
          <w:tcPr>
            <w:tcW w:type="dxa" w:w="7056"/>
          </w:tcPr>
          <w:p>
            <w:pPr>
              <w:spacing w:line="278" w:lineRule="auto" w:after="0"/>
            </w:pPr>
            <w:r/>
            <w:r>
              <w:rPr>
                <w:rFonts w:ascii="Calibri" w:hAnsi="Calibri"/>
                <w:b w:val="0"/>
                <w:color w:val="526068"/>
                <w:sz w:val="15"/>
              </w:rPr>
              <w:t>Which permissions a role grants</w:t>
            </w:r>
          </w:p>
        </w:tc>
      </w:tr>
      <w:tr>
        <w:tc>
          <w:tcPr>
            <w:tcW w:type="dxa" w:w="2880"/>
          </w:tcPr>
          <w:p>
            <w:pPr>
              <w:spacing w:line="278" w:lineRule="auto" w:after="0"/>
            </w:pPr>
            <w:r/>
            <w:r>
              <w:rPr>
                <w:rFonts w:ascii="Consolas" w:hAnsi="Consolas"/>
                <w:b/>
                <w:color w:val="172126"/>
                <w:sz w:val="15"/>
              </w:rPr>
              <w:t>user_role</w:t>
            </w:r>
          </w:p>
        </w:tc>
        <w:tc>
          <w:tcPr>
            <w:tcW w:type="dxa" w:w="7056"/>
          </w:tcPr>
          <w:p>
            <w:pPr>
              <w:spacing w:line="278" w:lineRule="auto" w:after="0"/>
            </w:pPr>
            <w:r/>
            <w:r>
              <w:rPr>
                <w:rFonts w:ascii="Calibri" w:hAnsi="Calibri"/>
                <w:b w:val="0"/>
                <w:color w:val="526068"/>
                <w:sz w:val="15"/>
              </w:rPr>
              <w:t>Which roles a user holds</w:t>
            </w:r>
          </w:p>
        </w:tc>
      </w:tr>
      <w:tr>
        <w:tc>
          <w:tcPr>
            <w:tcW w:type="dxa" w:w="2880"/>
          </w:tcPr>
          <w:p>
            <w:pPr>
              <w:spacing w:line="278" w:lineRule="auto" w:after="0"/>
            </w:pPr>
            <w:r/>
            <w:r>
              <w:rPr>
                <w:rFonts w:ascii="Consolas" w:hAnsi="Consolas"/>
                <w:b/>
                <w:color w:val="172126"/>
                <w:sz w:val="15"/>
              </w:rPr>
              <w:t>tenant_invite</w:t>
            </w:r>
          </w:p>
        </w:tc>
        <w:tc>
          <w:tcPr>
            <w:tcW w:type="dxa" w:w="7056"/>
          </w:tcPr>
          <w:p>
            <w:pPr>
              <w:spacing w:line="278" w:lineRule="auto" w:after="0"/>
            </w:pPr>
            <w:r/>
            <w:r>
              <w:rPr>
                <w:rFonts w:ascii="Calibri" w:hAnsi="Calibri"/>
                <w:b w:val="0"/>
                <w:color w:val="526068"/>
                <w:sz w:val="15"/>
              </w:rPr>
              <w:t>Outstanding invitations</w:t>
            </w:r>
          </w:p>
        </w:tc>
      </w:tr>
      <w:tr>
        <w:tc>
          <w:tcPr>
            <w:tcW w:type="dxa" w:w="2880"/>
          </w:tcPr>
          <w:p>
            <w:pPr>
              <w:spacing w:line="278" w:lineRule="auto" w:after="0"/>
            </w:pPr>
            <w:r/>
            <w:r>
              <w:rPr>
                <w:rFonts w:ascii="Consolas" w:hAnsi="Consolas"/>
                <w:b/>
                <w:color w:val="172126"/>
                <w:sz w:val="15"/>
              </w:rPr>
              <w:t>tenant_scim_token</w:t>
            </w:r>
          </w:p>
        </w:tc>
        <w:tc>
          <w:tcPr>
            <w:tcW w:type="dxa" w:w="7056"/>
          </w:tcPr>
          <w:p>
            <w:pPr>
              <w:spacing w:line="278" w:lineRule="auto" w:after="0"/>
            </w:pPr>
            <w:r/>
            <w:r>
              <w:rPr>
                <w:rFonts w:ascii="Calibri" w:hAnsi="Calibri"/>
                <w:b w:val="0"/>
                <w:color w:val="526068"/>
                <w:sz w:val="15"/>
              </w:rPr>
              <w:t>SCIM provisioning credential</w:t>
            </w:r>
          </w:p>
        </w:tc>
      </w:tr>
      <w:tr>
        <w:tc>
          <w:tcPr>
            <w:tcW w:type="dxa" w:w="2880"/>
          </w:tcPr>
          <w:p>
            <w:pPr>
              <w:spacing w:line="278" w:lineRule="auto" w:after="0"/>
            </w:pPr>
            <w:r/>
            <w:r>
              <w:rPr>
                <w:rFonts w:ascii="Consolas" w:hAnsi="Consolas"/>
                <w:b/>
                <w:color w:val="172126"/>
                <w:sz w:val="15"/>
              </w:rPr>
              <w:t>user · account · session · verification · twoFactor</w:t>
            </w:r>
          </w:p>
        </w:tc>
        <w:tc>
          <w:tcPr>
            <w:tcW w:type="dxa" w:w="7056"/>
          </w:tcPr>
          <w:p>
            <w:pPr>
              <w:spacing w:line="278" w:lineRule="auto" w:after="0"/>
            </w:pPr>
            <w:r/>
            <w:r>
              <w:rPr>
                <w:rFonts w:ascii="Calibri" w:hAnsi="Calibri"/>
                <w:b w:val="0"/>
                <w:color w:val="526068"/>
                <w:sz w:val="15"/>
              </w:rPr>
              <w:t>Better Auth's own tables. Tenant membership lives in app_user, not here</w:t>
            </w:r>
          </w:p>
        </w:tc>
      </w:tr>
    </w:tbl>
    <w:p>
      <w:pPr>
        <w:spacing w:after="60"/>
      </w:pPr>
    </w:p>
    <w:p>
      <w:pPr>
        <w:spacing w:before="260" w:after="80" w:line="307" w:lineRule="auto"/>
      </w:pPr>
      <w:r>
        <w:rPr>
          <w:rFonts w:ascii="Calibri" w:hAnsi="Calibri"/>
          <w:b/>
          <w:color w:val="172126"/>
          <w:sz w:val="22"/>
        </w:rPr>
        <w:t>2.2  Project and the artifact spine — 8 tables, 78 columns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448"/>
            <w:shd w:val="clear" w:fill="F0F3F4"/>
          </w:tcPr>
          <w:p>
            <w:r/>
            <w:r>
              <w:rPr>
                <w:rFonts w:ascii="Calibri" w:hAnsi="Calibri"/>
                <w:b/>
                <w:color w:val="667279"/>
                <w:sz w:val="13"/>
              </w:rPr>
              <w:t>TABLE</w:t>
            </w:r>
          </w:p>
        </w:tc>
        <w:tc>
          <w:tcPr>
            <w:tcW w:type="dxa" w:w="576"/>
            <w:shd w:val="clear" w:fill="F0F3F4"/>
          </w:tcPr>
          <w:p>
            <w:r/>
            <w:r>
              <w:rPr>
                <w:rFonts w:ascii="Calibri" w:hAnsi="Calibri"/>
                <w:b/>
                <w:color w:val="667279"/>
                <w:sz w:val="13"/>
              </w:rPr>
              <w:t>COLS</w:t>
            </w:r>
          </w:p>
        </w:tc>
        <w:tc>
          <w:tcPr>
            <w:tcW w:type="dxa" w:w="6912"/>
            <w:shd w:val="clear" w:fill="F0F3F4"/>
          </w:tcPr>
          <w:p>
            <w:r/>
            <w:r>
              <w:rPr>
                <w:rFonts w:ascii="Calibri" w:hAnsi="Calibri"/>
                <w:b/>
                <w:color w:val="667279"/>
                <w:sz w:val="13"/>
              </w:rPr>
              <w:t>PURPOSE</w:t>
            </w:r>
          </w:p>
        </w:tc>
      </w:tr>
      <w:tr>
        <w:tc>
          <w:tcPr>
            <w:tcW w:type="dxa" w:w="2448"/>
          </w:tcPr>
          <w:p>
            <w:pPr>
              <w:spacing w:line="278" w:lineRule="auto" w:after="0"/>
            </w:pPr>
            <w:r/>
            <w:r>
              <w:rPr>
                <w:rFonts w:ascii="Consolas" w:hAnsi="Consolas"/>
                <w:b/>
                <w:color w:val="172126"/>
                <w:sz w:val="15"/>
              </w:rPr>
              <w:t>project</w:t>
            </w:r>
          </w:p>
        </w:tc>
        <w:tc>
          <w:tcPr>
            <w:tcW w:type="dxa" w:w="576"/>
          </w:tcPr>
          <w:p>
            <w:pPr>
              <w:spacing w:line="278" w:lineRule="auto" w:after="0"/>
            </w:pPr>
            <w:r/>
            <w:r>
              <w:rPr>
                <w:rFonts w:ascii="Consolas" w:hAnsi="Consolas"/>
                <w:b w:val="0"/>
                <w:color w:val="526068"/>
                <w:sz w:val="15"/>
              </w:rPr>
              <w:t>18</w:t>
            </w:r>
          </w:p>
        </w:tc>
        <w:tc>
          <w:tcPr>
            <w:tcW w:type="dxa" w:w="6912"/>
          </w:tcPr>
          <w:p>
            <w:pPr>
              <w:spacing w:line="278" w:lineRule="auto" w:after="0"/>
            </w:pPr>
            <w:r/>
            <w:r>
              <w:rPr>
                <w:rFonts w:ascii="Calibri" w:hAnsi="Calibri"/>
                <w:b w:val="0"/>
                <w:color w:val="526068"/>
                <w:sz w:val="15"/>
              </w:rPr>
              <w:t>The unit of work. Lifecycle state, client, code, currency</w:t>
            </w:r>
          </w:p>
        </w:tc>
      </w:tr>
      <w:tr>
        <w:tc>
          <w:tcPr>
            <w:tcW w:type="dxa" w:w="2448"/>
          </w:tcPr>
          <w:p>
            <w:pPr>
              <w:spacing w:line="278" w:lineRule="auto" w:after="0"/>
            </w:pPr>
            <w:r/>
            <w:r>
              <w:rPr>
                <w:rFonts w:ascii="Consolas" w:hAnsi="Consolas"/>
                <w:b/>
                <w:color w:val="172126"/>
                <w:sz w:val="15"/>
              </w:rPr>
              <w:t>project_member</w:t>
            </w:r>
          </w:p>
        </w:tc>
        <w:tc>
          <w:tcPr>
            <w:tcW w:type="dxa" w:w="576"/>
          </w:tcPr>
          <w:p>
            <w:pPr>
              <w:spacing w:line="278" w:lineRule="auto" w:after="0"/>
            </w:pPr>
            <w:r/>
            <w:r>
              <w:rPr>
                <w:rFonts w:ascii="Consolas" w:hAnsi="Consolas"/>
                <w:b w:val="0"/>
                <w:color w:val="526068"/>
                <w:sz w:val="15"/>
              </w:rPr>
              <w:t>5</w:t>
            </w:r>
          </w:p>
        </w:tc>
        <w:tc>
          <w:tcPr>
            <w:tcW w:type="dxa" w:w="6912"/>
          </w:tcPr>
          <w:p>
            <w:pPr>
              <w:spacing w:line="278" w:lineRule="auto" w:after="0"/>
            </w:pPr>
            <w:r/>
            <w:r>
              <w:rPr>
                <w:rFonts w:ascii="Calibri" w:hAnsi="Calibri"/>
                <w:b w:val="0"/>
                <w:color w:val="526068"/>
                <w:sz w:val="15"/>
              </w:rPr>
              <w:t>Who is on it</w:t>
            </w:r>
          </w:p>
        </w:tc>
      </w:tr>
      <w:tr>
        <w:tc>
          <w:tcPr>
            <w:tcW w:type="dxa" w:w="2448"/>
          </w:tcPr>
          <w:p>
            <w:pPr>
              <w:spacing w:line="278" w:lineRule="auto" w:after="0"/>
            </w:pPr>
            <w:r/>
            <w:r>
              <w:rPr>
                <w:rFonts w:ascii="Consolas" w:hAnsi="Consolas"/>
                <w:b/>
                <w:color w:val="172126"/>
                <w:sz w:val="15"/>
              </w:rPr>
              <w:t>artifact</w:t>
            </w:r>
          </w:p>
        </w:tc>
        <w:tc>
          <w:tcPr>
            <w:tcW w:type="dxa" w:w="576"/>
          </w:tcPr>
          <w:p>
            <w:pPr>
              <w:spacing w:line="278" w:lineRule="auto" w:after="0"/>
            </w:pPr>
            <w:r/>
            <w:r>
              <w:rPr>
                <w:rFonts w:ascii="Consolas" w:hAnsi="Consolas"/>
                <w:b w:val="0"/>
                <w:color w:val="526068"/>
                <w:sz w:val="15"/>
              </w:rPr>
              <w:t>18</w:t>
            </w:r>
          </w:p>
        </w:tc>
        <w:tc>
          <w:tcPr>
            <w:tcW w:type="dxa" w:w="6912"/>
          </w:tcPr>
          <w:p>
            <w:pPr>
              <w:spacing w:line="278" w:lineRule="auto" w:after="0"/>
            </w:pPr>
            <w:r/>
            <w:r>
              <w:rPr>
                <w:rFonts w:ascii="Calibri" w:hAnsi="Calibri"/>
                <w:b w:val="0"/>
                <w:color w:val="526068"/>
                <w:sz w:val="15"/>
              </w:rPr>
              <w:t>THE core object. 17 types, one lifecycle, one review interaction</w:t>
            </w:r>
          </w:p>
        </w:tc>
      </w:tr>
      <w:tr>
        <w:tc>
          <w:tcPr>
            <w:tcW w:type="dxa" w:w="2448"/>
          </w:tcPr>
          <w:p>
            <w:pPr>
              <w:spacing w:line="278" w:lineRule="auto" w:after="0"/>
            </w:pPr>
            <w:r/>
            <w:r>
              <w:rPr>
                <w:rFonts w:ascii="Consolas" w:hAnsi="Consolas"/>
                <w:b/>
                <w:color w:val="172126"/>
                <w:sz w:val="15"/>
              </w:rPr>
              <w:t>artifact_type</w:t>
            </w:r>
          </w:p>
        </w:tc>
        <w:tc>
          <w:tcPr>
            <w:tcW w:type="dxa" w:w="576"/>
          </w:tcPr>
          <w:p>
            <w:pPr>
              <w:spacing w:line="278" w:lineRule="auto" w:after="0"/>
            </w:pPr>
            <w:r/>
            <w:r>
              <w:rPr>
                <w:rFonts w:ascii="Consolas" w:hAnsi="Consolas"/>
                <w:b w:val="0"/>
                <w:color w:val="526068"/>
                <w:sz w:val="15"/>
              </w:rPr>
              <w:t>5</w:t>
            </w:r>
          </w:p>
        </w:tc>
        <w:tc>
          <w:tcPr>
            <w:tcW w:type="dxa" w:w="6912"/>
          </w:tcPr>
          <w:p>
            <w:pPr>
              <w:spacing w:line="278" w:lineRule="auto" w:after="0"/>
            </w:pPr>
            <w:r/>
            <w:r>
              <w:rPr>
                <w:rFonts w:ascii="Calibri" w:hAnsi="Calibri"/>
                <w:b w:val="0"/>
                <w:color w:val="526068"/>
                <w:sz w:val="15"/>
              </w:rPr>
              <w:t>The type catalogue with payload schemas</w:t>
            </w:r>
          </w:p>
        </w:tc>
      </w:tr>
      <w:tr>
        <w:tc>
          <w:tcPr>
            <w:tcW w:type="dxa" w:w="2448"/>
          </w:tcPr>
          <w:p>
            <w:pPr>
              <w:spacing w:line="278" w:lineRule="auto" w:after="0"/>
            </w:pPr>
            <w:r/>
            <w:r>
              <w:rPr>
                <w:rFonts w:ascii="Consolas" w:hAnsi="Consolas"/>
                <w:b/>
                <w:color w:val="172126"/>
                <w:sz w:val="15"/>
              </w:rPr>
              <w:t>artifact_provenance</w:t>
            </w:r>
          </w:p>
        </w:tc>
        <w:tc>
          <w:tcPr>
            <w:tcW w:type="dxa" w:w="576"/>
          </w:tcPr>
          <w:p>
            <w:pPr>
              <w:spacing w:line="278" w:lineRule="auto" w:after="0"/>
            </w:pPr>
            <w:r/>
            <w:r>
              <w:rPr>
                <w:rFonts w:ascii="Consolas" w:hAnsi="Consolas"/>
                <w:b w:val="0"/>
                <w:color w:val="526068"/>
                <w:sz w:val="15"/>
              </w:rPr>
              <w:t>5</w:t>
            </w:r>
          </w:p>
        </w:tc>
        <w:tc>
          <w:tcPr>
            <w:tcW w:type="dxa" w:w="6912"/>
          </w:tcPr>
          <w:p>
            <w:pPr>
              <w:spacing w:line="278" w:lineRule="auto" w:after="0"/>
            </w:pPr>
            <w:r/>
            <w:r>
              <w:rPr>
                <w:rFonts w:ascii="Calibri" w:hAnsi="Calibri"/>
                <w:b w:val="0"/>
                <w:color w:val="526068"/>
                <w:sz w:val="15"/>
              </w:rPr>
              <w:t>Which artifacts this one was derived from — the stale cascade walks it</w:t>
            </w:r>
          </w:p>
        </w:tc>
      </w:tr>
      <w:tr>
        <w:tc>
          <w:tcPr>
            <w:tcW w:type="dxa" w:w="2448"/>
          </w:tcPr>
          <w:p>
            <w:pPr>
              <w:spacing w:line="278" w:lineRule="auto" w:after="0"/>
            </w:pPr>
            <w:r/>
            <w:r>
              <w:rPr>
                <w:rFonts w:ascii="Consolas" w:hAnsi="Consolas"/>
                <w:b/>
                <w:color w:val="172126"/>
                <w:sz w:val="15"/>
              </w:rPr>
              <w:t>audit_event</w:t>
            </w:r>
          </w:p>
        </w:tc>
        <w:tc>
          <w:tcPr>
            <w:tcW w:type="dxa" w:w="576"/>
          </w:tcPr>
          <w:p>
            <w:pPr>
              <w:spacing w:line="278" w:lineRule="auto" w:after="0"/>
            </w:pPr>
            <w:r/>
            <w:r>
              <w:rPr>
                <w:rFonts w:ascii="Consolas" w:hAnsi="Consolas"/>
                <w:b w:val="0"/>
                <w:color w:val="526068"/>
                <w:sz w:val="15"/>
              </w:rPr>
              <w:t>13</w:t>
            </w:r>
          </w:p>
        </w:tc>
        <w:tc>
          <w:tcPr>
            <w:tcW w:type="dxa" w:w="6912"/>
          </w:tcPr>
          <w:p>
            <w:pPr>
              <w:spacing w:line="278" w:lineRule="auto" w:after="0"/>
            </w:pPr>
            <w:r/>
            <w:r>
              <w:rPr>
                <w:rFonts w:ascii="Calibri" w:hAnsi="Calibri"/>
                <w:b w:val="0"/>
                <w:color w:val="526068"/>
                <w:sz w:val="15"/>
              </w:rPr>
              <w:t>Every transition, append-only</w:t>
            </w:r>
          </w:p>
        </w:tc>
      </w:tr>
      <w:tr>
        <w:tc>
          <w:tcPr>
            <w:tcW w:type="dxa" w:w="2448"/>
          </w:tcPr>
          <w:p>
            <w:pPr>
              <w:spacing w:line="278" w:lineRule="auto" w:after="0"/>
            </w:pPr>
            <w:r/>
            <w:r>
              <w:rPr>
                <w:rFonts w:ascii="Consolas" w:hAnsi="Consolas"/>
                <w:b/>
                <w:color w:val="172126"/>
                <w:sz w:val="15"/>
              </w:rPr>
              <w:t>audit_chain</w:t>
            </w:r>
          </w:p>
        </w:tc>
        <w:tc>
          <w:tcPr>
            <w:tcW w:type="dxa" w:w="576"/>
          </w:tcPr>
          <w:p>
            <w:pPr>
              <w:spacing w:line="278" w:lineRule="auto" w:after="0"/>
            </w:pPr>
            <w:r/>
            <w:r>
              <w:rPr>
                <w:rFonts w:ascii="Consolas" w:hAnsi="Consolas"/>
                <w:b w:val="0"/>
                <w:color w:val="526068"/>
                <w:sz w:val="15"/>
              </w:rPr>
              <w:t>3</w:t>
            </w:r>
          </w:p>
        </w:tc>
        <w:tc>
          <w:tcPr>
            <w:tcW w:type="dxa" w:w="6912"/>
          </w:tcPr>
          <w:p>
            <w:pPr>
              <w:spacing w:line="278" w:lineRule="auto" w:after="0"/>
            </w:pPr>
            <w:r/>
            <w:r>
              <w:rPr>
                <w:rFonts w:ascii="Calibri" w:hAnsi="Calibri"/>
                <w:b w:val="0"/>
                <w:color w:val="526068"/>
                <w:sz w:val="15"/>
              </w:rPr>
              <w:t>last_seq and last_hash: what makes the log tamper-evident</w:t>
            </w:r>
          </w:p>
        </w:tc>
      </w:tr>
      <w:tr>
        <w:tc>
          <w:tcPr>
            <w:tcW w:type="dxa" w:w="2448"/>
          </w:tcPr>
          <w:p>
            <w:pPr>
              <w:spacing w:line="278" w:lineRule="auto" w:after="0"/>
            </w:pPr>
            <w:r/>
            <w:r>
              <w:rPr>
                <w:rFonts w:ascii="Consolas" w:hAnsi="Consolas"/>
                <w:b/>
                <w:color w:val="172126"/>
                <w:sz w:val="15"/>
              </w:rPr>
              <w:t>decision_outcome</w:t>
            </w:r>
          </w:p>
        </w:tc>
        <w:tc>
          <w:tcPr>
            <w:tcW w:type="dxa" w:w="576"/>
          </w:tcPr>
          <w:p>
            <w:pPr>
              <w:spacing w:line="278" w:lineRule="auto" w:after="0"/>
            </w:pPr>
            <w:r/>
            <w:r>
              <w:rPr>
                <w:rFonts w:ascii="Consolas" w:hAnsi="Consolas"/>
                <w:b w:val="0"/>
                <w:color w:val="526068"/>
                <w:sz w:val="15"/>
              </w:rPr>
              <w:t>11</w:t>
            </w:r>
          </w:p>
        </w:tc>
        <w:tc>
          <w:tcPr>
            <w:tcW w:type="dxa" w:w="6912"/>
          </w:tcPr>
          <w:p>
            <w:pPr>
              <w:spacing w:line="278" w:lineRule="auto" w:after="0"/>
            </w:pPr>
            <w:r/>
            <w:r>
              <w:rPr>
                <w:rFonts w:ascii="Calibri" w:hAnsi="Calibri"/>
                <w:b w:val="0"/>
                <w:color w:val="526068"/>
                <w:sz w:val="15"/>
              </w:rPr>
              <w:t>What a human decided, and why</w:t>
            </w:r>
          </w:p>
        </w:tc>
      </w:tr>
    </w:tbl>
    <w:p>
      <w:pPr>
        <w:spacing w:after="60"/>
      </w:pPr>
    </w:p>
    <w:tbl>
      <w:tblPr>
        <w:tblW w:type="auto" w:w="0"/>
        <w:tblLook w:firstColumn="1" w:firstRow="1" w:lastColumn="0" w:lastRow="0" w:noHBand="0" w:noVBand="1" w:val="04A0"/>
        <w:tblBorders>
          <w:top w:val="single" w:sz="2" w:space="0" w:color="E6F3F1"/>
          <w:left w:val="single" w:sz="2" w:space="0" w:color="E6F3F1"/>
          <w:bottom w:val="single" w:sz="2" w:space="0" w:color="E6F3F1"/>
          <w:right w:val="single" w:sz="2" w:space="0" w:color="E6F3F1"/>
          <w:insideH w:val="single" w:sz="2" w:space="0" w:color="E6F3F1"/>
          <w:insideV w:val="single" w:sz="2" w:space="0" w:color="E6F3F1"/>
        </w:tblBorders>
      </w:tblPr>
      <w:tblGrid>
        <w:gridCol w:w="10080"/>
      </w:tblGrid>
      <w:tr>
        <w:tc>
          <w:tcPr>
            <w:tcW w:type="dxa" w:w="10080"/>
            <w:shd w:val="clear" w:fill="E6F3F1"/>
          </w:tcPr>
          <w:p>
            <w:r/>
            <w:r>
              <w:rPr>
                <w:rFonts w:ascii="Calibri" w:hAnsi="Calibri"/>
                <w:b/>
                <w:color w:val="087E75"/>
                <w:sz w:val="14"/>
              </w:rPr>
              <w:t>THE ONE TABLE TO UNDERSTAND FIRST</w:t>
            </w:r>
          </w:p>
          <w:p>
            <w:pPr>
              <w:spacing w:before="60" w:line="302" w:lineRule="auto"/>
            </w:pPr>
            <w:r>
              <w:rPr>
                <w:rFonts w:ascii="Georgia" w:hAnsi="Georgia"/>
                <w:color w:val="172126"/>
                <w:sz w:val="17"/>
              </w:rPr>
              <w:t>artifact holds BOQ lines, requirements, programme activities, priced rates and eleven other types in the same shape, with the same status machine. That uniformity is why one review screen serves nine modules, and why provenance is a property of the system rather than a feature of a module.</w:t>
            </w:r>
          </w:p>
        </w:tc>
      </w:tr>
    </w:tbl>
    <w:p>
      <w:pPr>
        <w:spacing w:after="60"/>
      </w:pPr>
    </w:p>
    <w:p>
      <w:pPr>
        <w:spacing w:before="260" w:after="80" w:line="307" w:lineRule="auto"/>
      </w:pPr>
      <w:r>
        <w:rPr>
          <w:rFonts w:ascii="Calibri" w:hAnsi="Calibri"/>
          <w:b/>
          <w:color w:val="172126"/>
          <w:sz w:val="22"/>
        </w:rPr>
        <w:t>2.3  Workflow and jobs — 7 tables, 95 columns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448"/>
            <w:shd w:val="clear" w:fill="F0F3F4"/>
          </w:tcPr>
          <w:p>
            <w:r/>
            <w:r>
              <w:rPr>
                <w:rFonts w:ascii="Calibri" w:hAnsi="Calibri"/>
                <w:b/>
                <w:color w:val="667279"/>
                <w:sz w:val="13"/>
              </w:rPr>
              <w:t>TABLE</w:t>
            </w:r>
          </w:p>
        </w:tc>
        <w:tc>
          <w:tcPr>
            <w:tcW w:type="dxa" w:w="576"/>
            <w:shd w:val="clear" w:fill="F0F3F4"/>
          </w:tcPr>
          <w:p>
            <w:r/>
            <w:r>
              <w:rPr>
                <w:rFonts w:ascii="Calibri" w:hAnsi="Calibri"/>
                <w:b/>
                <w:color w:val="667279"/>
                <w:sz w:val="13"/>
              </w:rPr>
              <w:t>COLS</w:t>
            </w:r>
          </w:p>
        </w:tc>
        <w:tc>
          <w:tcPr>
            <w:tcW w:type="dxa" w:w="6912"/>
            <w:shd w:val="clear" w:fill="F0F3F4"/>
          </w:tcPr>
          <w:p>
            <w:r/>
            <w:r>
              <w:rPr>
                <w:rFonts w:ascii="Calibri" w:hAnsi="Calibri"/>
                <w:b/>
                <w:color w:val="667279"/>
                <w:sz w:val="13"/>
              </w:rPr>
              <w:t>PURPOSE</w:t>
            </w:r>
          </w:p>
        </w:tc>
      </w:tr>
      <w:tr>
        <w:tc>
          <w:tcPr>
            <w:tcW w:type="dxa" w:w="2448"/>
          </w:tcPr>
          <w:p>
            <w:pPr>
              <w:spacing w:line="278" w:lineRule="auto" w:after="0"/>
            </w:pPr>
            <w:r/>
            <w:r>
              <w:rPr>
                <w:rFonts w:ascii="Consolas" w:hAnsi="Consolas"/>
                <w:b/>
                <w:color w:val="172126"/>
                <w:sz w:val="15"/>
              </w:rPr>
              <w:t>workflow</w:t>
            </w:r>
          </w:p>
        </w:tc>
        <w:tc>
          <w:tcPr>
            <w:tcW w:type="dxa" w:w="576"/>
          </w:tcPr>
          <w:p>
            <w:pPr>
              <w:spacing w:line="278" w:lineRule="auto" w:after="0"/>
            </w:pPr>
            <w:r/>
            <w:r>
              <w:rPr>
                <w:rFonts w:ascii="Consolas" w:hAnsi="Consolas"/>
                <w:b w:val="0"/>
                <w:color w:val="526068"/>
                <w:sz w:val="15"/>
              </w:rPr>
              <w:t>8</w:t>
            </w:r>
          </w:p>
        </w:tc>
        <w:tc>
          <w:tcPr>
            <w:tcW w:type="dxa" w:w="6912"/>
          </w:tcPr>
          <w:p>
            <w:pPr>
              <w:spacing w:line="278" w:lineRule="auto" w:after="0"/>
            </w:pPr>
            <w:r/>
            <w:r>
              <w:rPr>
                <w:rFonts w:ascii="Calibri" w:hAnsi="Calibri"/>
                <w:b w:val="0"/>
                <w:color w:val="526068"/>
                <w:sz w:val="15"/>
              </w:rPr>
              <w:t>Twelve versioned node graphs, keyed by module. Global, not tenant-scoped</w:t>
            </w:r>
          </w:p>
        </w:tc>
      </w:tr>
      <w:tr>
        <w:tc>
          <w:tcPr>
            <w:tcW w:type="dxa" w:w="2448"/>
          </w:tcPr>
          <w:p>
            <w:pPr>
              <w:spacing w:line="278" w:lineRule="auto" w:after="0"/>
            </w:pPr>
            <w:r/>
            <w:r>
              <w:rPr>
                <w:rFonts w:ascii="Consolas" w:hAnsi="Consolas"/>
                <w:b/>
                <w:color w:val="172126"/>
                <w:sz w:val="15"/>
              </w:rPr>
              <w:t>workflow_run</w:t>
            </w:r>
          </w:p>
        </w:tc>
        <w:tc>
          <w:tcPr>
            <w:tcW w:type="dxa" w:w="576"/>
          </w:tcPr>
          <w:p>
            <w:pPr>
              <w:spacing w:line="278" w:lineRule="auto" w:after="0"/>
            </w:pPr>
            <w:r/>
            <w:r>
              <w:rPr>
                <w:rFonts w:ascii="Consolas" w:hAnsi="Consolas"/>
                <w:b w:val="0"/>
                <w:color w:val="526068"/>
                <w:sz w:val="15"/>
              </w:rPr>
              <w:t>10</w:t>
            </w:r>
          </w:p>
        </w:tc>
        <w:tc>
          <w:tcPr>
            <w:tcW w:type="dxa" w:w="6912"/>
          </w:tcPr>
          <w:p>
            <w:pPr>
              <w:spacing w:line="278" w:lineRule="auto" w:after="0"/>
            </w:pPr>
            <w:r/>
            <w:r>
              <w:rPr>
                <w:rFonts w:ascii="Calibri" w:hAnsi="Calibri"/>
                <w:b w:val="0"/>
                <w:color w:val="526068"/>
                <w:sz w:val="15"/>
              </w:rPr>
              <w:t>One execution against one project</w:t>
            </w:r>
          </w:p>
        </w:tc>
      </w:tr>
      <w:tr>
        <w:tc>
          <w:tcPr>
            <w:tcW w:type="dxa" w:w="2448"/>
          </w:tcPr>
          <w:p>
            <w:pPr>
              <w:spacing w:line="278" w:lineRule="auto" w:after="0"/>
            </w:pPr>
            <w:r/>
            <w:r>
              <w:rPr>
                <w:rFonts w:ascii="Consolas" w:hAnsi="Consolas"/>
                <w:b/>
                <w:color w:val="172126"/>
                <w:sz w:val="15"/>
              </w:rPr>
              <w:t>workflow_run_step</w:t>
            </w:r>
          </w:p>
        </w:tc>
        <w:tc>
          <w:tcPr>
            <w:tcW w:type="dxa" w:w="576"/>
          </w:tcPr>
          <w:p>
            <w:pPr>
              <w:spacing w:line="278" w:lineRule="auto" w:after="0"/>
            </w:pPr>
            <w:r/>
            <w:r>
              <w:rPr>
                <w:rFonts w:ascii="Consolas" w:hAnsi="Consolas"/>
                <w:b w:val="0"/>
                <w:color w:val="526068"/>
                <w:sz w:val="15"/>
              </w:rPr>
              <w:t>17</w:t>
            </w:r>
          </w:p>
        </w:tc>
        <w:tc>
          <w:tcPr>
            <w:tcW w:type="dxa" w:w="6912"/>
          </w:tcPr>
          <w:p>
            <w:pPr>
              <w:spacing w:line="278" w:lineRule="auto" w:after="0"/>
            </w:pPr>
            <w:r/>
            <w:r>
              <w:rPr>
                <w:rFonts w:ascii="Calibri" w:hAnsi="Calibri"/>
                <w:b w:val="0"/>
                <w:color w:val="526068"/>
                <w:sz w:val="15"/>
              </w:rPr>
              <w:t>One node: agent, gate or map</w:t>
            </w:r>
          </w:p>
        </w:tc>
      </w:tr>
      <w:tr>
        <w:tc>
          <w:tcPr>
            <w:tcW w:type="dxa" w:w="2448"/>
          </w:tcPr>
          <w:p>
            <w:pPr>
              <w:spacing w:line="278" w:lineRule="auto" w:after="0"/>
            </w:pPr>
            <w:r/>
            <w:r>
              <w:rPr>
                <w:rFonts w:ascii="Consolas" w:hAnsi="Consolas"/>
                <w:b/>
                <w:color w:val="172126"/>
                <w:sz w:val="15"/>
              </w:rPr>
              <w:t>ai_job</w:t>
            </w:r>
          </w:p>
        </w:tc>
        <w:tc>
          <w:tcPr>
            <w:tcW w:type="dxa" w:w="576"/>
          </w:tcPr>
          <w:p>
            <w:pPr>
              <w:spacing w:line="278" w:lineRule="auto" w:after="0"/>
            </w:pPr>
            <w:r/>
            <w:r>
              <w:rPr>
                <w:rFonts w:ascii="Consolas" w:hAnsi="Consolas"/>
                <w:b w:val="0"/>
                <w:color w:val="526068"/>
                <w:sz w:val="15"/>
              </w:rPr>
              <w:t>29</w:t>
            </w:r>
          </w:p>
        </w:tc>
        <w:tc>
          <w:tcPr>
            <w:tcW w:type="dxa" w:w="6912"/>
          </w:tcPr>
          <w:p>
            <w:pPr>
              <w:spacing w:line="278" w:lineRule="auto" w:after="0"/>
            </w:pPr>
            <w:r/>
            <w:r>
              <w:rPr>
                <w:rFonts w:ascii="Calibri" w:hAnsi="Calibri"/>
                <w:b w:val="0"/>
                <w:color w:val="526068"/>
                <w:sz w:val="15"/>
              </w:rPr>
              <w:t>The durable queue: status, attempt, max_attempts, lease, idempotency key</w:t>
            </w:r>
          </w:p>
        </w:tc>
      </w:tr>
      <w:tr>
        <w:tc>
          <w:tcPr>
            <w:tcW w:type="dxa" w:w="2448"/>
          </w:tcPr>
          <w:p>
            <w:pPr>
              <w:spacing w:line="278" w:lineRule="auto" w:after="0"/>
            </w:pPr>
            <w:r/>
            <w:r>
              <w:rPr>
                <w:rFonts w:ascii="Consolas" w:hAnsi="Consolas"/>
                <w:b/>
                <w:color w:val="172126"/>
                <w:sz w:val="15"/>
              </w:rPr>
              <w:t>agent</w:t>
            </w:r>
          </w:p>
        </w:tc>
        <w:tc>
          <w:tcPr>
            <w:tcW w:type="dxa" w:w="576"/>
          </w:tcPr>
          <w:p>
            <w:pPr>
              <w:spacing w:line="278" w:lineRule="auto" w:after="0"/>
            </w:pPr>
            <w:r/>
            <w:r>
              <w:rPr>
                <w:rFonts w:ascii="Consolas" w:hAnsi="Consolas"/>
                <w:b w:val="0"/>
                <w:color w:val="526068"/>
                <w:sz w:val="15"/>
              </w:rPr>
              <w:t>11</w:t>
            </w:r>
          </w:p>
        </w:tc>
        <w:tc>
          <w:tcPr>
            <w:tcW w:type="dxa" w:w="6912"/>
          </w:tcPr>
          <w:p>
            <w:pPr>
              <w:spacing w:line="278" w:lineRule="auto" w:after="0"/>
            </w:pPr>
            <w:r/>
            <w:r>
              <w:rPr>
                <w:rFonts w:ascii="Calibri" w:hAnsi="Calibri"/>
                <w:b w:val="0"/>
                <w:color w:val="526068"/>
                <w:sz w:val="15"/>
              </w:rPr>
              <w:t>The 23 task types with consumes, produces and tier</w:t>
            </w:r>
          </w:p>
        </w:tc>
      </w:tr>
      <w:tr>
        <w:tc>
          <w:tcPr>
            <w:tcW w:type="dxa" w:w="2448"/>
          </w:tcPr>
          <w:p>
            <w:pPr>
              <w:spacing w:line="278" w:lineRule="auto" w:after="0"/>
            </w:pPr>
            <w:r/>
            <w:r>
              <w:rPr>
                <w:rFonts w:ascii="Consolas" w:hAnsi="Consolas"/>
                <w:b/>
                <w:color w:val="172126"/>
                <w:sz w:val="15"/>
              </w:rPr>
              <w:t>supervisor_profile</w:t>
            </w:r>
          </w:p>
        </w:tc>
        <w:tc>
          <w:tcPr>
            <w:tcW w:type="dxa" w:w="576"/>
          </w:tcPr>
          <w:p>
            <w:pPr>
              <w:spacing w:line="278" w:lineRule="auto" w:after="0"/>
            </w:pPr>
            <w:r/>
            <w:r>
              <w:rPr>
                <w:rFonts w:ascii="Consolas" w:hAnsi="Consolas"/>
                <w:b w:val="0"/>
                <w:color w:val="526068"/>
                <w:sz w:val="15"/>
              </w:rPr>
              <w:t>6</w:t>
            </w:r>
          </w:p>
        </w:tc>
        <w:tc>
          <w:tcPr>
            <w:tcW w:type="dxa" w:w="6912"/>
          </w:tcPr>
          <w:p>
            <w:pPr>
              <w:spacing w:line="278" w:lineRule="auto" w:after="0"/>
            </w:pPr>
            <w:r/>
            <w:r>
              <w:rPr>
                <w:rFonts w:ascii="Calibri" w:hAnsi="Calibri"/>
                <w:b w:val="0"/>
                <w:color w:val="526068"/>
                <w:sz w:val="15"/>
              </w:rPr>
              <w:t>Persona definitions for the copilot and review sweeps</w:t>
            </w:r>
          </w:p>
        </w:tc>
      </w:tr>
      <w:tr>
        <w:tc>
          <w:tcPr>
            <w:tcW w:type="dxa" w:w="2448"/>
          </w:tcPr>
          <w:p>
            <w:pPr>
              <w:spacing w:line="278" w:lineRule="auto" w:after="0"/>
            </w:pPr>
            <w:r/>
            <w:r>
              <w:rPr>
                <w:rFonts w:ascii="Consolas" w:hAnsi="Consolas"/>
                <w:b/>
                <w:color w:val="172126"/>
                <w:sz w:val="15"/>
              </w:rPr>
              <w:t>run_deviation</w:t>
            </w:r>
          </w:p>
        </w:tc>
        <w:tc>
          <w:tcPr>
            <w:tcW w:type="dxa" w:w="576"/>
          </w:tcPr>
          <w:p>
            <w:pPr>
              <w:spacing w:line="278" w:lineRule="auto" w:after="0"/>
            </w:pPr>
            <w:r/>
            <w:r>
              <w:rPr>
                <w:rFonts w:ascii="Consolas" w:hAnsi="Consolas"/>
                <w:b w:val="0"/>
                <w:color w:val="526068"/>
                <w:sz w:val="15"/>
              </w:rPr>
              <w:t>14</w:t>
            </w:r>
          </w:p>
        </w:tc>
        <w:tc>
          <w:tcPr>
            <w:tcW w:type="dxa" w:w="6912"/>
          </w:tcPr>
          <w:p>
            <w:pPr>
              <w:spacing w:line="278" w:lineRule="auto" w:after="0"/>
            </w:pPr>
            <w:r/>
            <w:r>
              <w:rPr>
                <w:rFonts w:ascii="Calibri" w:hAnsi="Calibri"/>
                <w:b w:val="0"/>
                <w:color w:val="526068"/>
                <w:sz w:val="15"/>
              </w:rPr>
              <w:t>Where a run departed from its definition, and why</w:t>
            </w:r>
          </w:p>
        </w:tc>
      </w:tr>
    </w:tbl>
    <w:p>
      <w:pPr>
        <w:spacing w:after="60"/>
      </w:pPr>
    </w:p>
    <w:p>
      <w:pPr>
        <w:spacing w:before="260" w:after="80" w:line="307" w:lineRule="auto"/>
      </w:pPr>
      <w:r>
        <w:rPr>
          <w:rFonts w:ascii="Calibri" w:hAnsi="Calibri"/>
          <w:b/>
          <w:color w:val="172126"/>
          <w:sz w:val="22"/>
        </w:rPr>
        <w:t>2.4  The AI fabric — 6 tables, 81 columns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736"/>
            <w:shd w:val="clear" w:fill="F0F3F4"/>
          </w:tcPr>
          <w:p>
            <w:r/>
            <w:r>
              <w:rPr>
                <w:rFonts w:ascii="Calibri" w:hAnsi="Calibri"/>
                <w:b/>
                <w:color w:val="667279"/>
                <w:sz w:val="13"/>
              </w:rPr>
              <w:t>TABLE</w:t>
            </w:r>
          </w:p>
        </w:tc>
        <w:tc>
          <w:tcPr>
            <w:tcW w:type="dxa" w:w="576"/>
            <w:shd w:val="clear" w:fill="F0F3F4"/>
          </w:tcPr>
          <w:p>
            <w:r/>
            <w:r>
              <w:rPr>
                <w:rFonts w:ascii="Calibri" w:hAnsi="Calibri"/>
                <w:b/>
                <w:color w:val="667279"/>
                <w:sz w:val="13"/>
              </w:rPr>
              <w:t>COLS</w:t>
            </w:r>
          </w:p>
        </w:tc>
        <w:tc>
          <w:tcPr>
            <w:tcW w:type="dxa" w:w="6624"/>
            <w:shd w:val="clear" w:fill="F0F3F4"/>
          </w:tcPr>
          <w:p>
            <w:r/>
            <w:r>
              <w:rPr>
                <w:rFonts w:ascii="Calibri" w:hAnsi="Calibri"/>
                <w:b/>
                <w:color w:val="667279"/>
                <w:sz w:val="13"/>
              </w:rPr>
              <w:t>PURPOSE</w:t>
            </w:r>
          </w:p>
        </w:tc>
      </w:tr>
      <w:tr>
        <w:tc>
          <w:tcPr>
            <w:tcW w:type="dxa" w:w="2736"/>
          </w:tcPr>
          <w:p>
            <w:pPr>
              <w:spacing w:line="278" w:lineRule="auto" w:after="0"/>
            </w:pPr>
            <w:r/>
            <w:r>
              <w:rPr>
                <w:rFonts w:ascii="Consolas" w:hAnsi="Consolas"/>
                <w:b/>
                <w:color w:val="172126"/>
                <w:sz w:val="15"/>
              </w:rPr>
              <w:t>ai_model_registry</w:t>
            </w:r>
          </w:p>
        </w:tc>
        <w:tc>
          <w:tcPr>
            <w:tcW w:type="dxa" w:w="576"/>
          </w:tcPr>
          <w:p>
            <w:pPr>
              <w:spacing w:line="278" w:lineRule="auto" w:after="0"/>
            </w:pPr>
            <w:r/>
            <w:r>
              <w:rPr>
                <w:rFonts w:ascii="Consolas" w:hAnsi="Consolas"/>
                <w:b w:val="0"/>
                <w:color w:val="526068"/>
                <w:sz w:val="15"/>
              </w:rPr>
              <w:t>13</w:t>
            </w:r>
          </w:p>
        </w:tc>
        <w:tc>
          <w:tcPr>
            <w:tcW w:type="dxa" w:w="6624"/>
          </w:tcPr>
          <w:p>
            <w:pPr>
              <w:spacing w:line="278" w:lineRule="auto" w:after="0"/>
            </w:pPr>
            <w:r/>
            <w:r>
              <w:rPr>
                <w:rFonts w:ascii="Calibri" w:hAnsi="Calibri"/>
                <w:b w:val="0"/>
                <w:color w:val="526068"/>
                <w:sz w:val="15"/>
              </w:rPr>
              <w:t>Alias → provider → model, with rate card, context limit, capabilities, boundary</w:t>
            </w:r>
          </w:p>
        </w:tc>
      </w:tr>
      <w:tr>
        <w:tc>
          <w:tcPr>
            <w:tcW w:type="dxa" w:w="2736"/>
          </w:tcPr>
          <w:p>
            <w:pPr>
              <w:spacing w:line="278" w:lineRule="auto" w:after="0"/>
            </w:pPr>
            <w:r/>
            <w:r>
              <w:rPr>
                <w:rFonts w:ascii="Consolas" w:hAnsi="Consolas"/>
                <w:b/>
                <w:color w:val="172126"/>
                <w:sz w:val="15"/>
              </w:rPr>
              <w:t>ai_prompt_version</w:t>
            </w:r>
          </w:p>
        </w:tc>
        <w:tc>
          <w:tcPr>
            <w:tcW w:type="dxa" w:w="576"/>
          </w:tcPr>
          <w:p>
            <w:pPr>
              <w:spacing w:line="278" w:lineRule="auto" w:after="0"/>
            </w:pPr>
            <w:r/>
            <w:r>
              <w:rPr>
                <w:rFonts w:ascii="Consolas" w:hAnsi="Consolas"/>
                <w:b w:val="0"/>
                <w:color w:val="526068"/>
                <w:sz w:val="15"/>
              </w:rPr>
              <w:t>10</w:t>
            </w:r>
          </w:p>
        </w:tc>
        <w:tc>
          <w:tcPr>
            <w:tcW w:type="dxa" w:w="6624"/>
          </w:tcPr>
          <w:p>
            <w:pPr>
              <w:spacing w:line="278" w:lineRule="auto" w:after="0"/>
            </w:pPr>
            <w:r/>
            <w:r>
              <w:rPr>
                <w:rFonts w:ascii="Calibri" w:hAnsi="Calibri"/>
                <w:b w:val="0"/>
                <w:color w:val="526068"/>
                <w:sz w:val="15"/>
              </w:rPr>
              <w:t>Versioned prompts. 24 registered</w:t>
            </w:r>
          </w:p>
        </w:tc>
      </w:tr>
      <w:tr>
        <w:tc>
          <w:tcPr>
            <w:tcW w:type="dxa" w:w="2736"/>
          </w:tcPr>
          <w:p>
            <w:pPr>
              <w:spacing w:line="278" w:lineRule="auto" w:after="0"/>
            </w:pPr>
            <w:r/>
            <w:r>
              <w:rPr>
                <w:rFonts w:ascii="Consolas" w:hAnsi="Consolas"/>
                <w:b/>
                <w:color w:val="172126"/>
                <w:sz w:val="15"/>
              </w:rPr>
              <w:t>ai_tenant_policy</w:t>
            </w:r>
          </w:p>
        </w:tc>
        <w:tc>
          <w:tcPr>
            <w:tcW w:type="dxa" w:w="576"/>
          </w:tcPr>
          <w:p>
            <w:pPr>
              <w:spacing w:line="278" w:lineRule="auto" w:after="0"/>
            </w:pPr>
            <w:r/>
            <w:r>
              <w:rPr>
                <w:rFonts w:ascii="Consolas" w:hAnsi="Consolas"/>
                <w:b w:val="0"/>
                <w:color w:val="526068"/>
                <w:sz w:val="15"/>
              </w:rPr>
              <w:t>6</w:t>
            </w:r>
          </w:p>
        </w:tc>
        <w:tc>
          <w:tcPr>
            <w:tcW w:type="dxa" w:w="6624"/>
          </w:tcPr>
          <w:p>
            <w:pPr>
              <w:spacing w:line="278" w:lineRule="auto" w:after="0"/>
            </w:pPr>
            <w:r/>
            <w:r>
              <w:rPr>
                <w:rFonts w:ascii="Calibri" w:hAnsi="Calibri"/>
                <w:b w:val="0"/>
                <w:color w:val="526068"/>
                <w:sz w:val="15"/>
              </w:rPr>
              <w:t>Data classification and boundary rules per tenant</w:t>
            </w:r>
          </w:p>
        </w:tc>
      </w:tr>
      <w:tr>
        <w:tc>
          <w:tcPr>
            <w:tcW w:type="dxa" w:w="2736"/>
          </w:tcPr>
          <w:p>
            <w:pPr>
              <w:spacing w:line="278" w:lineRule="auto" w:after="0"/>
            </w:pPr>
            <w:r/>
            <w:r>
              <w:rPr>
                <w:rFonts w:ascii="Consolas" w:hAnsi="Consolas"/>
                <w:b/>
                <w:color w:val="172126"/>
                <w:sz w:val="15"/>
              </w:rPr>
              <w:t>ai_tenant_policy_history</w:t>
            </w:r>
          </w:p>
        </w:tc>
        <w:tc>
          <w:tcPr>
            <w:tcW w:type="dxa" w:w="576"/>
          </w:tcPr>
          <w:p>
            <w:pPr>
              <w:spacing w:line="278" w:lineRule="auto" w:after="0"/>
            </w:pPr>
            <w:r/>
            <w:r>
              <w:rPr>
                <w:rFonts w:ascii="Consolas" w:hAnsi="Consolas"/>
                <w:b w:val="0"/>
                <w:color w:val="526068"/>
                <w:sz w:val="15"/>
              </w:rPr>
              <w:t>6</w:t>
            </w:r>
          </w:p>
        </w:tc>
        <w:tc>
          <w:tcPr>
            <w:tcW w:type="dxa" w:w="6624"/>
          </w:tcPr>
          <w:p>
            <w:pPr>
              <w:spacing w:line="278" w:lineRule="auto" w:after="0"/>
            </w:pPr>
            <w:r/>
            <w:r>
              <w:rPr>
                <w:rFonts w:ascii="Calibri" w:hAnsi="Calibri"/>
                <w:b w:val="0"/>
                <w:color w:val="526068"/>
                <w:sz w:val="15"/>
              </w:rPr>
              <w:t>Every change to that policy</w:t>
            </w:r>
          </w:p>
        </w:tc>
      </w:tr>
      <w:tr>
        <w:tc>
          <w:tcPr>
            <w:tcW w:type="dxa" w:w="2736"/>
          </w:tcPr>
          <w:p>
            <w:pPr>
              <w:spacing w:line="278" w:lineRule="auto" w:after="0"/>
            </w:pPr>
            <w:r/>
            <w:r>
              <w:rPr>
                <w:rFonts w:ascii="Consolas" w:hAnsi="Consolas"/>
                <w:b/>
                <w:color w:val="172126"/>
                <w:sz w:val="15"/>
              </w:rPr>
              <w:t>ai_usage_ledger</w:t>
            </w:r>
          </w:p>
        </w:tc>
        <w:tc>
          <w:tcPr>
            <w:tcW w:type="dxa" w:w="576"/>
          </w:tcPr>
          <w:p>
            <w:pPr>
              <w:spacing w:line="278" w:lineRule="auto" w:after="0"/>
            </w:pPr>
            <w:r/>
            <w:r>
              <w:rPr>
                <w:rFonts w:ascii="Consolas" w:hAnsi="Consolas"/>
                <w:b w:val="0"/>
                <w:color w:val="526068"/>
                <w:sz w:val="15"/>
              </w:rPr>
              <w:t>29</w:t>
            </w:r>
          </w:p>
        </w:tc>
        <w:tc>
          <w:tcPr>
            <w:tcW w:type="dxa" w:w="6624"/>
          </w:tcPr>
          <w:p>
            <w:pPr>
              <w:spacing w:line="278" w:lineRule="auto" w:after="0"/>
            </w:pPr>
            <w:r/>
            <w:r>
              <w:rPr>
                <w:rFonts w:ascii="Calibri" w:hAnsi="Calibri"/>
                <w:b w:val="0"/>
                <w:color w:val="526068"/>
                <w:sz w:val="15"/>
              </w:rPr>
              <w:t>One row per ATTEMPT: tokens, cost, latency, confidence, execution class, validation status</w:t>
            </w:r>
          </w:p>
        </w:tc>
      </w:tr>
      <w:tr>
        <w:tc>
          <w:tcPr>
            <w:tcW w:type="dxa" w:w="2736"/>
          </w:tcPr>
          <w:p>
            <w:pPr>
              <w:spacing w:line="278" w:lineRule="auto" w:after="0"/>
            </w:pPr>
            <w:r/>
            <w:r>
              <w:rPr>
                <w:rFonts w:ascii="Consolas" w:hAnsi="Consolas"/>
                <w:b/>
                <w:color w:val="172126"/>
                <w:sz w:val="15"/>
              </w:rPr>
              <w:t>ai_response_cache</w:t>
            </w:r>
          </w:p>
        </w:tc>
        <w:tc>
          <w:tcPr>
            <w:tcW w:type="dxa" w:w="576"/>
          </w:tcPr>
          <w:p>
            <w:pPr>
              <w:spacing w:line="278" w:lineRule="auto" w:after="0"/>
            </w:pPr>
            <w:r/>
            <w:r>
              <w:rPr>
                <w:rFonts w:ascii="Consolas" w:hAnsi="Consolas"/>
                <w:b w:val="0"/>
                <w:color w:val="526068"/>
                <w:sz w:val="15"/>
              </w:rPr>
              <w:t>17</w:t>
            </w:r>
          </w:p>
        </w:tc>
        <w:tc>
          <w:tcPr>
            <w:tcW w:type="dxa" w:w="6624"/>
          </w:tcPr>
          <w:p>
            <w:pPr>
              <w:spacing w:line="278" w:lineRule="auto" w:after="0"/>
            </w:pPr>
            <w:r/>
            <w:r>
              <w:rPr>
                <w:rFonts w:ascii="Calibri" w:hAnsi="Calibri"/>
                <w:b w:val="0"/>
                <w:color w:val="526068"/>
                <w:sz w:val="15"/>
              </w:rPr>
              <w:t>Keyed on everything that could change the answer</w:t>
            </w:r>
          </w:p>
        </w:tc>
      </w:tr>
    </w:tbl>
    <w:p>
      <w:pPr>
        <w:spacing w:after="60"/>
      </w:pPr>
    </w:p>
    <w:p>
      <w:pPr>
        <w:spacing w:before="260" w:after="80" w:line="307" w:lineRule="auto"/>
      </w:pPr>
      <w:r>
        <w:rPr>
          <w:rFonts w:ascii="Calibri" w:hAnsi="Calibri"/>
          <w:b/>
          <w:color w:val="172126"/>
          <w:sz w:val="22"/>
        </w:rPr>
        <w:t>2.5  Documents and retrieval — 15 tables, 201 columns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3456"/>
            <w:shd w:val="clear" w:fill="F0F3F4"/>
          </w:tcPr>
          <w:p>
            <w:r/>
            <w:r>
              <w:rPr>
                <w:rFonts w:ascii="Calibri" w:hAnsi="Calibri"/>
                <w:b/>
                <w:color w:val="667279"/>
                <w:sz w:val="13"/>
              </w:rPr>
              <w:t>TABLE</w:t>
            </w:r>
          </w:p>
        </w:tc>
        <w:tc>
          <w:tcPr>
            <w:tcW w:type="dxa" w:w="6480"/>
            <w:shd w:val="clear" w:fill="F0F3F4"/>
          </w:tcPr>
          <w:p>
            <w:r/>
            <w:r>
              <w:rPr>
                <w:rFonts w:ascii="Calibri" w:hAnsi="Calibri"/>
                <w:b/>
                <w:color w:val="667279"/>
                <w:sz w:val="13"/>
              </w:rPr>
              <w:t>PURPOSE</w:t>
            </w:r>
          </w:p>
        </w:tc>
      </w:tr>
      <w:tr>
        <w:tc>
          <w:tcPr>
            <w:tcW w:type="dxa" w:w="3456"/>
          </w:tcPr>
          <w:p>
            <w:pPr>
              <w:spacing w:line="278" w:lineRule="auto" w:after="0"/>
            </w:pPr>
            <w:r/>
            <w:r>
              <w:rPr>
                <w:rFonts w:ascii="Consolas" w:hAnsi="Consolas"/>
                <w:b/>
                <w:color w:val="172126"/>
                <w:sz w:val="15"/>
              </w:rPr>
              <w:t>file · file_page</w:t>
            </w:r>
          </w:p>
        </w:tc>
        <w:tc>
          <w:tcPr>
            <w:tcW w:type="dxa" w:w="6480"/>
          </w:tcPr>
          <w:p>
            <w:pPr>
              <w:spacing w:line="278" w:lineRule="auto" w:after="0"/>
            </w:pPr>
            <w:r/>
            <w:r>
              <w:rPr>
                <w:rFonts w:ascii="Calibri" w:hAnsi="Calibri"/>
                <w:b w:val="0"/>
                <w:color w:val="526068"/>
                <w:sz w:val="15"/>
              </w:rPr>
              <w:t>Uploaded bytes and the text extracted from them, page by page</w:t>
            </w:r>
          </w:p>
        </w:tc>
      </w:tr>
      <w:tr>
        <w:tc>
          <w:tcPr>
            <w:tcW w:type="dxa" w:w="3456"/>
          </w:tcPr>
          <w:p>
            <w:pPr>
              <w:spacing w:line="278" w:lineRule="auto" w:after="0"/>
            </w:pPr>
            <w:r/>
            <w:r>
              <w:rPr>
                <w:rFonts w:ascii="Consolas" w:hAnsi="Consolas"/>
                <w:b/>
                <w:color w:val="172126"/>
                <w:sz w:val="15"/>
              </w:rPr>
              <w:t>chunk</w:t>
            </w:r>
          </w:p>
        </w:tc>
        <w:tc>
          <w:tcPr>
            <w:tcW w:type="dxa" w:w="6480"/>
          </w:tcPr>
          <w:p>
            <w:pPr>
              <w:spacing w:line="278" w:lineRule="auto" w:after="0"/>
            </w:pPr>
            <w:r/>
            <w:r>
              <w:rPr>
                <w:rFonts w:ascii="Calibri" w:hAnsi="Calibri"/>
                <w:b w:val="0"/>
                <w:color w:val="526068"/>
                <w:sz w:val="15"/>
              </w:rPr>
              <w:t>The retrieval index. source_kind/source_id carry identity; revision_id is nullable</w:t>
            </w:r>
          </w:p>
        </w:tc>
      </w:tr>
      <w:tr>
        <w:tc>
          <w:tcPr>
            <w:tcW w:type="dxa" w:w="3456"/>
          </w:tcPr>
          <w:p>
            <w:pPr>
              <w:spacing w:line="278" w:lineRule="auto" w:after="0"/>
            </w:pPr>
            <w:r/>
            <w:r>
              <w:rPr>
                <w:rFonts w:ascii="Consolas" w:hAnsi="Consolas"/>
                <w:b/>
                <w:color w:val="172126"/>
                <w:sz w:val="15"/>
              </w:rPr>
              <w:t>document_register</w:t>
            </w:r>
          </w:p>
        </w:tc>
        <w:tc>
          <w:tcPr>
            <w:tcW w:type="dxa" w:w="6480"/>
          </w:tcPr>
          <w:p>
            <w:pPr>
              <w:spacing w:line="278" w:lineRule="auto" w:after="0"/>
            </w:pPr>
            <w:r/>
            <w:r>
              <w:rPr>
                <w:rFonts w:ascii="Calibri" w:hAnsi="Calibri"/>
                <w:b w:val="0"/>
                <w:color w:val="526068"/>
                <w:sz w:val="15"/>
              </w:rPr>
              <w:t>The formal register entry: number, title, discipline, confidentiality, retention, legal hold</w:t>
            </w:r>
          </w:p>
        </w:tc>
      </w:tr>
      <w:tr>
        <w:tc>
          <w:tcPr>
            <w:tcW w:type="dxa" w:w="3456"/>
          </w:tcPr>
          <w:p>
            <w:pPr>
              <w:spacing w:line="278" w:lineRule="auto" w:after="0"/>
            </w:pPr>
            <w:r/>
            <w:r>
              <w:rPr>
                <w:rFonts w:ascii="Consolas" w:hAnsi="Consolas"/>
                <w:b/>
                <w:color w:val="172126"/>
                <w:sz w:val="15"/>
              </w:rPr>
              <w:t>document_revision</w:t>
            </w:r>
          </w:p>
        </w:tc>
        <w:tc>
          <w:tcPr>
            <w:tcW w:type="dxa" w:w="6480"/>
          </w:tcPr>
          <w:p>
            <w:pPr>
              <w:spacing w:line="278" w:lineRule="auto" w:after="0"/>
            </w:pPr>
            <w:r/>
            <w:r>
              <w:rPr>
                <w:rFonts w:ascii="Calibri" w:hAnsi="Calibri"/>
                <w:b w:val="0"/>
                <w:color w:val="526068"/>
                <w:sz w:val="15"/>
              </w:rPr>
              <w:t>Revisions with scheme, sort rank, state and the file behind them</w:t>
            </w:r>
          </w:p>
        </w:tc>
      </w:tr>
      <w:tr>
        <w:tc>
          <w:tcPr>
            <w:tcW w:type="dxa" w:w="3456"/>
          </w:tcPr>
          <w:p>
            <w:pPr>
              <w:spacing w:line="278" w:lineRule="auto" w:after="0"/>
            </w:pPr>
            <w:r/>
            <w:r>
              <w:rPr>
                <w:rFonts w:ascii="Consolas" w:hAnsi="Consolas"/>
                <w:b/>
                <w:color w:val="172126"/>
                <w:sz w:val="15"/>
              </w:rPr>
              <w:t>numbering_scheme</w:t>
            </w:r>
          </w:p>
        </w:tc>
        <w:tc>
          <w:tcPr>
            <w:tcW w:type="dxa" w:w="6480"/>
          </w:tcPr>
          <w:p>
            <w:pPr>
              <w:spacing w:line="278" w:lineRule="auto" w:after="0"/>
            </w:pPr>
            <w:r/>
            <w:r>
              <w:rPr>
                <w:rFonts w:ascii="Calibri" w:hAnsi="Calibri"/>
                <w:b w:val="0"/>
                <w:color w:val="526068"/>
                <w:sz w:val="15"/>
              </w:rPr>
              <w:t>ISO 19650 by default, per-project overridable</w:t>
            </w:r>
          </w:p>
        </w:tc>
      </w:tr>
      <w:tr>
        <w:tc>
          <w:tcPr>
            <w:tcW w:type="dxa" w:w="3456"/>
          </w:tcPr>
          <w:p>
            <w:pPr>
              <w:spacing w:line="278" w:lineRule="auto" w:after="0"/>
            </w:pPr>
            <w:r/>
            <w:r>
              <w:rPr>
                <w:rFonts w:ascii="Consolas" w:hAnsi="Consolas"/>
                <w:b/>
                <w:color w:val="172126"/>
                <w:sz w:val="15"/>
              </w:rPr>
              <w:t>document_review · document_review_assignee · document_comment</w:t>
            </w:r>
          </w:p>
        </w:tc>
        <w:tc>
          <w:tcPr>
            <w:tcW w:type="dxa" w:w="6480"/>
          </w:tcPr>
          <w:p>
            <w:pPr>
              <w:spacing w:line="278" w:lineRule="auto" w:after="0"/>
            </w:pPr>
            <w:r/>
            <w:r>
              <w:rPr>
                <w:rFonts w:ascii="Calibri" w:hAnsi="Calibri"/>
                <w:b w:val="0"/>
                <w:color w:val="526068"/>
                <w:sz w:val="15"/>
              </w:rPr>
              <w:t>The review cycle</w:t>
            </w:r>
          </w:p>
        </w:tc>
      </w:tr>
      <w:tr>
        <w:tc>
          <w:tcPr>
            <w:tcW w:type="dxa" w:w="3456"/>
          </w:tcPr>
          <w:p>
            <w:pPr>
              <w:spacing w:line="278" w:lineRule="auto" w:after="0"/>
            </w:pPr>
            <w:r/>
            <w:r>
              <w:rPr>
                <w:rFonts w:ascii="Consolas" w:hAnsi="Consolas"/>
                <w:b/>
                <w:color w:val="172126"/>
                <w:sz w:val="15"/>
              </w:rPr>
              <w:t>transmittal · transmittal_item · transmittal_recipient</w:t>
            </w:r>
          </w:p>
        </w:tc>
        <w:tc>
          <w:tcPr>
            <w:tcW w:type="dxa" w:w="6480"/>
          </w:tcPr>
          <w:p>
            <w:pPr>
              <w:spacing w:line="278" w:lineRule="auto" w:after="0"/>
            </w:pPr>
            <w:r/>
            <w:r>
              <w:rPr>
                <w:rFonts w:ascii="Calibri" w:hAnsi="Calibri"/>
                <w:b w:val="0"/>
                <w:color w:val="526068"/>
                <w:sz w:val="15"/>
              </w:rPr>
              <w:t>Formal issue and acknowledgement</w:t>
            </w:r>
          </w:p>
        </w:tc>
      </w:tr>
      <w:tr>
        <w:tc>
          <w:tcPr>
            <w:tcW w:type="dxa" w:w="3456"/>
          </w:tcPr>
          <w:p>
            <w:pPr>
              <w:spacing w:line="278" w:lineRule="auto" w:after="0"/>
            </w:pPr>
            <w:r/>
            <w:r>
              <w:rPr>
                <w:rFonts w:ascii="Consolas" w:hAnsi="Consolas"/>
                <w:b/>
                <w:color w:val="172126"/>
                <w:sz w:val="15"/>
              </w:rPr>
              <w:t>distribution_list · distribution_member</w:t>
            </w:r>
          </w:p>
        </w:tc>
        <w:tc>
          <w:tcPr>
            <w:tcW w:type="dxa" w:w="6480"/>
          </w:tcPr>
          <w:p>
            <w:pPr>
              <w:spacing w:line="278" w:lineRule="auto" w:after="0"/>
            </w:pPr>
            <w:r/>
            <w:r>
              <w:rPr>
                <w:rFonts w:ascii="Calibri" w:hAnsi="Calibri"/>
                <w:b w:val="0"/>
                <w:color w:val="526068"/>
                <w:sz w:val="15"/>
              </w:rPr>
              <w:t>Who receives what</w:t>
            </w:r>
          </w:p>
        </w:tc>
      </w:tr>
      <w:tr>
        <w:tc>
          <w:tcPr>
            <w:tcW w:type="dxa" w:w="3456"/>
          </w:tcPr>
          <w:p>
            <w:pPr>
              <w:spacing w:line="278" w:lineRule="auto" w:after="0"/>
            </w:pPr>
            <w:r/>
            <w:r>
              <w:rPr>
                <w:rFonts w:ascii="Consolas" w:hAnsi="Consolas"/>
                <w:b/>
                <w:color w:val="172126"/>
                <w:sz w:val="15"/>
              </w:rPr>
              <w:t>source_region</w:t>
            </w:r>
          </w:p>
        </w:tc>
        <w:tc>
          <w:tcPr>
            <w:tcW w:type="dxa" w:w="6480"/>
          </w:tcPr>
          <w:p>
            <w:pPr>
              <w:spacing w:line="278" w:lineRule="auto" w:after="0"/>
            </w:pPr>
            <w:r/>
            <w:r>
              <w:rPr>
                <w:rFonts w:ascii="Calibri" w:hAnsi="Calibri"/>
                <w:b w:val="0"/>
                <w:color w:val="526068"/>
                <w:sz w:val="15"/>
              </w:rPr>
              <w:t>A rectangle on a page — how a citation points at its evidence</w:t>
            </w:r>
          </w:p>
        </w:tc>
      </w:tr>
    </w:tbl>
    <w:p>
      <w:pPr>
        <w:spacing w:after="60"/>
      </w:pPr>
    </w:p>
    <w:p>
      <w:pPr>
        <w:spacing w:before="260" w:after="80" w:line="307" w:lineRule="auto"/>
      </w:pPr>
      <w:r>
        <w:rPr>
          <w:rFonts w:ascii="Calibri" w:hAnsi="Calibri"/>
          <w:b/>
          <w:color w:val="172126"/>
          <w:sz w:val="22"/>
        </w:rPr>
        <w:t>2.6  Drawings, BIM and the PCM — 16 tables, 184 columns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1728"/>
            <w:shd w:val="clear" w:fill="F0F3F4"/>
          </w:tcPr>
          <w:p>
            <w:r/>
            <w:r>
              <w:rPr>
                <w:rFonts w:ascii="Calibri" w:hAnsi="Calibri"/>
                <w:b/>
                <w:color w:val="667279"/>
                <w:sz w:val="13"/>
              </w:rPr>
              <w:t>GROUP</w:t>
            </w:r>
          </w:p>
        </w:tc>
        <w:tc>
          <w:tcPr>
            <w:tcW w:type="dxa" w:w="8208"/>
            <w:shd w:val="clear" w:fill="F0F3F4"/>
          </w:tcPr>
          <w:p>
            <w:r/>
            <w:r>
              <w:rPr>
                <w:rFonts w:ascii="Calibri" w:hAnsi="Calibri"/>
                <w:b/>
                <w:color w:val="667279"/>
                <w:sz w:val="13"/>
              </w:rPr>
              <w:t>TABLES</w:t>
            </w:r>
          </w:p>
        </w:tc>
      </w:tr>
      <w:tr>
        <w:tc>
          <w:tcPr>
            <w:tcW w:type="dxa" w:w="1728"/>
          </w:tcPr>
          <w:p>
            <w:pPr>
              <w:spacing w:line="278" w:lineRule="auto" w:after="0"/>
            </w:pPr>
            <w:r/>
            <w:r>
              <w:rPr>
                <w:rFonts w:ascii="Calibri" w:hAnsi="Calibri"/>
                <w:b/>
                <w:color w:val="172126"/>
                <w:sz w:val="15"/>
              </w:rPr>
              <w:t>CAD</w:t>
            </w:r>
          </w:p>
        </w:tc>
        <w:tc>
          <w:tcPr>
            <w:tcW w:type="dxa" w:w="8208"/>
          </w:tcPr>
          <w:p>
            <w:pPr>
              <w:spacing w:line="278" w:lineRule="auto" w:after="0"/>
            </w:pPr>
            <w:r/>
            <w:r>
              <w:rPr>
                <w:rFonts w:ascii="Consolas" w:hAnsi="Consolas"/>
                <w:b w:val="0"/>
                <w:color w:val="526068"/>
                <w:sz w:val="15"/>
              </w:rPr>
              <w:t>cad_extraction — units, layer/block/sheet counts, summary, SVG, render error</w:t>
            </w:r>
          </w:p>
        </w:tc>
      </w:tr>
      <w:tr>
        <w:tc>
          <w:tcPr>
            <w:tcW w:type="dxa" w:w="1728"/>
          </w:tcPr>
          <w:p>
            <w:pPr>
              <w:spacing w:line="278" w:lineRule="auto" w:after="0"/>
            </w:pPr>
            <w:r/>
            <w:r>
              <w:rPr>
                <w:rFonts w:ascii="Calibri" w:hAnsi="Calibri"/>
                <w:b/>
                <w:color w:val="172126"/>
                <w:sz w:val="15"/>
              </w:rPr>
              <w:t>BIM</w:t>
            </w:r>
          </w:p>
        </w:tc>
        <w:tc>
          <w:tcPr>
            <w:tcW w:type="dxa" w:w="8208"/>
          </w:tcPr>
          <w:p>
            <w:pPr>
              <w:spacing w:line="278" w:lineRule="auto" w:after="0"/>
            </w:pPr>
            <w:r/>
            <w:r>
              <w:rPr>
                <w:rFonts w:ascii="Consolas" w:hAnsi="Consolas"/>
                <w:b w:val="0"/>
                <w:color w:val="526068"/>
                <w:sz w:val="15"/>
              </w:rPr>
              <w:t>bim_document, bim_proposal (propose-then-apply), bim_authored_tool</w:t>
            </w:r>
          </w:p>
        </w:tc>
      </w:tr>
      <w:tr>
        <w:tc>
          <w:tcPr>
            <w:tcW w:type="dxa" w:w="1728"/>
          </w:tcPr>
          <w:p>
            <w:pPr>
              <w:spacing w:line="278" w:lineRule="auto" w:after="0"/>
            </w:pPr>
            <w:r/>
            <w:r>
              <w:rPr>
                <w:rFonts w:ascii="Calibri" w:hAnsi="Calibri"/>
                <w:b/>
                <w:color w:val="172126"/>
                <w:sz w:val="15"/>
              </w:rPr>
              <w:t>PCM core</w:t>
            </w:r>
          </w:p>
        </w:tc>
        <w:tc>
          <w:tcPr>
            <w:tcW w:type="dxa" w:w="8208"/>
          </w:tcPr>
          <w:p>
            <w:pPr>
              <w:spacing w:line="278" w:lineRule="auto" w:after="0"/>
            </w:pPr>
            <w:r/>
            <w:r>
              <w:rPr>
                <w:rFonts w:ascii="Consolas" w:hAnsi="Consolas"/>
                <w:b w:val="0"/>
                <w:color w:val="526068"/>
                <w:sz w:val="15"/>
              </w:rPr>
              <w:t>pcm_project_revision, pcm_coordinate_system, pcm_spatial_node</w:t>
            </w:r>
          </w:p>
        </w:tc>
      </w:tr>
      <w:tr>
        <w:tc>
          <w:tcPr>
            <w:tcW w:type="dxa" w:w="1728"/>
          </w:tcPr>
          <w:p>
            <w:pPr>
              <w:spacing w:line="278" w:lineRule="auto" w:after="0"/>
            </w:pPr>
            <w:r/>
            <w:r>
              <w:rPr>
                <w:rFonts w:ascii="Calibri" w:hAnsi="Calibri"/>
                <w:b/>
                <w:color w:val="172126"/>
                <w:sz w:val="15"/>
              </w:rPr>
              <w:t>PCM objects</w:t>
            </w:r>
          </w:p>
        </w:tc>
        <w:tc>
          <w:tcPr>
            <w:tcW w:type="dxa" w:w="8208"/>
          </w:tcPr>
          <w:p>
            <w:pPr>
              <w:spacing w:line="278" w:lineRule="auto" w:after="0"/>
            </w:pPr>
            <w:r/>
            <w:r>
              <w:rPr>
                <w:rFonts w:ascii="Consolas" w:hAnsi="Consolas"/>
                <w:b w:val="0"/>
                <w:color w:val="526068"/>
                <w:sz w:val="15"/>
              </w:rPr>
              <w:t>pcm_object_type, pcm_object, pcm_property_value, pcm_relationship</w:t>
            </w:r>
          </w:p>
        </w:tc>
      </w:tr>
      <w:tr>
        <w:tc>
          <w:tcPr>
            <w:tcW w:type="dxa" w:w="1728"/>
          </w:tcPr>
          <w:p>
            <w:pPr>
              <w:spacing w:line="278" w:lineRule="auto" w:after="0"/>
            </w:pPr>
            <w:r/>
            <w:r>
              <w:rPr>
                <w:rFonts w:ascii="Calibri" w:hAnsi="Calibri"/>
                <w:b/>
                <w:color w:val="172126"/>
                <w:sz w:val="15"/>
              </w:rPr>
              <w:t>PCM change</w:t>
            </w:r>
          </w:p>
        </w:tc>
        <w:tc>
          <w:tcPr>
            <w:tcW w:type="dxa" w:w="8208"/>
          </w:tcPr>
          <w:p>
            <w:pPr>
              <w:spacing w:line="278" w:lineRule="auto" w:after="0"/>
            </w:pPr>
            <w:r/>
            <w:r>
              <w:rPr>
                <w:rFonts w:ascii="Consolas" w:hAnsi="Consolas"/>
                <w:b w:val="0"/>
                <w:color w:val="526068"/>
                <w:sz w:val="15"/>
              </w:rPr>
              <w:t>pcm_change_set, pcm_change_operation, pcm_source_transform</w:t>
            </w:r>
          </w:p>
        </w:tc>
      </w:tr>
      <w:tr>
        <w:tc>
          <w:tcPr>
            <w:tcW w:type="dxa" w:w="1728"/>
          </w:tcPr>
          <w:p>
            <w:pPr>
              <w:spacing w:line="278" w:lineRule="auto" w:after="0"/>
            </w:pPr>
            <w:r/>
            <w:r>
              <w:rPr>
                <w:rFonts w:ascii="Calibri" w:hAnsi="Calibri"/>
                <w:b/>
                <w:color w:val="172126"/>
                <w:sz w:val="15"/>
              </w:rPr>
              <w:t>PCM output</w:t>
            </w:r>
          </w:p>
        </w:tc>
        <w:tc>
          <w:tcPr>
            <w:tcW w:type="dxa" w:w="8208"/>
          </w:tcPr>
          <w:p>
            <w:pPr>
              <w:spacing w:line="278" w:lineRule="auto" w:after="0"/>
            </w:pPr>
            <w:r/>
            <w:r>
              <w:rPr>
                <w:rFonts w:ascii="Consolas" w:hAnsi="Consolas"/>
                <w:b w:val="0"/>
                <w:color w:val="526068"/>
                <w:sz w:val="15"/>
              </w:rPr>
              <w:t>pcm_quantity, pcm_boq_map — how geometry becomes a bill</w:t>
            </w:r>
          </w:p>
        </w:tc>
      </w:tr>
    </w:tbl>
    <w:p>
      <w:pPr>
        <w:spacing w:after="60"/>
      </w:pPr>
    </w:p>
    <w:p>
      <w:pPr>
        <w:spacing w:before="260" w:after="80" w:line="307" w:lineRule="auto"/>
      </w:pPr>
      <w:r>
        <w:rPr>
          <w:rFonts w:ascii="Calibri" w:hAnsi="Calibri"/>
          <w:b/>
          <w:color w:val="172126"/>
          <w:sz w:val="22"/>
        </w:rPr>
        <w:t>2.7  Commercial, library and operations — 15 tables, 153 columns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1728"/>
            <w:shd w:val="clear" w:fill="F0F3F4"/>
          </w:tcPr>
          <w:p>
            <w:r/>
            <w:r>
              <w:rPr>
                <w:rFonts w:ascii="Calibri" w:hAnsi="Calibri"/>
                <w:b/>
                <w:color w:val="667279"/>
                <w:sz w:val="13"/>
              </w:rPr>
              <w:t>GROUP</w:t>
            </w:r>
          </w:p>
        </w:tc>
        <w:tc>
          <w:tcPr>
            <w:tcW w:type="dxa" w:w="8208"/>
            <w:shd w:val="clear" w:fill="F0F3F4"/>
          </w:tcPr>
          <w:p>
            <w:r/>
            <w:r>
              <w:rPr>
                <w:rFonts w:ascii="Calibri" w:hAnsi="Calibri"/>
                <w:b/>
                <w:color w:val="667279"/>
                <w:sz w:val="13"/>
              </w:rPr>
              <w:t>TABLES</w:t>
            </w:r>
          </w:p>
        </w:tc>
      </w:tr>
      <w:tr>
        <w:tc>
          <w:tcPr>
            <w:tcW w:type="dxa" w:w="1728"/>
          </w:tcPr>
          <w:p>
            <w:pPr>
              <w:spacing w:line="278" w:lineRule="auto" w:after="0"/>
            </w:pPr>
            <w:r/>
            <w:r>
              <w:rPr>
                <w:rFonts w:ascii="Calibri" w:hAnsi="Calibri"/>
                <w:b/>
                <w:color w:val="172126"/>
                <w:sz w:val="15"/>
              </w:rPr>
              <w:t>Procurement</w:t>
            </w:r>
          </w:p>
        </w:tc>
        <w:tc>
          <w:tcPr>
            <w:tcW w:type="dxa" w:w="8208"/>
          </w:tcPr>
          <w:p>
            <w:pPr>
              <w:spacing w:line="278" w:lineRule="auto" w:after="0"/>
            </w:pPr>
            <w:r/>
            <w:r>
              <w:rPr>
                <w:rFonts w:ascii="Consolas" w:hAnsi="Consolas"/>
                <w:b w:val="0"/>
                <w:color w:val="526068"/>
                <w:sz w:val="15"/>
              </w:rPr>
              <w:t>rfq, rfq_vendor, vendor, quote, quote_line</w:t>
            </w:r>
          </w:p>
        </w:tc>
      </w:tr>
      <w:tr>
        <w:tc>
          <w:tcPr>
            <w:tcW w:type="dxa" w:w="1728"/>
          </w:tcPr>
          <w:p>
            <w:pPr>
              <w:spacing w:line="278" w:lineRule="auto" w:after="0"/>
            </w:pPr>
            <w:r/>
            <w:r>
              <w:rPr>
                <w:rFonts w:ascii="Calibri" w:hAnsi="Calibri"/>
                <w:b/>
                <w:color w:val="172126"/>
                <w:sz w:val="15"/>
              </w:rPr>
              <w:t>Measurement</w:t>
            </w:r>
          </w:p>
        </w:tc>
        <w:tc>
          <w:tcPr>
            <w:tcW w:type="dxa" w:w="8208"/>
          </w:tcPr>
          <w:p>
            <w:pPr>
              <w:spacing w:line="278" w:lineRule="auto" w:after="0"/>
            </w:pPr>
            <w:r/>
            <w:r>
              <w:rPr>
                <w:rFonts w:ascii="Consolas" w:hAnsi="Consolas"/>
                <w:b w:val="0"/>
                <w:color w:val="526068"/>
                <w:sz w:val="15"/>
              </w:rPr>
              <w:t>measurement_rule, measurement_rule_set — the standards a takeoff is measured against</w:t>
            </w:r>
          </w:p>
        </w:tc>
      </w:tr>
      <w:tr>
        <w:tc>
          <w:tcPr>
            <w:tcW w:type="dxa" w:w="1728"/>
          </w:tcPr>
          <w:p>
            <w:pPr>
              <w:spacing w:line="278" w:lineRule="auto" w:after="0"/>
            </w:pPr>
            <w:r/>
            <w:r>
              <w:rPr>
                <w:rFonts w:ascii="Calibri" w:hAnsi="Calibri"/>
                <w:b/>
                <w:color w:val="172126"/>
                <w:sz w:val="15"/>
              </w:rPr>
              <w:t>Library</w:t>
            </w:r>
          </w:p>
        </w:tc>
        <w:tc>
          <w:tcPr>
            <w:tcW w:type="dxa" w:w="8208"/>
          </w:tcPr>
          <w:p>
            <w:pPr>
              <w:spacing w:line="278" w:lineRule="auto" w:after="0"/>
            </w:pPr>
            <w:r/>
            <w:r>
              <w:rPr>
                <w:rFonts w:ascii="Consolas" w:hAnsi="Consolas"/>
                <w:b w:val="0"/>
                <w:color w:val="526068"/>
                <w:sz w:val="15"/>
              </w:rPr>
              <w:t>library_entry — rate books, standards, precedent (24 rows)</w:t>
            </w:r>
          </w:p>
        </w:tc>
      </w:tr>
      <w:tr>
        <w:tc>
          <w:tcPr>
            <w:tcW w:type="dxa" w:w="1728"/>
          </w:tcPr>
          <w:p>
            <w:pPr>
              <w:spacing w:line="278" w:lineRule="auto" w:after="0"/>
            </w:pPr>
            <w:r/>
            <w:r>
              <w:rPr>
                <w:rFonts w:ascii="Calibri" w:hAnsi="Calibri"/>
                <w:b/>
                <w:color w:val="172126"/>
                <w:sz w:val="15"/>
              </w:rPr>
              <w:t>Learning</w:t>
            </w:r>
          </w:p>
        </w:tc>
        <w:tc>
          <w:tcPr>
            <w:tcW w:type="dxa" w:w="8208"/>
          </w:tcPr>
          <w:p>
            <w:pPr>
              <w:spacing w:line="278" w:lineRule="auto" w:after="0"/>
            </w:pPr>
            <w:r/>
            <w:r>
              <w:rPr>
                <w:rFonts w:ascii="Consolas" w:hAnsi="Consolas"/>
                <w:b w:val="0"/>
                <w:color w:val="526068"/>
                <w:sz w:val="15"/>
              </w:rPr>
              <w:t>learned_lesson — corrections fed back as guidance (currently empty)</w:t>
            </w:r>
          </w:p>
        </w:tc>
      </w:tr>
      <w:tr>
        <w:tc>
          <w:tcPr>
            <w:tcW w:type="dxa" w:w="1728"/>
          </w:tcPr>
          <w:p>
            <w:pPr>
              <w:spacing w:line="278" w:lineRule="auto" w:after="0"/>
            </w:pPr>
            <w:r/>
            <w:r>
              <w:rPr>
                <w:rFonts w:ascii="Calibri" w:hAnsi="Calibri"/>
                <w:b/>
                <w:color w:val="172126"/>
                <w:sz w:val="15"/>
              </w:rPr>
              <w:t>Programme</w:t>
            </w:r>
          </w:p>
        </w:tc>
        <w:tc>
          <w:tcPr>
            <w:tcW w:type="dxa" w:w="8208"/>
          </w:tcPr>
          <w:p>
            <w:pPr>
              <w:spacing w:line="278" w:lineRule="auto" w:after="0"/>
            </w:pPr>
            <w:r/>
            <w:r>
              <w:rPr>
                <w:rFonts w:ascii="Consolas" w:hAnsi="Consolas"/>
                <w:b w:val="0"/>
                <w:color w:val="526068"/>
                <w:sz w:val="15"/>
              </w:rPr>
              <w:t>project_programme — the computed CPM result</w:t>
            </w:r>
          </w:p>
        </w:tc>
      </w:tr>
      <w:tr>
        <w:tc>
          <w:tcPr>
            <w:tcW w:type="dxa" w:w="1728"/>
          </w:tcPr>
          <w:p>
            <w:pPr>
              <w:spacing w:line="278" w:lineRule="auto" w:after="0"/>
            </w:pPr>
            <w:r/>
            <w:r>
              <w:rPr>
                <w:rFonts w:ascii="Calibri" w:hAnsi="Calibri"/>
                <w:b/>
                <w:color w:val="172126"/>
                <w:sz w:val="15"/>
              </w:rPr>
              <w:t>Copilot</w:t>
            </w:r>
          </w:p>
        </w:tc>
        <w:tc>
          <w:tcPr>
            <w:tcW w:type="dxa" w:w="8208"/>
          </w:tcPr>
          <w:p>
            <w:pPr>
              <w:spacing w:line="278" w:lineRule="auto" w:after="0"/>
            </w:pPr>
            <w:r/>
            <w:r>
              <w:rPr>
                <w:rFonts w:ascii="Consolas" w:hAnsi="Consolas"/>
                <w:b w:val="0"/>
                <w:color w:val="526068"/>
                <w:sz w:val="15"/>
              </w:rPr>
              <w:t>orchestrator_conversation, orchestrator_message</w:t>
            </w:r>
          </w:p>
        </w:tc>
      </w:tr>
      <w:tr>
        <w:tc>
          <w:tcPr>
            <w:tcW w:type="dxa" w:w="1728"/>
          </w:tcPr>
          <w:p>
            <w:pPr>
              <w:spacing w:line="278" w:lineRule="auto" w:after="0"/>
            </w:pPr>
            <w:r/>
            <w:r>
              <w:rPr>
                <w:rFonts w:ascii="Calibri" w:hAnsi="Calibri"/>
                <w:b/>
                <w:color w:val="172126"/>
                <w:sz w:val="15"/>
              </w:rPr>
              <w:t>Entitlement</w:t>
            </w:r>
          </w:p>
        </w:tc>
        <w:tc>
          <w:tcPr>
            <w:tcW w:type="dxa" w:w="8208"/>
          </w:tcPr>
          <w:p>
            <w:pPr>
              <w:spacing w:line="278" w:lineRule="auto" w:after="0"/>
            </w:pPr>
            <w:r/>
            <w:r>
              <w:rPr>
                <w:rFonts w:ascii="Consolas" w:hAnsi="Consolas"/>
                <w:b w:val="0"/>
                <w:color w:val="526068"/>
                <w:sz w:val="15"/>
              </w:rPr>
              <w:t>entitlement_snapshot — what the Host says this tenant may use</w:t>
            </w:r>
          </w:p>
        </w:tc>
      </w:tr>
      <w:tr>
        <w:tc>
          <w:tcPr>
            <w:tcW w:type="dxa" w:w="1728"/>
          </w:tcPr>
          <w:p>
            <w:pPr>
              <w:spacing w:line="278" w:lineRule="auto" w:after="0"/>
            </w:pPr>
            <w:r/>
            <w:r>
              <w:rPr>
                <w:rFonts w:ascii="Calibri" w:hAnsi="Calibri"/>
                <w:b/>
                <w:color w:val="172126"/>
                <w:sz w:val="15"/>
              </w:rPr>
              <w:t>Outbox</w:t>
            </w:r>
          </w:p>
        </w:tc>
        <w:tc>
          <w:tcPr>
            <w:tcW w:type="dxa" w:w="8208"/>
          </w:tcPr>
          <w:p>
            <w:pPr>
              <w:spacing w:line="278" w:lineRule="auto" w:after="0"/>
            </w:pPr>
            <w:r/>
            <w:r>
              <w:rPr>
                <w:rFonts w:ascii="Consolas" w:hAnsi="Consolas"/>
                <w:b w:val="0"/>
                <w:color w:val="526068"/>
                <w:sz w:val="15"/>
              </w:rPr>
              <w:t>event_outbox, usage_outbox — reliable async delivery</w:t>
            </w:r>
          </w:p>
        </w:tc>
      </w:tr>
    </w:tbl>
    <w:p>
      <w:pPr>
        <w:spacing w:after="60"/>
      </w:pPr>
    </w:p>
    <w:p>
      <w:pPr>
        <w:spacing w:before="260" w:after="80" w:line="307" w:lineRule="auto"/>
      </w:pPr>
      <w:r>
        <w:rPr>
          <w:rFonts w:ascii="Calibri" w:hAnsi="Calibri"/>
          <w:b/>
          <w:color w:val="172126"/>
          <w:sz w:val="22"/>
        </w:rPr>
        <w:t>2.8  Tenant isolation: the fifteen exceptions</w:t>
      </w:r>
    </w:p>
    <w:p>
      <w:pPr>
        <w:spacing w:before="0" w:after="140" w:line="307" w:lineRule="auto"/>
      </w:pPr>
      <w:r>
        <w:rPr>
          <w:rFonts w:ascii="Georgia" w:hAnsi="Georgia"/>
          <w:b w:val="0"/>
          <w:color w:val="526068"/>
          <w:sz w:val="19"/>
        </w:rPr>
        <w:t>71 of 86 tables carry a tenant_id, and every query names it explicitly because MySQL has no row-level security. The fifteen that do not fall into three groups, all defensible: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1584"/>
            <w:shd w:val="clear" w:fill="F0F3F4"/>
          </w:tcPr>
          <w:p>
            <w:r/>
            <w:r>
              <w:rPr>
                <w:rFonts w:ascii="Calibri" w:hAnsi="Calibri"/>
                <w:b/>
                <w:color w:val="667279"/>
                <w:sz w:val="13"/>
              </w:rPr>
              <w:t>GROUP</w:t>
            </w:r>
          </w:p>
        </w:tc>
        <w:tc>
          <w:tcPr>
            <w:tcW w:type="dxa" w:w="4752"/>
            <w:shd w:val="clear" w:fill="F0F3F4"/>
          </w:tcPr>
          <w:p>
            <w:r/>
            <w:r>
              <w:rPr>
                <w:rFonts w:ascii="Calibri" w:hAnsi="Calibri"/>
                <w:b/>
                <w:color w:val="667279"/>
                <w:sz w:val="13"/>
              </w:rPr>
              <w:t>TABLES</w:t>
            </w:r>
          </w:p>
        </w:tc>
        <w:tc>
          <w:tcPr>
            <w:tcW w:type="dxa" w:w="3600"/>
            <w:shd w:val="clear" w:fill="F0F3F4"/>
          </w:tcPr>
          <w:p>
            <w:r/>
            <w:r>
              <w:rPr>
                <w:rFonts w:ascii="Calibri" w:hAnsi="Calibri"/>
                <w:b/>
                <w:color w:val="667279"/>
                <w:sz w:val="13"/>
              </w:rPr>
              <w:t>WHY</w:t>
            </w:r>
          </w:p>
        </w:tc>
      </w:tr>
      <w:tr>
        <w:tc>
          <w:tcPr>
            <w:tcW w:type="dxa" w:w="1584"/>
          </w:tcPr>
          <w:p>
            <w:pPr>
              <w:spacing w:line="278" w:lineRule="auto" w:after="0"/>
            </w:pPr>
            <w:r/>
            <w:r>
              <w:rPr>
                <w:rFonts w:ascii="Calibri" w:hAnsi="Calibri"/>
                <w:b/>
                <w:color w:val="172126"/>
                <w:sz w:val="15"/>
              </w:rPr>
              <w:t>Platform catalogue</w:t>
            </w:r>
          </w:p>
        </w:tc>
        <w:tc>
          <w:tcPr>
            <w:tcW w:type="dxa" w:w="4752"/>
          </w:tcPr>
          <w:p>
            <w:pPr>
              <w:spacing w:line="278" w:lineRule="auto" w:after="0"/>
            </w:pPr>
            <w:r/>
            <w:r>
              <w:rPr>
                <w:rFonts w:ascii="Consolas" w:hAnsi="Consolas"/>
                <w:b w:val="0"/>
                <w:color w:val="526068"/>
                <w:sz w:val="15"/>
              </w:rPr>
              <w:t>agent, workflow, artifact_type, ai_model_registry, ai_prompt_version, tenant_permission, supervisor_profile, domain</w:t>
            </w:r>
          </w:p>
        </w:tc>
        <w:tc>
          <w:tcPr>
            <w:tcW w:type="dxa" w:w="3600"/>
          </w:tcPr>
          <w:p>
            <w:pPr>
              <w:spacing w:line="278" w:lineRule="auto" w:after="0"/>
            </w:pPr>
            <w:r/>
            <w:r>
              <w:rPr>
                <w:rFonts w:ascii="Calibri" w:hAnsi="Calibri"/>
                <w:b w:val="0"/>
                <w:color w:val="526068"/>
                <w:sz w:val="15"/>
              </w:rPr>
              <w:t>Shared definitions. Every tenant sees the same agents and the same permission catalogue</w:t>
            </w:r>
          </w:p>
        </w:tc>
      </w:tr>
      <w:tr>
        <w:tc>
          <w:tcPr>
            <w:tcW w:type="dxa" w:w="1584"/>
          </w:tcPr>
          <w:p>
            <w:pPr>
              <w:spacing w:line="278" w:lineRule="auto" w:after="0"/>
            </w:pPr>
            <w:r/>
            <w:r>
              <w:rPr>
                <w:rFonts w:ascii="Calibri" w:hAnsi="Calibri"/>
                <w:b/>
                <w:color w:val="172126"/>
                <w:sz w:val="15"/>
              </w:rPr>
              <w:t>Auth library</w:t>
            </w:r>
          </w:p>
        </w:tc>
        <w:tc>
          <w:tcPr>
            <w:tcW w:type="dxa" w:w="4752"/>
          </w:tcPr>
          <w:p>
            <w:pPr>
              <w:spacing w:line="278" w:lineRule="auto" w:after="0"/>
            </w:pPr>
            <w:r/>
            <w:r>
              <w:rPr>
                <w:rFonts w:ascii="Consolas" w:hAnsi="Consolas"/>
                <w:b w:val="0"/>
                <w:color w:val="526068"/>
                <w:sz w:val="15"/>
              </w:rPr>
              <w:t>user, account, session, verification, twoFactor</w:t>
            </w:r>
          </w:p>
        </w:tc>
        <w:tc>
          <w:tcPr>
            <w:tcW w:type="dxa" w:w="3600"/>
          </w:tcPr>
          <w:p>
            <w:pPr>
              <w:spacing w:line="278" w:lineRule="auto" w:after="0"/>
            </w:pPr>
            <w:r/>
            <w:r>
              <w:rPr>
                <w:rFonts w:ascii="Calibri" w:hAnsi="Calibri"/>
                <w:b w:val="0"/>
                <w:color w:val="526068"/>
                <w:sz w:val="15"/>
              </w:rPr>
              <w:t>Better Auth's own schema. Tenant membership is expressed in app_user and user_role, which ARE scoped</w:t>
            </w:r>
          </w:p>
        </w:tc>
      </w:tr>
      <w:tr>
        <w:tc>
          <w:tcPr>
            <w:tcW w:type="dxa" w:w="1584"/>
          </w:tcPr>
          <w:p>
            <w:pPr>
              <w:spacing w:line="278" w:lineRule="auto" w:after="0"/>
            </w:pPr>
            <w:r/>
            <w:r>
              <w:rPr>
                <w:rFonts w:ascii="Calibri" w:hAnsi="Calibri"/>
                <w:b/>
                <w:color w:val="172126"/>
                <w:sz w:val="15"/>
              </w:rPr>
              <w:t>Child rows</w:t>
            </w:r>
          </w:p>
        </w:tc>
        <w:tc>
          <w:tcPr>
            <w:tcW w:type="dxa" w:w="4752"/>
          </w:tcPr>
          <w:p>
            <w:pPr>
              <w:spacing w:line="278" w:lineRule="auto" w:after="0"/>
            </w:pPr>
            <w:r/>
            <w:r>
              <w:rPr>
                <w:rFonts w:ascii="Consolas" w:hAnsi="Consolas"/>
                <w:b w:val="0"/>
                <w:color w:val="526068"/>
                <w:sz w:val="15"/>
              </w:rPr>
              <w:t>quote_line, rfq_vendor</w:t>
            </w:r>
          </w:p>
        </w:tc>
        <w:tc>
          <w:tcPr>
            <w:tcW w:type="dxa" w:w="3600"/>
          </w:tcPr>
          <w:p>
            <w:pPr>
              <w:spacing w:line="278" w:lineRule="auto" w:after="0"/>
            </w:pPr>
            <w:r/>
            <w:r>
              <w:rPr>
                <w:rFonts w:ascii="Calibri" w:hAnsi="Calibri"/>
                <w:b w:val="0"/>
                <w:color w:val="526068"/>
                <w:sz w:val="15"/>
              </w:rPr>
              <w:t>Scoped through their parent's foreign key rather than repeating the column</w:t>
            </w:r>
          </w:p>
        </w:tc>
      </w:tr>
    </w:tbl>
    <w:p>
      <w:pPr>
        <w:spacing w:after="60"/>
      </w:pP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WORTH A PERIODIC RE-CHECK</w:t>
            </w:r>
          </w:p>
          <w:p>
            <w:pPr>
              <w:spacing w:before="60" w:line="302" w:lineRule="auto"/>
            </w:pPr>
            <w:r>
              <w:rPr>
                <w:rFonts w:ascii="Georgia" w:hAnsi="Georgia"/>
                <w:color w:val="172126"/>
                <w:sz w:val="17"/>
              </w:rPr>
              <w:t>The child-row exception is the one that erodes. A future query that reaches quote_line without joining quote has no tenant predicate and no static scan will miss it, because the column is not there to look for.</w:t>
            </w:r>
          </w:p>
        </w:tc>
      </w:tr>
    </w:tbl>
    <w:p>
      <w:pPr>
        <w:spacing w:after="60"/>
      </w:pPr>
    </w:p>
    <w:p>
      <w:r>
        <w:br w:type="page"/>
      </w:r>
    </w:p>
    <w:p>
      <w:pPr>
        <w:spacing w:before="0" w:after="60" w:line="307" w:lineRule="auto"/>
      </w:pPr>
      <w:r>
        <w:rPr>
          <w:rFonts w:ascii="Consolas" w:hAnsi="Consolas"/>
          <w:b/>
          <w:color w:val="087E75"/>
          <w:sz w:val="15"/>
        </w:rPr>
        <w:t>PART 3</w:t>
      </w:r>
    </w:p>
    <w:p>
      <w:pPr>
        <w:spacing w:before="0" w:after="160" w:line="252" w:lineRule="auto"/>
      </w:pPr>
      <w:r>
        <w:rPr>
          <w:rFonts w:ascii="Georgia" w:hAnsi="Georgia"/>
          <w:b/>
          <w:color w:val="172126"/>
          <w:sz w:val="38"/>
        </w:rPr>
        <w:t>The AI stack</w:t>
      </w:r>
    </w:p>
    <w:p>
      <w:pPr>
        <w:spacing w:before="0" w:after="200" w:line="307" w:lineRule="auto"/>
      </w:pPr>
      <w:r>
        <w:rPr>
          <w:rFonts w:ascii="Georgia" w:hAnsi="Georgia"/>
          <w:b w:val="0"/>
          <w:color w:val="526068"/>
          <w:sz w:val="21"/>
        </w:rPr>
        <w:t>What is actually used, what is configured but idle, and what is specified but absent.</w:t>
      </w:r>
    </w:p>
    <w:p>
      <w:pPr>
        <w:spacing w:before="260" w:after="80" w:line="307" w:lineRule="auto"/>
      </w:pPr>
      <w:r>
        <w:rPr>
          <w:rFonts w:ascii="Calibri" w:hAnsi="Calibri"/>
          <w:b/>
          <w:color w:val="172126"/>
          <w:sz w:val="22"/>
        </w:rPr>
        <w:t>2.1  Models and providers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1728"/>
            <w:shd w:val="clear" w:fill="F0F3F4"/>
          </w:tcPr>
          <w:p>
            <w:r/>
            <w:r>
              <w:rPr>
                <w:rFonts w:ascii="Calibri" w:hAnsi="Calibri"/>
                <w:b/>
                <w:color w:val="667279"/>
                <w:sz w:val="13"/>
              </w:rPr>
              <w:t>LAYER</w:t>
            </w:r>
          </w:p>
        </w:tc>
        <w:tc>
          <w:tcPr>
            <w:tcW w:type="dxa" w:w="6192"/>
            <w:shd w:val="clear" w:fill="F0F3F4"/>
          </w:tcPr>
          <w:p>
            <w:r/>
            <w:r>
              <w:rPr>
                <w:rFonts w:ascii="Calibri" w:hAnsi="Calibri"/>
                <w:b/>
                <w:color w:val="667279"/>
                <w:sz w:val="13"/>
              </w:rPr>
              <w:t>CHOICE</w:t>
            </w:r>
          </w:p>
        </w:tc>
        <w:tc>
          <w:tcPr>
            <w:tcW w:type="dxa" w:w="1008"/>
            <w:shd w:val="clear" w:fill="F0F3F4"/>
          </w:tcPr>
          <w:p>
            <w:r/>
            <w:r>
              <w:rPr>
                <w:rFonts w:ascii="Calibri" w:hAnsi="Calibri"/>
                <w:b/>
                <w:color w:val="667279"/>
                <w:sz w:val="13"/>
              </w:rPr>
              <w:t>STATE</w:t>
            </w:r>
          </w:p>
        </w:tc>
      </w:tr>
      <w:tr>
        <w:tc>
          <w:tcPr>
            <w:tcW w:type="dxa" w:w="1728"/>
          </w:tcPr>
          <w:p>
            <w:pPr>
              <w:spacing w:line="278" w:lineRule="auto" w:after="0"/>
            </w:pPr>
            <w:r/>
            <w:r>
              <w:rPr>
                <w:rFonts w:ascii="Calibri" w:hAnsi="Calibri"/>
                <w:b/>
                <w:color w:val="172126"/>
                <w:sz w:val="15"/>
              </w:rPr>
              <w:t>Provider</w:t>
            </w:r>
          </w:p>
        </w:tc>
        <w:tc>
          <w:tcPr>
            <w:tcW w:type="dxa" w:w="6192"/>
          </w:tcPr>
          <w:p>
            <w:pPr>
              <w:spacing w:line="278" w:lineRule="auto" w:after="0"/>
            </w:pPr>
            <w:r/>
            <w:r>
              <w:rPr>
                <w:rFonts w:ascii="Calibri" w:hAnsi="Calibri"/>
                <w:b w:val="0"/>
                <w:color w:val="526068"/>
                <w:sz w:val="15"/>
              </w:rPr>
              <w:t>Anthropic — the only one wired</w:t>
            </w:r>
          </w:p>
        </w:tc>
        <w:tc>
          <w:tcPr>
            <w:tcW w:type="dxa" w:w="1008"/>
            <w:shd w:val="clear" w:fill="E6F3F1"/>
          </w:tcPr>
          <w:p>
            <w:pPr>
              <w:spacing w:line="278" w:lineRule="auto" w:after="0"/>
            </w:pPr>
            <w:r/>
            <w:r>
              <w:rPr>
                <w:rFonts w:ascii="Calibri" w:hAnsi="Calibri"/>
                <w:b/>
                <w:color w:val="087E75"/>
                <w:sz w:val="15"/>
              </w:rPr>
              <w:t>Built</w:t>
            </w:r>
          </w:p>
        </w:tc>
      </w:tr>
      <w:tr>
        <w:tc>
          <w:tcPr>
            <w:tcW w:type="dxa" w:w="1728"/>
          </w:tcPr>
          <w:p>
            <w:pPr>
              <w:spacing w:line="278" w:lineRule="auto" w:after="0"/>
            </w:pPr>
            <w:r/>
            <w:r>
              <w:rPr>
                <w:rFonts w:ascii="Calibri" w:hAnsi="Calibri"/>
                <w:b/>
                <w:color w:val="172126"/>
                <w:sz w:val="15"/>
              </w:rPr>
              <w:t>Frontier</w:t>
            </w:r>
          </w:p>
        </w:tc>
        <w:tc>
          <w:tcPr>
            <w:tcW w:type="dxa" w:w="6192"/>
          </w:tcPr>
          <w:p>
            <w:pPr>
              <w:spacing w:line="278" w:lineRule="auto" w:after="0"/>
            </w:pPr>
            <w:r/>
            <w:r>
              <w:rPr>
                <w:rFonts w:ascii="Calibri" w:hAnsi="Calibri"/>
                <w:b w:val="0"/>
                <w:color w:val="526068"/>
                <w:sz w:val="15"/>
              </w:rPr>
              <w:t>claude-opus-4-8 via frontier-reasoning / frontier-multimodal</w:t>
            </w:r>
          </w:p>
        </w:tc>
        <w:tc>
          <w:tcPr>
            <w:tcW w:type="dxa" w:w="1008"/>
            <w:shd w:val="clear" w:fill="E6F3F1"/>
          </w:tcPr>
          <w:p>
            <w:pPr>
              <w:spacing w:line="278" w:lineRule="auto" w:after="0"/>
            </w:pPr>
            <w:r/>
            <w:r>
              <w:rPr>
                <w:rFonts w:ascii="Calibri" w:hAnsi="Calibri"/>
                <w:b/>
                <w:color w:val="087E75"/>
                <w:sz w:val="15"/>
              </w:rPr>
              <w:t>Built</w:t>
            </w:r>
          </w:p>
        </w:tc>
      </w:tr>
      <w:tr>
        <w:tc>
          <w:tcPr>
            <w:tcW w:type="dxa" w:w="1728"/>
          </w:tcPr>
          <w:p>
            <w:pPr>
              <w:spacing w:line="278" w:lineRule="auto" w:after="0"/>
            </w:pPr>
            <w:r/>
            <w:r>
              <w:rPr>
                <w:rFonts w:ascii="Calibri" w:hAnsi="Calibri"/>
                <w:b/>
                <w:color w:val="172126"/>
                <w:sz w:val="15"/>
              </w:rPr>
              <w:t>Standard</w:t>
            </w:r>
          </w:p>
        </w:tc>
        <w:tc>
          <w:tcPr>
            <w:tcW w:type="dxa" w:w="6192"/>
          </w:tcPr>
          <w:p>
            <w:pPr>
              <w:spacing w:line="278" w:lineRule="auto" w:after="0"/>
            </w:pPr>
            <w:r/>
            <w:r>
              <w:rPr>
                <w:rFonts w:ascii="Calibri" w:hAnsi="Calibri"/>
                <w:b w:val="0"/>
                <w:color w:val="526068"/>
                <w:sz w:val="15"/>
              </w:rPr>
              <w:t>claude-sonnet-5 via preckon-reasoning / preckon-multimodal</w:t>
            </w:r>
          </w:p>
        </w:tc>
        <w:tc>
          <w:tcPr>
            <w:tcW w:type="dxa" w:w="1008"/>
            <w:shd w:val="clear" w:fill="E6F3F1"/>
          </w:tcPr>
          <w:p>
            <w:pPr>
              <w:spacing w:line="278" w:lineRule="auto" w:after="0"/>
            </w:pPr>
            <w:r/>
            <w:r>
              <w:rPr>
                <w:rFonts w:ascii="Calibri" w:hAnsi="Calibri"/>
                <w:b/>
                <w:color w:val="087E75"/>
                <w:sz w:val="15"/>
              </w:rPr>
              <w:t>Built</w:t>
            </w:r>
          </w:p>
        </w:tc>
      </w:tr>
      <w:tr>
        <w:tc>
          <w:tcPr>
            <w:tcW w:type="dxa" w:w="1728"/>
          </w:tcPr>
          <w:p>
            <w:pPr>
              <w:spacing w:line="278" w:lineRule="auto" w:after="0"/>
            </w:pPr>
            <w:r/>
            <w:r>
              <w:rPr>
                <w:rFonts w:ascii="Calibri" w:hAnsi="Calibri"/>
                <w:b/>
                <w:color w:val="172126"/>
                <w:sz w:val="15"/>
              </w:rPr>
              <w:t>Routing</w:t>
            </w:r>
          </w:p>
        </w:tc>
        <w:tc>
          <w:tcPr>
            <w:tcW w:type="dxa" w:w="6192"/>
          </w:tcPr>
          <w:p>
            <w:pPr>
              <w:spacing w:line="278" w:lineRule="auto" w:after="0"/>
            </w:pPr>
            <w:r/>
            <w:r>
              <w:rPr>
                <w:rFonts w:ascii="Calibri" w:hAnsi="Calibri"/>
                <w:b w:val="0"/>
                <w:color w:val="526068"/>
                <w:sz w:val="15"/>
              </w:rPr>
              <w:t>claude-haiku-4-5 via preckon-small</w:t>
            </w:r>
          </w:p>
        </w:tc>
        <w:tc>
          <w:tcPr>
            <w:tcW w:type="dxa" w:w="1008"/>
            <w:shd w:val="clear" w:fill="E6F3F1"/>
          </w:tcPr>
          <w:p>
            <w:pPr>
              <w:spacing w:line="278" w:lineRule="auto" w:after="0"/>
            </w:pPr>
            <w:r/>
            <w:r>
              <w:rPr>
                <w:rFonts w:ascii="Calibri" w:hAnsi="Calibri"/>
                <w:b/>
                <w:color w:val="087E75"/>
                <w:sz w:val="15"/>
              </w:rPr>
              <w:t>Built</w:t>
            </w:r>
          </w:p>
        </w:tc>
      </w:tr>
      <w:tr>
        <w:tc>
          <w:tcPr>
            <w:tcW w:type="dxa" w:w="1728"/>
          </w:tcPr>
          <w:p>
            <w:pPr>
              <w:spacing w:line="278" w:lineRule="auto" w:after="0"/>
            </w:pPr>
            <w:r/>
            <w:r>
              <w:rPr>
                <w:rFonts w:ascii="Calibri" w:hAnsi="Calibri"/>
                <w:b/>
                <w:color w:val="172126"/>
                <w:sz w:val="15"/>
              </w:rPr>
              <w:t>Embeddings</w:t>
            </w:r>
          </w:p>
        </w:tc>
        <w:tc>
          <w:tcPr>
            <w:tcW w:type="dxa" w:w="6192"/>
          </w:tcPr>
          <w:p>
            <w:pPr>
              <w:spacing w:line="278" w:lineRule="auto" w:after="0"/>
            </w:pPr>
            <w:r/>
            <w:r>
              <w:rPr>
                <w:rFonts w:ascii="Calibri" w:hAnsi="Calibri"/>
                <w:b w:val="0"/>
                <w:color w:val="526068"/>
                <w:sz w:val="15"/>
              </w:rPr>
              <w:t>None. No OpenAI, no Voyage, no local encoder</w:t>
            </w:r>
          </w:p>
        </w:tc>
        <w:tc>
          <w:tcPr>
            <w:tcW w:type="dxa" w:w="1008"/>
            <w:shd w:val="clear" w:fill="FBEAE8"/>
          </w:tcPr>
          <w:p>
            <w:pPr>
              <w:spacing w:line="278" w:lineRule="auto" w:after="0"/>
            </w:pPr>
            <w:r/>
            <w:r>
              <w:rPr>
                <w:rFonts w:ascii="Calibri" w:hAnsi="Calibri"/>
                <w:b/>
                <w:color w:val="B42318"/>
                <w:sz w:val="15"/>
              </w:rPr>
              <w:t>Absent</w:t>
            </w:r>
          </w:p>
        </w:tc>
      </w:tr>
      <w:tr>
        <w:tc>
          <w:tcPr>
            <w:tcW w:type="dxa" w:w="1728"/>
          </w:tcPr>
          <w:p>
            <w:pPr>
              <w:spacing w:line="278" w:lineRule="auto" w:after="0"/>
            </w:pPr>
            <w:r/>
            <w:r>
              <w:rPr>
                <w:rFonts w:ascii="Calibri" w:hAnsi="Calibri"/>
                <w:b/>
                <w:color w:val="172126"/>
                <w:sz w:val="15"/>
              </w:rPr>
              <w:t>Second provider</w:t>
            </w:r>
          </w:p>
        </w:tc>
        <w:tc>
          <w:tcPr>
            <w:tcW w:type="dxa" w:w="6192"/>
          </w:tcPr>
          <w:p>
            <w:pPr>
              <w:spacing w:line="278" w:lineRule="auto" w:after="0"/>
            </w:pPr>
            <w:r/>
            <w:r>
              <w:rPr>
                <w:rFonts w:ascii="Calibri" w:hAnsi="Calibri"/>
                <w:b w:val="0"/>
                <w:color w:val="526068"/>
                <w:sz w:val="15"/>
              </w:rPr>
              <w:t>None. An outage stops all AI work</w:t>
            </w:r>
          </w:p>
        </w:tc>
        <w:tc>
          <w:tcPr>
            <w:tcW w:type="dxa" w:w="1008"/>
            <w:shd w:val="clear" w:fill="FBEAE8"/>
          </w:tcPr>
          <w:p>
            <w:pPr>
              <w:spacing w:line="278" w:lineRule="auto" w:after="0"/>
            </w:pPr>
            <w:r/>
            <w:r>
              <w:rPr>
                <w:rFonts w:ascii="Calibri" w:hAnsi="Calibri"/>
                <w:b/>
                <w:color w:val="B42318"/>
                <w:sz w:val="15"/>
              </w:rPr>
              <w:t>Absent</w:t>
            </w:r>
          </w:p>
        </w:tc>
      </w:tr>
      <w:tr>
        <w:tc>
          <w:tcPr>
            <w:tcW w:type="dxa" w:w="1728"/>
          </w:tcPr>
          <w:p>
            <w:pPr>
              <w:spacing w:line="278" w:lineRule="auto" w:after="0"/>
            </w:pPr>
            <w:r/>
            <w:r>
              <w:rPr>
                <w:rFonts w:ascii="Calibri" w:hAnsi="Calibri"/>
                <w:b/>
                <w:color w:val="172126"/>
                <w:sz w:val="15"/>
              </w:rPr>
              <w:t>Self-hosted</w:t>
            </w:r>
          </w:p>
        </w:tc>
        <w:tc>
          <w:tcPr>
            <w:tcW w:type="dxa" w:w="6192"/>
          </w:tcPr>
          <w:p>
            <w:pPr>
              <w:spacing w:line="278" w:lineRule="auto" w:after="0"/>
            </w:pPr>
            <w:r/>
            <w:r>
              <w:rPr>
                <w:rFonts w:ascii="Calibri" w:hAnsi="Calibri"/>
                <w:b w:val="0"/>
                <w:color w:val="526068"/>
                <w:sz w:val="15"/>
              </w:rPr>
              <w:t>Ollama present on the host, not wired into the fabric</w:t>
            </w:r>
          </w:p>
        </w:tc>
        <w:tc>
          <w:tcPr>
            <w:tcW w:type="dxa" w:w="1008"/>
          </w:tcPr>
          <w:p>
            <w:pPr>
              <w:spacing w:line="278" w:lineRule="auto" w:after="0"/>
            </w:pPr>
            <w:r/>
            <w:r>
              <w:rPr>
                <w:rFonts w:ascii="Calibri" w:hAnsi="Calibri"/>
                <w:b/>
                <w:color w:val="667279"/>
                <w:sz w:val="15"/>
              </w:rPr>
              <w:t>Planned</w:t>
            </w:r>
          </w:p>
        </w:tc>
      </w:tr>
    </w:tbl>
    <w:p>
      <w:pPr>
        <w:spacing w:after="60"/>
      </w:pPr>
    </w:p>
    <w:p>
      <w:pPr>
        <w:spacing w:before="260" w:after="80" w:line="307" w:lineRule="auto"/>
      </w:pPr>
      <w:r>
        <w:rPr>
          <w:rFonts w:ascii="Calibri" w:hAnsi="Calibri"/>
          <w:b/>
          <w:color w:val="172126"/>
          <w:sz w:val="22"/>
        </w:rPr>
        <w:t>2.2  The model registry — and the alias that is now behind</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016"/>
        <w:gridCol w:w="2016"/>
        <w:gridCol w:w="2016"/>
        <w:gridCol w:w="2016"/>
        <w:gridCol w:w="2016"/>
      </w:tblGrid>
      <w:tr>
        <w:tc>
          <w:tcPr>
            <w:tcW w:type="dxa" w:w="2160"/>
            <w:shd w:val="clear" w:fill="F0F3F4"/>
          </w:tcPr>
          <w:p>
            <w:r/>
            <w:r>
              <w:rPr>
                <w:rFonts w:ascii="Calibri" w:hAnsi="Calibri"/>
                <w:b/>
                <w:color w:val="667279"/>
                <w:sz w:val="13"/>
              </w:rPr>
              <w:t>ALIAS</w:t>
            </w:r>
          </w:p>
        </w:tc>
        <w:tc>
          <w:tcPr>
            <w:tcW w:type="dxa" w:w="2304"/>
            <w:shd w:val="clear" w:fill="F0F3F4"/>
          </w:tcPr>
          <w:p>
            <w:r/>
            <w:r>
              <w:rPr>
                <w:rFonts w:ascii="Calibri" w:hAnsi="Calibri"/>
                <w:b/>
                <w:color w:val="667279"/>
                <w:sz w:val="13"/>
              </w:rPr>
              <w:t>PROVIDER_MODEL</w:t>
            </w:r>
          </w:p>
        </w:tc>
        <w:tc>
          <w:tcPr>
            <w:tcW w:type="dxa" w:w="1008"/>
            <w:shd w:val="clear" w:fill="F0F3F4"/>
          </w:tcPr>
          <w:p>
            <w:r/>
            <w:r>
              <w:rPr>
                <w:rFonts w:ascii="Calibri" w:hAnsi="Calibri"/>
                <w:b/>
                <w:color w:val="667279"/>
                <w:sz w:val="13"/>
              </w:rPr>
              <w:t>FRONTIER</w:t>
            </w:r>
          </w:p>
        </w:tc>
        <w:tc>
          <w:tcPr>
            <w:tcW w:type="dxa" w:w="1152"/>
            <w:shd w:val="clear" w:fill="F0F3F4"/>
          </w:tcPr>
          <w:p>
            <w:r/>
            <w:r>
              <w:rPr>
                <w:rFonts w:ascii="Calibri" w:hAnsi="Calibri"/>
                <w:b/>
                <w:color w:val="667279"/>
                <w:sz w:val="13"/>
              </w:rPr>
              <w:t>STATUS</w:t>
            </w:r>
          </w:p>
        </w:tc>
        <w:tc>
          <w:tcPr>
            <w:tcW w:type="dxa" w:w="1872"/>
            <w:shd w:val="clear" w:fill="F0F3F4"/>
          </w:tcPr>
          <w:p>
            <w:r/>
            <w:r>
              <w:rPr>
                <w:rFonts w:ascii="Calibri" w:hAnsi="Calibri"/>
                <w:b/>
                <w:color w:val="667279"/>
                <w:sz w:val="13"/>
              </w:rPr>
              <w:t>EVALUATION</w:t>
            </w:r>
          </w:p>
        </w:tc>
      </w:tr>
      <w:tr>
        <w:tc>
          <w:tcPr>
            <w:tcW w:type="dxa" w:w="2160"/>
          </w:tcPr>
          <w:p>
            <w:pPr>
              <w:spacing w:line="278" w:lineRule="auto" w:after="0"/>
            </w:pPr>
            <w:r/>
            <w:r>
              <w:rPr>
                <w:rFonts w:ascii="Consolas" w:hAnsi="Consolas"/>
                <w:b/>
                <w:color w:val="172126"/>
                <w:sz w:val="15"/>
              </w:rPr>
              <w:t>frontier-reasoning</w:t>
            </w:r>
          </w:p>
        </w:tc>
        <w:tc>
          <w:tcPr>
            <w:tcW w:type="dxa" w:w="2304"/>
          </w:tcPr>
          <w:p>
            <w:pPr>
              <w:spacing w:line="278" w:lineRule="auto" w:after="0"/>
            </w:pPr>
            <w:r/>
            <w:r>
              <w:rPr>
                <w:rFonts w:ascii="Consolas" w:hAnsi="Consolas"/>
                <w:b w:val="0"/>
                <w:color w:val="526068"/>
                <w:sz w:val="15"/>
              </w:rPr>
              <w:t>claude-opus-4-8</w:t>
            </w:r>
          </w:p>
        </w:tc>
        <w:tc>
          <w:tcPr>
            <w:tcW w:type="dxa" w:w="1008"/>
          </w:tcPr>
          <w:p>
            <w:pPr>
              <w:spacing w:line="278" w:lineRule="auto" w:after="0"/>
            </w:pPr>
            <w:r/>
            <w:r>
              <w:rPr>
                <w:rFonts w:ascii="Calibri" w:hAnsi="Calibri"/>
                <w:b w:val="0"/>
                <w:color w:val="526068"/>
                <w:sz w:val="15"/>
              </w:rPr>
              <w:t>yes</w:t>
            </w:r>
          </w:p>
        </w:tc>
        <w:tc>
          <w:tcPr>
            <w:tcW w:type="dxa" w:w="1152"/>
          </w:tcPr>
          <w:p>
            <w:pPr>
              <w:spacing w:line="278" w:lineRule="auto" w:after="0"/>
            </w:pPr>
            <w:r/>
            <w:r>
              <w:rPr>
                <w:rFonts w:ascii="Calibri" w:hAnsi="Calibri"/>
                <w:b w:val="0"/>
                <w:color w:val="526068"/>
                <w:sz w:val="15"/>
              </w:rPr>
              <w:t>approved</w:t>
            </w:r>
          </w:p>
        </w:tc>
        <w:tc>
          <w:tcPr>
            <w:tcW w:type="dxa" w:w="1872"/>
          </w:tcPr>
          <w:p>
            <w:pPr>
              <w:spacing w:line="278" w:lineRule="auto" w:after="0"/>
            </w:pPr>
            <w:r/>
            <w:r>
              <w:rPr>
                <w:rFonts w:ascii="Consolas" w:hAnsi="Consolas"/>
                <w:b w:val="0"/>
                <w:color w:val="526068"/>
                <w:sz w:val="15"/>
              </w:rPr>
              <w:t>seed-2026-08</w:t>
            </w:r>
          </w:p>
        </w:tc>
      </w:tr>
      <w:tr>
        <w:tc>
          <w:tcPr>
            <w:tcW w:type="dxa" w:w="2160"/>
          </w:tcPr>
          <w:p>
            <w:pPr>
              <w:spacing w:line="278" w:lineRule="auto" w:after="0"/>
            </w:pPr>
            <w:r/>
            <w:r>
              <w:rPr>
                <w:rFonts w:ascii="Consolas" w:hAnsi="Consolas"/>
                <w:b/>
                <w:color w:val="172126"/>
                <w:sz w:val="15"/>
              </w:rPr>
              <w:t>frontier-multimodal</w:t>
            </w:r>
          </w:p>
        </w:tc>
        <w:tc>
          <w:tcPr>
            <w:tcW w:type="dxa" w:w="2304"/>
          </w:tcPr>
          <w:p>
            <w:pPr>
              <w:spacing w:line="278" w:lineRule="auto" w:after="0"/>
            </w:pPr>
            <w:r/>
            <w:r>
              <w:rPr>
                <w:rFonts w:ascii="Consolas" w:hAnsi="Consolas"/>
                <w:b w:val="0"/>
                <w:color w:val="526068"/>
                <w:sz w:val="15"/>
              </w:rPr>
              <w:t>claude-opus-4-8</w:t>
            </w:r>
          </w:p>
        </w:tc>
        <w:tc>
          <w:tcPr>
            <w:tcW w:type="dxa" w:w="1008"/>
          </w:tcPr>
          <w:p>
            <w:pPr>
              <w:spacing w:line="278" w:lineRule="auto" w:after="0"/>
            </w:pPr>
            <w:r/>
            <w:r>
              <w:rPr>
                <w:rFonts w:ascii="Calibri" w:hAnsi="Calibri"/>
                <w:b w:val="0"/>
                <w:color w:val="526068"/>
                <w:sz w:val="15"/>
              </w:rPr>
              <w:t>yes</w:t>
            </w:r>
          </w:p>
        </w:tc>
        <w:tc>
          <w:tcPr>
            <w:tcW w:type="dxa" w:w="1152"/>
          </w:tcPr>
          <w:p>
            <w:pPr>
              <w:spacing w:line="278" w:lineRule="auto" w:after="0"/>
            </w:pPr>
            <w:r/>
            <w:r>
              <w:rPr>
                <w:rFonts w:ascii="Calibri" w:hAnsi="Calibri"/>
                <w:b w:val="0"/>
                <w:color w:val="526068"/>
                <w:sz w:val="15"/>
              </w:rPr>
              <w:t>approved</w:t>
            </w:r>
          </w:p>
        </w:tc>
        <w:tc>
          <w:tcPr>
            <w:tcW w:type="dxa" w:w="1872"/>
          </w:tcPr>
          <w:p>
            <w:pPr>
              <w:spacing w:line="278" w:lineRule="auto" w:after="0"/>
            </w:pPr>
            <w:r/>
            <w:r>
              <w:rPr>
                <w:rFonts w:ascii="Consolas" w:hAnsi="Consolas"/>
                <w:b w:val="0"/>
                <w:color w:val="526068"/>
                <w:sz w:val="15"/>
              </w:rPr>
              <w:t>seed-2026-08</w:t>
            </w:r>
          </w:p>
        </w:tc>
      </w:tr>
      <w:tr>
        <w:tc>
          <w:tcPr>
            <w:tcW w:type="dxa" w:w="2160"/>
          </w:tcPr>
          <w:p>
            <w:pPr>
              <w:spacing w:line="278" w:lineRule="auto" w:after="0"/>
            </w:pPr>
            <w:r/>
            <w:r>
              <w:rPr>
                <w:rFonts w:ascii="Consolas" w:hAnsi="Consolas"/>
                <w:b/>
                <w:color w:val="172126"/>
                <w:sz w:val="15"/>
              </w:rPr>
              <w:t>preckon-reasoning</w:t>
            </w:r>
          </w:p>
        </w:tc>
        <w:tc>
          <w:tcPr>
            <w:tcW w:type="dxa" w:w="2304"/>
          </w:tcPr>
          <w:p>
            <w:pPr>
              <w:spacing w:line="278" w:lineRule="auto" w:after="0"/>
            </w:pPr>
            <w:r/>
            <w:r>
              <w:rPr>
                <w:rFonts w:ascii="Consolas" w:hAnsi="Consolas"/>
                <w:b w:val="0"/>
                <w:color w:val="526068"/>
                <w:sz w:val="15"/>
              </w:rPr>
              <w:t>claude-sonnet-5</w:t>
            </w:r>
          </w:p>
        </w:tc>
        <w:tc>
          <w:tcPr>
            <w:tcW w:type="dxa" w:w="1008"/>
          </w:tcPr>
          <w:p>
            <w:pPr>
              <w:spacing w:line="278" w:lineRule="auto" w:after="0"/>
            </w:pPr>
            <w:r/>
            <w:r>
              <w:rPr>
                <w:rFonts w:ascii="Calibri" w:hAnsi="Calibri"/>
                <w:b w:val="0"/>
                <w:color w:val="526068"/>
                <w:sz w:val="15"/>
              </w:rPr>
              <w:t>no</w:t>
            </w:r>
          </w:p>
        </w:tc>
        <w:tc>
          <w:tcPr>
            <w:tcW w:type="dxa" w:w="1152"/>
          </w:tcPr>
          <w:p>
            <w:pPr>
              <w:spacing w:line="278" w:lineRule="auto" w:after="0"/>
            </w:pPr>
            <w:r/>
            <w:r>
              <w:rPr>
                <w:rFonts w:ascii="Calibri" w:hAnsi="Calibri"/>
                <w:b w:val="0"/>
                <w:color w:val="526068"/>
                <w:sz w:val="15"/>
              </w:rPr>
              <w:t>approved</w:t>
            </w:r>
          </w:p>
        </w:tc>
        <w:tc>
          <w:tcPr>
            <w:tcW w:type="dxa" w:w="1872"/>
          </w:tcPr>
          <w:p>
            <w:pPr>
              <w:spacing w:line="278" w:lineRule="auto" w:after="0"/>
            </w:pPr>
            <w:r/>
            <w:r>
              <w:rPr>
                <w:rFonts w:ascii="Consolas" w:hAnsi="Consolas"/>
                <w:b w:val="0"/>
                <w:color w:val="526068"/>
                <w:sz w:val="15"/>
              </w:rPr>
              <w:t>seed-2026-08</w:t>
            </w:r>
          </w:p>
        </w:tc>
      </w:tr>
      <w:tr>
        <w:tc>
          <w:tcPr>
            <w:tcW w:type="dxa" w:w="2160"/>
          </w:tcPr>
          <w:p>
            <w:pPr>
              <w:spacing w:line="278" w:lineRule="auto" w:after="0"/>
            </w:pPr>
            <w:r/>
            <w:r>
              <w:rPr>
                <w:rFonts w:ascii="Consolas" w:hAnsi="Consolas"/>
                <w:b/>
                <w:color w:val="172126"/>
                <w:sz w:val="15"/>
              </w:rPr>
              <w:t>preckon-multimodal</w:t>
            </w:r>
          </w:p>
        </w:tc>
        <w:tc>
          <w:tcPr>
            <w:tcW w:type="dxa" w:w="2304"/>
          </w:tcPr>
          <w:p>
            <w:pPr>
              <w:spacing w:line="278" w:lineRule="auto" w:after="0"/>
            </w:pPr>
            <w:r/>
            <w:r>
              <w:rPr>
                <w:rFonts w:ascii="Consolas" w:hAnsi="Consolas"/>
                <w:b w:val="0"/>
                <w:color w:val="526068"/>
                <w:sz w:val="15"/>
              </w:rPr>
              <w:t>claude-sonnet-5</w:t>
            </w:r>
          </w:p>
        </w:tc>
        <w:tc>
          <w:tcPr>
            <w:tcW w:type="dxa" w:w="1008"/>
          </w:tcPr>
          <w:p>
            <w:pPr>
              <w:spacing w:line="278" w:lineRule="auto" w:after="0"/>
            </w:pPr>
            <w:r/>
            <w:r>
              <w:rPr>
                <w:rFonts w:ascii="Calibri" w:hAnsi="Calibri"/>
                <w:b w:val="0"/>
                <w:color w:val="526068"/>
                <w:sz w:val="15"/>
              </w:rPr>
              <w:t>no</w:t>
            </w:r>
          </w:p>
        </w:tc>
        <w:tc>
          <w:tcPr>
            <w:tcW w:type="dxa" w:w="1152"/>
          </w:tcPr>
          <w:p>
            <w:pPr>
              <w:spacing w:line="278" w:lineRule="auto" w:after="0"/>
            </w:pPr>
            <w:r/>
            <w:r>
              <w:rPr>
                <w:rFonts w:ascii="Calibri" w:hAnsi="Calibri"/>
                <w:b w:val="0"/>
                <w:color w:val="526068"/>
                <w:sz w:val="15"/>
              </w:rPr>
              <w:t>approved</w:t>
            </w:r>
          </w:p>
        </w:tc>
        <w:tc>
          <w:tcPr>
            <w:tcW w:type="dxa" w:w="1872"/>
          </w:tcPr>
          <w:p>
            <w:pPr>
              <w:spacing w:line="278" w:lineRule="auto" w:after="0"/>
            </w:pPr>
            <w:r/>
            <w:r>
              <w:rPr>
                <w:rFonts w:ascii="Consolas" w:hAnsi="Consolas"/>
                <w:b w:val="0"/>
                <w:color w:val="526068"/>
                <w:sz w:val="15"/>
              </w:rPr>
              <w:t>seed-2026-08</w:t>
            </w:r>
          </w:p>
        </w:tc>
      </w:tr>
      <w:tr>
        <w:tc>
          <w:tcPr>
            <w:tcW w:type="dxa" w:w="2160"/>
          </w:tcPr>
          <w:p>
            <w:pPr>
              <w:spacing w:line="278" w:lineRule="auto" w:after="0"/>
            </w:pPr>
            <w:r/>
            <w:r>
              <w:rPr>
                <w:rFonts w:ascii="Consolas" w:hAnsi="Consolas"/>
                <w:b/>
                <w:color w:val="172126"/>
                <w:sz w:val="15"/>
              </w:rPr>
              <w:t>preckon-small</w:t>
            </w:r>
          </w:p>
        </w:tc>
        <w:tc>
          <w:tcPr>
            <w:tcW w:type="dxa" w:w="2304"/>
          </w:tcPr>
          <w:p>
            <w:pPr>
              <w:spacing w:line="278" w:lineRule="auto" w:after="0"/>
            </w:pPr>
            <w:r/>
            <w:r>
              <w:rPr>
                <w:rFonts w:ascii="Consolas" w:hAnsi="Consolas"/>
                <w:b w:val="0"/>
                <w:color w:val="526068"/>
                <w:sz w:val="15"/>
              </w:rPr>
              <w:t>claude-haiku-4-5</w:t>
            </w:r>
          </w:p>
        </w:tc>
        <w:tc>
          <w:tcPr>
            <w:tcW w:type="dxa" w:w="1008"/>
          </w:tcPr>
          <w:p>
            <w:pPr>
              <w:spacing w:line="278" w:lineRule="auto" w:after="0"/>
            </w:pPr>
            <w:r/>
            <w:r>
              <w:rPr>
                <w:rFonts w:ascii="Calibri" w:hAnsi="Calibri"/>
                <w:b w:val="0"/>
                <w:color w:val="526068"/>
                <w:sz w:val="15"/>
              </w:rPr>
              <w:t>no</w:t>
            </w:r>
          </w:p>
        </w:tc>
        <w:tc>
          <w:tcPr>
            <w:tcW w:type="dxa" w:w="1152"/>
          </w:tcPr>
          <w:p>
            <w:pPr>
              <w:spacing w:line="278" w:lineRule="auto" w:after="0"/>
            </w:pPr>
            <w:r/>
            <w:r>
              <w:rPr>
                <w:rFonts w:ascii="Calibri" w:hAnsi="Calibri"/>
                <w:b w:val="0"/>
                <w:color w:val="526068"/>
                <w:sz w:val="15"/>
              </w:rPr>
              <w:t>approved</w:t>
            </w:r>
          </w:p>
        </w:tc>
        <w:tc>
          <w:tcPr>
            <w:tcW w:type="dxa" w:w="1872"/>
          </w:tcPr>
          <w:p>
            <w:pPr>
              <w:spacing w:line="278" w:lineRule="auto" w:after="0"/>
            </w:pPr>
            <w:r/>
            <w:r>
              <w:rPr>
                <w:rFonts w:ascii="Consolas" w:hAnsi="Consolas"/>
                <w:b w:val="0"/>
                <w:color w:val="526068"/>
                <w:sz w:val="15"/>
              </w:rPr>
              <w:t>seed-2026-08</w:t>
            </w:r>
          </w:p>
        </w:tc>
      </w:tr>
    </w:tbl>
    <w:p>
      <w:pPr>
        <w:spacing w:after="60"/>
      </w:pPr>
    </w:p>
    <w:p>
      <w:pPr>
        <w:spacing w:before="0" w:after="140" w:line="307" w:lineRule="auto"/>
      </w:pPr>
      <w:r>
        <w:rPr>
          <w:rFonts w:ascii="Georgia" w:hAnsi="Georgia"/>
          <w:b w:val="0"/>
          <w:color w:val="526068"/>
          <w:sz w:val="19"/>
        </w:rPr>
        <w:t>Opus 5 is the current Opus-tier model; the frontier aliases still point at claude-opus-4-8. Because the mapping lives in a table rather than in code, moving it is an UPDATE - which is the entire purpose of the alias layer and the reason the platform can change models without a deploy.</w:t>
      </w: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BENCHMARK BEFORE SWITCHING, NOT AFTER</w:t>
            </w:r>
          </w:p>
          <w:p>
            <w:pPr>
              <w:spacing w:before="60" w:line="302" w:lineRule="auto"/>
            </w:pPr>
            <w:r>
              <w:rPr>
                <w:rFonts w:ascii="Georgia" w:hAnsi="Georgia"/>
                <w:color w:val="172126"/>
                <w:sz w:val="17"/>
              </w:rPr>
              <w:t>The registry makes the change trivial, which is exactly why it should not be made casually: 18 of 23 task types resolve to the frontier tier, so this alias governs most of what the product produces. Run the evaluation corpus against both, compare, then UPDATE - and bump evaluation_version from seed-2026-08 to whatever that run was. That column exists to record which evaluation a model was approved under; leaving it at the seed value after a model change makes the registry claim an approval that never happened.</w:t>
            </w:r>
          </w:p>
        </w:tc>
      </w:tr>
    </w:tbl>
    <w:p>
      <w:pPr>
        <w:spacing w:after="60"/>
      </w:pPr>
    </w:p>
    <w:p>
      <w:pPr>
        <w:spacing w:before="0" w:after="140" w:line="307" w:lineRule="auto"/>
      </w:pPr>
      <w:r>
        <w:rPr>
          <w:rFonts w:ascii="Georgia" w:hAnsi="Georgia"/>
          <w:b w:val="0"/>
          <w:color w:val="526068"/>
          <w:sz w:val="19"/>
        </w:rPr>
        <w:t>Every row is boundary `external`. Calling Anthropic through Preckon's own proxy does not change whose infrastructure the tokens land on, and the registry records that honestly - which is what makes the data-boundary policy meaningful rather than decorative.</w:t>
      </w:r>
    </w:p>
    <w:p>
      <w:pPr>
        <w:spacing w:before="260" w:after="80" w:line="307" w:lineRule="auto"/>
      </w:pPr>
      <w:r>
        <w:rPr>
          <w:rFonts w:ascii="Calibri" w:hAnsi="Calibri"/>
          <w:b/>
          <w:color w:val="172126"/>
          <w:sz w:val="22"/>
        </w:rPr>
        <w:t>2.2  The governed path</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request</w:t>
              <w:br/>
              <w:t xml:space="preserve">  -&gt; ai/policy.ts        may this data reach this boundary?</w:t>
              <w:br/>
              <w:t xml:space="preserve">  -&gt; ai/registry.ts      which model does this alias mean, at what rate?</w:t>
              <w:br/>
              <w:t xml:space="preserve">  -&gt; ai/budget.ts        token / cost / latency / tier ceilings</w:t>
              <w:br/>
              <w:t xml:space="preserve">  -&gt; ai/govern.ts        asks all three, in one place, pure</w:t>
              <w:br/>
              <w:t xml:space="preserve">  -&gt; ai/cache.ts         has this exact question been asked?</w:t>
              <w:br/>
              <w:t xml:space="preserve">  -&gt; ai/prompt-store.ts  which prompt version?</w:t>
              <w:br/>
              <w:t xml:space="preserve">  -&gt; worker              stateless, zero deps, holds the key</w:t>
              <w:br/>
              <w:t xml:space="preserve">  -&gt; ai_usage_ledger     one row per attempt</w:t>
            </w:r>
          </w:p>
        </w:tc>
      </w:tr>
    </w:tbl>
    <w:p>
      <w:pPr>
        <w:spacing w:after="40"/>
      </w:pPr>
    </w:p>
    <w:p>
      <w:pPr>
        <w:spacing w:before="260" w:after="80" w:line="307" w:lineRule="auto"/>
      </w:pPr>
      <w:r>
        <w:rPr>
          <w:rFonts w:ascii="Calibri" w:hAnsi="Calibri"/>
          <w:b/>
          <w:color w:val="172126"/>
          <w:sz w:val="22"/>
        </w:rPr>
        <w:t>2.3  Retrieval and knowledge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016"/>
            <w:shd w:val="clear" w:fill="F0F3F4"/>
          </w:tcPr>
          <w:p>
            <w:r/>
            <w:r>
              <w:rPr>
                <w:rFonts w:ascii="Calibri" w:hAnsi="Calibri"/>
                <w:b/>
                <w:color w:val="667279"/>
                <w:sz w:val="13"/>
              </w:rPr>
              <w:t>COMPONENT</w:t>
            </w:r>
          </w:p>
        </w:tc>
        <w:tc>
          <w:tcPr>
            <w:tcW w:type="dxa" w:w="5904"/>
            <w:shd w:val="clear" w:fill="F0F3F4"/>
          </w:tcPr>
          <w:p>
            <w:r/>
            <w:r>
              <w:rPr>
                <w:rFonts w:ascii="Calibri" w:hAnsi="Calibri"/>
                <w:b/>
                <w:color w:val="667279"/>
                <w:sz w:val="13"/>
              </w:rPr>
              <w:t>IMPLEMENTATION</w:t>
            </w:r>
          </w:p>
        </w:tc>
        <w:tc>
          <w:tcPr>
            <w:tcW w:type="dxa" w:w="1008"/>
            <w:shd w:val="clear" w:fill="F0F3F4"/>
          </w:tcPr>
          <w:p>
            <w:r/>
            <w:r>
              <w:rPr>
                <w:rFonts w:ascii="Calibri" w:hAnsi="Calibri"/>
                <w:b/>
                <w:color w:val="667279"/>
                <w:sz w:val="13"/>
              </w:rPr>
              <w:t>STATE</w:t>
            </w:r>
          </w:p>
        </w:tc>
      </w:tr>
      <w:tr>
        <w:tc>
          <w:tcPr>
            <w:tcW w:type="dxa" w:w="2016"/>
          </w:tcPr>
          <w:p>
            <w:pPr>
              <w:spacing w:line="278" w:lineRule="auto" w:after="0"/>
            </w:pPr>
            <w:r/>
            <w:r>
              <w:rPr>
                <w:rFonts w:ascii="Calibri" w:hAnsi="Calibri"/>
                <w:b/>
                <w:color w:val="172126"/>
                <w:sz w:val="15"/>
              </w:rPr>
              <w:t>Search</w:t>
            </w:r>
          </w:p>
        </w:tc>
        <w:tc>
          <w:tcPr>
            <w:tcW w:type="dxa" w:w="5904"/>
          </w:tcPr>
          <w:p>
            <w:pPr>
              <w:spacing w:line="278" w:lineRule="auto" w:after="0"/>
            </w:pPr>
            <w:r/>
            <w:r>
              <w:rPr>
                <w:rFonts w:ascii="Calibri" w:hAnsi="Calibri"/>
                <w:b w:val="0"/>
                <w:color w:val="526068"/>
                <w:sz w:val="15"/>
              </w:rPr>
              <w:t>MySQL FULLTEXT, natural-language mode, with an identifier boost and a LIKE fallback</w:t>
            </w:r>
          </w:p>
        </w:tc>
        <w:tc>
          <w:tcPr>
            <w:tcW w:type="dxa" w:w="1008"/>
            <w:shd w:val="clear" w:fill="E6F3F1"/>
          </w:tcPr>
          <w:p>
            <w:pPr>
              <w:spacing w:line="278" w:lineRule="auto" w:after="0"/>
            </w:pPr>
            <w:r/>
            <w:r>
              <w:rPr>
                <w:rFonts w:ascii="Calibri" w:hAnsi="Calibri"/>
                <w:b/>
                <w:color w:val="087E75"/>
                <w:sz w:val="15"/>
              </w:rPr>
              <w:t>Built</w:t>
            </w:r>
          </w:p>
        </w:tc>
      </w:tr>
      <w:tr>
        <w:tc>
          <w:tcPr>
            <w:tcW w:type="dxa" w:w="2016"/>
          </w:tcPr>
          <w:p>
            <w:pPr>
              <w:spacing w:line="278" w:lineRule="auto" w:after="0"/>
            </w:pPr>
            <w:r/>
            <w:r>
              <w:rPr>
                <w:rFonts w:ascii="Calibri" w:hAnsi="Calibri"/>
                <w:b/>
                <w:color w:val="172126"/>
                <w:sz w:val="15"/>
              </w:rPr>
              <w:t>Chunking</w:t>
            </w:r>
          </w:p>
        </w:tc>
        <w:tc>
          <w:tcPr>
            <w:tcW w:type="dxa" w:w="5904"/>
          </w:tcPr>
          <w:p>
            <w:pPr>
              <w:spacing w:line="278" w:lineRule="auto" w:after="0"/>
            </w:pPr>
            <w:r/>
            <w:r>
              <w:rPr>
                <w:rFonts w:ascii="Calibri" w:hAnsi="Calibri"/>
                <w:b w:val="0"/>
                <w:color w:val="526068"/>
                <w:sz w:val="15"/>
              </w:rPr>
              <w:t>Paragraph then sentence boundaries — never mid-sentence unless a sentence exceeds the budget</w:t>
            </w:r>
          </w:p>
        </w:tc>
        <w:tc>
          <w:tcPr>
            <w:tcW w:type="dxa" w:w="1008"/>
            <w:shd w:val="clear" w:fill="E6F3F1"/>
          </w:tcPr>
          <w:p>
            <w:pPr>
              <w:spacing w:line="278" w:lineRule="auto" w:after="0"/>
            </w:pPr>
            <w:r/>
            <w:r>
              <w:rPr>
                <w:rFonts w:ascii="Calibri" w:hAnsi="Calibri"/>
                <w:b/>
                <w:color w:val="087E75"/>
                <w:sz w:val="15"/>
              </w:rPr>
              <w:t>Built</w:t>
            </w:r>
          </w:p>
        </w:tc>
      </w:tr>
      <w:tr>
        <w:tc>
          <w:tcPr>
            <w:tcW w:type="dxa" w:w="2016"/>
          </w:tcPr>
          <w:p>
            <w:pPr>
              <w:spacing w:line="278" w:lineRule="auto" w:after="0"/>
            </w:pPr>
            <w:r/>
            <w:r>
              <w:rPr>
                <w:rFonts w:ascii="Calibri" w:hAnsi="Calibri"/>
                <w:b/>
                <w:color w:val="172126"/>
                <w:sz w:val="15"/>
              </w:rPr>
              <w:t>Vector search</w:t>
            </w:r>
          </w:p>
        </w:tc>
        <w:tc>
          <w:tcPr>
            <w:tcW w:type="dxa" w:w="5904"/>
          </w:tcPr>
          <w:p>
            <w:pPr>
              <w:spacing w:line="278" w:lineRule="auto" w:after="0"/>
            </w:pPr>
            <w:r/>
            <w:r>
              <w:rPr>
                <w:rFonts w:ascii="Calibri" w:hAnsi="Calibri"/>
                <w:b w:val="0"/>
                <w:color w:val="526068"/>
                <w:sz w:val="15"/>
              </w:rPr>
              <w:t>chunk.embedding column exists; nothing writes it</w:t>
            </w:r>
          </w:p>
        </w:tc>
        <w:tc>
          <w:tcPr>
            <w:tcW w:type="dxa" w:w="1008"/>
            <w:shd w:val="clear" w:fill="FBEAE8"/>
          </w:tcPr>
          <w:p>
            <w:pPr>
              <w:spacing w:line="278" w:lineRule="auto" w:after="0"/>
            </w:pPr>
            <w:r/>
            <w:r>
              <w:rPr>
                <w:rFonts w:ascii="Calibri" w:hAnsi="Calibri"/>
                <w:b/>
                <w:color w:val="B42318"/>
                <w:sz w:val="15"/>
              </w:rPr>
              <w:t>Absent</w:t>
            </w:r>
          </w:p>
        </w:tc>
      </w:tr>
      <w:tr>
        <w:tc>
          <w:tcPr>
            <w:tcW w:type="dxa" w:w="2016"/>
          </w:tcPr>
          <w:p>
            <w:pPr>
              <w:spacing w:line="278" w:lineRule="auto" w:after="0"/>
            </w:pPr>
            <w:r/>
            <w:r>
              <w:rPr>
                <w:rFonts w:ascii="Calibri" w:hAnsi="Calibri"/>
                <w:b/>
                <w:color w:val="172126"/>
                <w:sz w:val="15"/>
              </w:rPr>
              <w:t>Reranking</w:t>
            </w:r>
          </w:p>
        </w:tc>
        <w:tc>
          <w:tcPr>
            <w:tcW w:type="dxa" w:w="5904"/>
          </w:tcPr>
          <w:p>
            <w:pPr>
              <w:spacing w:line="278" w:lineRule="auto" w:after="0"/>
            </w:pPr>
            <w:r/>
            <w:r>
              <w:rPr>
                <w:rFonts w:ascii="Calibri" w:hAnsi="Calibri"/>
                <w:b w:val="0"/>
                <w:color w:val="526068"/>
                <w:sz w:val="15"/>
              </w:rPr>
              <w:t>None</w:t>
            </w:r>
          </w:p>
        </w:tc>
        <w:tc>
          <w:tcPr>
            <w:tcW w:type="dxa" w:w="1008"/>
            <w:shd w:val="clear" w:fill="FBEAE8"/>
          </w:tcPr>
          <w:p>
            <w:pPr>
              <w:spacing w:line="278" w:lineRule="auto" w:after="0"/>
            </w:pPr>
            <w:r/>
            <w:r>
              <w:rPr>
                <w:rFonts w:ascii="Calibri" w:hAnsi="Calibri"/>
                <w:b/>
                <w:color w:val="B42318"/>
                <w:sz w:val="15"/>
              </w:rPr>
              <w:t>Absent</w:t>
            </w:r>
          </w:p>
        </w:tc>
      </w:tr>
      <w:tr>
        <w:tc>
          <w:tcPr>
            <w:tcW w:type="dxa" w:w="2016"/>
          </w:tcPr>
          <w:p>
            <w:pPr>
              <w:spacing w:line="278" w:lineRule="auto" w:after="0"/>
            </w:pPr>
            <w:r/>
            <w:r>
              <w:rPr>
                <w:rFonts w:ascii="Calibri" w:hAnsi="Calibri"/>
                <w:b/>
                <w:color w:val="172126"/>
                <w:sz w:val="15"/>
              </w:rPr>
              <w:t>Domain knowledge</w:t>
            </w:r>
          </w:p>
        </w:tc>
        <w:tc>
          <w:tcPr>
            <w:tcW w:type="dxa" w:w="5904"/>
          </w:tcPr>
          <w:p>
            <w:pPr>
              <w:spacing w:line="278" w:lineRule="auto" w:after="0"/>
            </w:pPr>
            <w:r/>
            <w:r>
              <w:rPr>
                <w:rFonts w:ascii="Calibri" w:hAnsi="Calibri"/>
                <w:b w:val="0"/>
                <w:color w:val="526068"/>
                <w:sz w:val="15"/>
              </w:rPr>
              <w:t>worker/src/knowledge.mjs — unit normalisation, estimating judgement, dependency-free</w:t>
            </w:r>
          </w:p>
        </w:tc>
        <w:tc>
          <w:tcPr>
            <w:tcW w:type="dxa" w:w="1008"/>
            <w:shd w:val="clear" w:fill="E6F3F1"/>
          </w:tcPr>
          <w:p>
            <w:pPr>
              <w:spacing w:line="278" w:lineRule="auto" w:after="0"/>
            </w:pPr>
            <w:r/>
            <w:r>
              <w:rPr>
                <w:rFonts w:ascii="Calibri" w:hAnsi="Calibri"/>
                <w:b/>
                <w:color w:val="087E75"/>
                <w:sz w:val="15"/>
              </w:rPr>
              <w:t>Built</w:t>
            </w:r>
          </w:p>
        </w:tc>
      </w:tr>
      <w:tr>
        <w:tc>
          <w:tcPr>
            <w:tcW w:type="dxa" w:w="2016"/>
          </w:tcPr>
          <w:p>
            <w:pPr>
              <w:spacing w:line="278" w:lineRule="auto" w:after="0"/>
            </w:pPr>
            <w:r/>
            <w:r>
              <w:rPr>
                <w:rFonts w:ascii="Calibri" w:hAnsi="Calibri"/>
                <w:b/>
                <w:color w:val="172126"/>
                <w:sz w:val="15"/>
              </w:rPr>
              <w:t>Few-shot</w:t>
            </w:r>
          </w:p>
        </w:tc>
        <w:tc>
          <w:tcPr>
            <w:tcW w:type="dxa" w:w="5904"/>
          </w:tcPr>
          <w:p>
            <w:pPr>
              <w:spacing w:line="278" w:lineRule="auto" w:after="0"/>
            </w:pPr>
            <w:r/>
            <w:r>
              <w:rPr>
                <w:rFonts w:ascii="Calibri" w:hAnsi="Calibri"/>
                <w:b w:val="0"/>
                <w:color w:val="526068"/>
                <w:sz w:val="15"/>
              </w:rPr>
              <w:t>worker/src/exemplars.mjs — worked BOQ examples selected by relevance</w:t>
            </w:r>
          </w:p>
        </w:tc>
        <w:tc>
          <w:tcPr>
            <w:tcW w:type="dxa" w:w="1008"/>
            <w:shd w:val="clear" w:fill="E6F3F1"/>
          </w:tcPr>
          <w:p>
            <w:pPr>
              <w:spacing w:line="278" w:lineRule="auto" w:after="0"/>
            </w:pPr>
            <w:r/>
            <w:r>
              <w:rPr>
                <w:rFonts w:ascii="Calibri" w:hAnsi="Calibri"/>
                <w:b/>
                <w:color w:val="087E75"/>
                <w:sz w:val="15"/>
              </w:rPr>
              <w:t>Built</w:t>
            </w:r>
          </w:p>
        </w:tc>
      </w:tr>
      <w:tr>
        <w:tc>
          <w:tcPr>
            <w:tcW w:type="dxa" w:w="2016"/>
          </w:tcPr>
          <w:p>
            <w:pPr>
              <w:spacing w:line="278" w:lineRule="auto" w:after="0"/>
            </w:pPr>
            <w:r/>
            <w:r>
              <w:rPr>
                <w:rFonts w:ascii="Calibri" w:hAnsi="Calibri"/>
                <w:b/>
                <w:color w:val="172126"/>
                <w:sz w:val="15"/>
              </w:rPr>
              <w:t>Disciplines</w:t>
            </w:r>
          </w:p>
        </w:tc>
        <w:tc>
          <w:tcPr>
            <w:tcW w:type="dxa" w:w="5904"/>
          </w:tcPr>
          <w:p>
            <w:pPr>
              <w:spacing w:line="278" w:lineRule="auto" w:after="0"/>
            </w:pPr>
            <w:r/>
            <w:r>
              <w:rPr>
                <w:rFonts w:ascii="Calibri" w:hAnsi="Calibri"/>
                <w:b w:val="0"/>
                <w:color w:val="526068"/>
                <w:sz w:val="15"/>
              </w:rPr>
              <w:t>worker/src/disciplines.mjs — per-discipline measurement conventions</w:t>
            </w:r>
          </w:p>
        </w:tc>
        <w:tc>
          <w:tcPr>
            <w:tcW w:type="dxa" w:w="1008"/>
            <w:shd w:val="clear" w:fill="E6F3F1"/>
          </w:tcPr>
          <w:p>
            <w:pPr>
              <w:spacing w:line="278" w:lineRule="auto" w:after="0"/>
            </w:pPr>
            <w:r/>
            <w:r>
              <w:rPr>
                <w:rFonts w:ascii="Calibri" w:hAnsi="Calibri"/>
                <w:b/>
                <w:color w:val="087E75"/>
                <w:sz w:val="15"/>
              </w:rPr>
              <w:t>Built</w:t>
            </w:r>
          </w:p>
        </w:tc>
      </w:tr>
      <w:tr>
        <w:tc>
          <w:tcPr>
            <w:tcW w:type="dxa" w:w="2016"/>
          </w:tcPr>
          <w:p>
            <w:pPr>
              <w:spacing w:line="278" w:lineRule="auto" w:after="0"/>
            </w:pPr>
            <w:r/>
            <w:r>
              <w:rPr>
                <w:rFonts w:ascii="Calibri" w:hAnsi="Calibri"/>
                <w:b/>
                <w:color w:val="172126"/>
                <w:sz w:val="15"/>
              </w:rPr>
              <w:t>Rate books</w:t>
            </w:r>
          </w:p>
        </w:tc>
        <w:tc>
          <w:tcPr>
            <w:tcW w:type="dxa" w:w="5904"/>
          </w:tcPr>
          <w:p>
            <w:pPr>
              <w:spacing w:line="278" w:lineRule="auto" w:after="0"/>
            </w:pPr>
            <w:r/>
            <w:r>
              <w:rPr>
                <w:rFonts w:ascii="Calibri" w:hAnsi="Calibri"/>
                <w:b w:val="0"/>
                <w:color w:val="526068"/>
                <w:sz w:val="15"/>
              </w:rPr>
              <w:t>library_entry, 24 rows</w:t>
            </w:r>
          </w:p>
        </w:tc>
        <w:tc>
          <w:tcPr>
            <w:tcW w:type="dxa" w:w="1008"/>
            <w:shd w:val="clear" w:fill="E6F3F1"/>
          </w:tcPr>
          <w:p>
            <w:pPr>
              <w:spacing w:line="278" w:lineRule="auto" w:after="0"/>
            </w:pPr>
            <w:r/>
            <w:r>
              <w:rPr>
                <w:rFonts w:ascii="Calibri" w:hAnsi="Calibri"/>
                <w:b/>
                <w:color w:val="087E75"/>
                <w:sz w:val="15"/>
              </w:rPr>
              <w:t>Built</w:t>
            </w:r>
          </w:p>
        </w:tc>
      </w:tr>
      <w:tr>
        <w:tc>
          <w:tcPr>
            <w:tcW w:type="dxa" w:w="2016"/>
          </w:tcPr>
          <w:p>
            <w:pPr>
              <w:spacing w:line="278" w:lineRule="auto" w:after="0"/>
            </w:pPr>
            <w:r/>
            <w:r>
              <w:rPr>
                <w:rFonts w:ascii="Calibri" w:hAnsi="Calibri"/>
                <w:b/>
                <w:color w:val="172126"/>
                <w:sz w:val="15"/>
              </w:rPr>
              <w:t>Feedback loop</w:t>
            </w:r>
          </w:p>
        </w:tc>
        <w:tc>
          <w:tcPr>
            <w:tcW w:type="dxa" w:w="5904"/>
          </w:tcPr>
          <w:p>
            <w:pPr>
              <w:spacing w:line="278" w:lineRule="auto" w:after="0"/>
            </w:pPr>
            <w:r/>
            <w:r>
              <w:rPr>
                <w:rFonts w:ascii="Calibri" w:hAnsi="Calibri"/>
                <w:b w:val="0"/>
                <w:color w:val="526068"/>
                <w:sz w:val="15"/>
              </w:rPr>
              <w:t>learned_lesson — table and module exist, no rows</w:t>
            </w:r>
          </w:p>
        </w:tc>
        <w:tc>
          <w:tcPr>
            <w:tcW w:type="dxa" w:w="1008"/>
            <w:shd w:val="clear" w:fill="FBF0E0"/>
          </w:tcPr>
          <w:p>
            <w:pPr>
              <w:spacing w:line="278" w:lineRule="auto" w:after="0"/>
            </w:pPr>
            <w:r/>
            <w:r>
              <w:rPr>
                <w:rFonts w:ascii="Calibri" w:hAnsi="Calibri"/>
                <w:b/>
                <w:color w:val="A56000"/>
                <w:sz w:val="15"/>
              </w:rPr>
              <w:t>Partial</w:t>
            </w:r>
          </w:p>
        </w:tc>
      </w:tr>
      <w:tr>
        <w:tc>
          <w:tcPr>
            <w:tcW w:type="dxa" w:w="2016"/>
          </w:tcPr>
          <w:p>
            <w:pPr>
              <w:spacing w:line="278" w:lineRule="auto" w:after="0"/>
            </w:pPr>
            <w:r/>
            <w:r>
              <w:rPr>
                <w:rFonts w:ascii="Calibri" w:hAnsi="Calibri"/>
                <w:b/>
                <w:color w:val="172126"/>
                <w:sz w:val="15"/>
              </w:rPr>
              <w:t>Knowledge graph</w:t>
            </w:r>
          </w:p>
        </w:tc>
        <w:tc>
          <w:tcPr>
            <w:tcW w:type="dxa" w:w="5904"/>
          </w:tcPr>
          <w:p>
            <w:pPr>
              <w:spacing w:line="278" w:lineRule="auto" w:after="0"/>
            </w:pPr>
            <w:r/>
            <w:r>
              <w:rPr>
                <w:rFonts w:ascii="Calibri" w:hAnsi="Calibri"/>
                <w:b w:val="0"/>
                <w:color w:val="526068"/>
                <w:sz w:val="15"/>
              </w:rPr>
              <w:t>Specified across a whole PEB volume. No graph store in the schema</w:t>
            </w:r>
          </w:p>
        </w:tc>
        <w:tc>
          <w:tcPr>
            <w:tcW w:type="dxa" w:w="1008"/>
            <w:shd w:val="clear" w:fill="FBEAE8"/>
          </w:tcPr>
          <w:p>
            <w:pPr>
              <w:spacing w:line="278" w:lineRule="auto" w:after="0"/>
            </w:pPr>
            <w:r/>
            <w:r>
              <w:rPr>
                <w:rFonts w:ascii="Calibri" w:hAnsi="Calibri"/>
                <w:b/>
                <w:color w:val="B42318"/>
                <w:sz w:val="15"/>
              </w:rPr>
              <w:t>Absent</w:t>
            </w:r>
          </w:p>
        </w:tc>
      </w:tr>
    </w:tbl>
    <w:p>
      <w:pPr>
        <w:spacing w:after="60"/>
      </w:pPr>
    </w:p>
    <w:tbl>
      <w:tblPr>
        <w:tblW w:type="auto" w:w="0"/>
        <w:tblLook w:firstColumn="1" w:firstRow="1" w:lastColumn="0" w:lastRow="0" w:noHBand="0" w:noVBand="1" w:val="04A0"/>
        <w:tblBorders>
          <w:top w:val="single" w:sz="2" w:space="0" w:color="E6F3F1"/>
          <w:left w:val="single" w:sz="2" w:space="0" w:color="E6F3F1"/>
          <w:bottom w:val="single" w:sz="2" w:space="0" w:color="E6F3F1"/>
          <w:right w:val="single" w:sz="2" w:space="0" w:color="E6F3F1"/>
          <w:insideH w:val="single" w:sz="2" w:space="0" w:color="E6F3F1"/>
          <w:insideV w:val="single" w:sz="2" w:space="0" w:color="E6F3F1"/>
        </w:tblBorders>
      </w:tblPr>
      <w:tblGrid>
        <w:gridCol w:w="10080"/>
      </w:tblGrid>
      <w:tr>
        <w:tc>
          <w:tcPr>
            <w:tcW w:type="dxa" w:w="10080"/>
            <w:shd w:val="clear" w:fill="E6F3F1"/>
          </w:tcPr>
          <w:p>
            <w:r/>
            <w:r>
              <w:rPr>
                <w:rFonts w:ascii="Calibri" w:hAnsi="Calibri"/>
                <w:b/>
                <w:color w:val="087E75"/>
                <w:sz w:val="14"/>
              </w:rPr>
              <w:t>WHY LEXICAL RATHER THAN VECTOR</w:t>
            </w:r>
          </w:p>
          <w:p>
            <w:pPr>
              <w:spacing w:before="60" w:line="302" w:lineRule="auto"/>
            </w:pPr>
            <w:r>
              <w:rPr>
                <w:rFonts w:ascii="Georgia" w:hAnsi="Georgia"/>
                <w:color w:val="172126"/>
                <w:sz w:val="17"/>
              </w:rPr>
              <w:t>Construction questions are dominated by exact identifiers — A-201, BOQ-CIV-001, SECTION 03 30 00. A literal match on those beats a passage that is merely about the same topic, and FULLTEXT drops tokens that short, which is what the LIKE fallback exists for. Embeddings would have been the fashionable answer and a worse one. The column is there if a semantic layer is ever wanted.</w:t>
            </w:r>
          </w:p>
        </w:tc>
      </w:tr>
    </w:tbl>
    <w:p>
      <w:pPr>
        <w:spacing w:after="60"/>
      </w:pPr>
    </w:p>
    <w:p>
      <w:pPr>
        <w:spacing w:before="260" w:after="80" w:line="307" w:lineRule="auto"/>
      </w:pPr>
      <w:r>
        <w:rPr>
          <w:rFonts w:ascii="Calibri" w:hAnsi="Calibri"/>
          <w:b/>
          <w:color w:val="172126"/>
          <w:sz w:val="22"/>
        </w:rPr>
        <w:t>2.4  Tooling and evaluation</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160"/>
            <w:shd w:val="clear" w:fill="F0F3F4"/>
          </w:tcPr>
          <w:p>
            <w:r/>
            <w:r>
              <w:rPr>
                <w:rFonts w:ascii="Calibri" w:hAnsi="Calibri"/>
                <w:b/>
                <w:color w:val="667279"/>
                <w:sz w:val="13"/>
              </w:rPr>
              <w:t>COMPONENT</w:t>
            </w:r>
          </w:p>
        </w:tc>
        <w:tc>
          <w:tcPr>
            <w:tcW w:type="dxa" w:w="5760"/>
            <w:shd w:val="clear" w:fill="F0F3F4"/>
          </w:tcPr>
          <w:p>
            <w:r/>
            <w:r>
              <w:rPr>
                <w:rFonts w:ascii="Calibri" w:hAnsi="Calibri"/>
                <w:b/>
                <w:color w:val="667279"/>
                <w:sz w:val="13"/>
              </w:rPr>
              <w:t>IMPLEMENTATION</w:t>
            </w:r>
          </w:p>
        </w:tc>
        <w:tc>
          <w:tcPr>
            <w:tcW w:type="dxa" w:w="1008"/>
            <w:shd w:val="clear" w:fill="F0F3F4"/>
          </w:tcPr>
          <w:p>
            <w:r/>
            <w:r>
              <w:rPr>
                <w:rFonts w:ascii="Calibri" w:hAnsi="Calibri"/>
                <w:b/>
                <w:color w:val="667279"/>
                <w:sz w:val="13"/>
              </w:rPr>
              <w:t>STATE</w:t>
            </w:r>
          </w:p>
        </w:tc>
      </w:tr>
      <w:tr>
        <w:tc>
          <w:tcPr>
            <w:tcW w:type="dxa" w:w="2160"/>
          </w:tcPr>
          <w:p>
            <w:pPr>
              <w:spacing w:line="278" w:lineRule="auto" w:after="0"/>
            </w:pPr>
            <w:r/>
            <w:r>
              <w:rPr>
                <w:rFonts w:ascii="Calibri" w:hAnsi="Calibri"/>
                <w:b/>
                <w:color w:val="172126"/>
                <w:sz w:val="15"/>
              </w:rPr>
              <w:t>Tool registry</w:t>
            </w:r>
          </w:p>
        </w:tc>
        <w:tc>
          <w:tcPr>
            <w:tcW w:type="dxa" w:w="5760"/>
          </w:tcPr>
          <w:p>
            <w:pPr>
              <w:spacing w:line="278" w:lineRule="auto" w:after="0"/>
            </w:pPr>
            <w:r/>
            <w:r>
              <w:rPr>
                <w:rFonts w:ascii="Calibri" w:hAnsi="Calibri"/>
                <w:b w:val="0"/>
                <w:color w:val="526068"/>
                <w:sz w:val="15"/>
              </w:rPr>
              <w:t>10 read-only CAD tools + a BIM registry with user-authored tools</w:t>
            </w:r>
          </w:p>
        </w:tc>
        <w:tc>
          <w:tcPr>
            <w:tcW w:type="dxa" w:w="1008"/>
            <w:shd w:val="clear" w:fill="E6F3F1"/>
          </w:tcPr>
          <w:p>
            <w:pPr>
              <w:spacing w:line="278" w:lineRule="auto" w:after="0"/>
            </w:pPr>
            <w:r/>
            <w:r>
              <w:rPr>
                <w:rFonts w:ascii="Calibri" w:hAnsi="Calibri"/>
                <w:b/>
                <w:color w:val="087E75"/>
                <w:sz w:val="15"/>
              </w:rPr>
              <w:t>Built</w:t>
            </w:r>
          </w:p>
        </w:tc>
      </w:tr>
      <w:tr>
        <w:tc>
          <w:tcPr>
            <w:tcW w:type="dxa" w:w="2160"/>
          </w:tcPr>
          <w:p>
            <w:pPr>
              <w:spacing w:line="278" w:lineRule="auto" w:after="0"/>
            </w:pPr>
            <w:r/>
            <w:r>
              <w:rPr>
                <w:rFonts w:ascii="Calibri" w:hAnsi="Calibri"/>
                <w:b/>
                <w:color w:val="172126"/>
                <w:sz w:val="15"/>
              </w:rPr>
              <w:t>Agentic loop</w:t>
            </w:r>
          </w:p>
        </w:tc>
        <w:tc>
          <w:tcPr>
            <w:tcW w:type="dxa" w:w="5760"/>
          </w:tcPr>
          <w:p>
            <w:pPr>
              <w:spacing w:line="278" w:lineRule="auto" w:after="0"/>
            </w:pPr>
            <w:r/>
            <w:r>
              <w:rPr>
                <w:rFonts w:ascii="Calibri" w:hAnsi="Calibri"/>
                <w:b w:val="0"/>
                <w:color w:val="526068"/>
                <w:sz w:val="15"/>
              </w:rPr>
              <w:t>worker/src/agentic-loop.mjs, 157 lines, no framework</w:t>
            </w:r>
          </w:p>
        </w:tc>
        <w:tc>
          <w:tcPr>
            <w:tcW w:type="dxa" w:w="1008"/>
            <w:shd w:val="clear" w:fill="E6F3F1"/>
          </w:tcPr>
          <w:p>
            <w:pPr>
              <w:spacing w:line="278" w:lineRule="auto" w:after="0"/>
            </w:pPr>
            <w:r/>
            <w:r>
              <w:rPr>
                <w:rFonts w:ascii="Calibri" w:hAnsi="Calibri"/>
                <w:b/>
                <w:color w:val="087E75"/>
                <w:sz w:val="15"/>
              </w:rPr>
              <w:t>Built</w:t>
            </w:r>
          </w:p>
        </w:tc>
      </w:tr>
      <w:tr>
        <w:tc>
          <w:tcPr>
            <w:tcW w:type="dxa" w:w="2160"/>
          </w:tcPr>
          <w:p>
            <w:pPr>
              <w:spacing w:line="278" w:lineRule="auto" w:after="0"/>
            </w:pPr>
            <w:r/>
            <w:r>
              <w:rPr>
                <w:rFonts w:ascii="Calibri" w:hAnsi="Calibri"/>
                <w:b/>
                <w:color w:val="172126"/>
                <w:sz w:val="15"/>
              </w:rPr>
              <w:t>Vision</w:t>
            </w:r>
          </w:p>
        </w:tc>
        <w:tc>
          <w:tcPr>
            <w:tcW w:type="dxa" w:w="5760"/>
          </w:tcPr>
          <w:p>
            <w:pPr>
              <w:spacing w:line="278" w:lineRule="auto" w:after="0"/>
            </w:pPr>
            <w:r/>
            <w:r>
              <w:rPr>
                <w:rFonts w:ascii="Calibri" w:hAnsi="Calibri"/>
                <w:b w:val="0"/>
                <w:color w:val="526068"/>
                <w:sz w:val="15"/>
              </w:rPr>
              <w:t>worker/src/vision.mjs — rasterised PDF sheets via the CAD sidecar</w:t>
            </w:r>
          </w:p>
        </w:tc>
        <w:tc>
          <w:tcPr>
            <w:tcW w:type="dxa" w:w="1008"/>
            <w:shd w:val="clear" w:fill="E6F3F1"/>
          </w:tcPr>
          <w:p>
            <w:pPr>
              <w:spacing w:line="278" w:lineRule="auto" w:after="0"/>
            </w:pPr>
            <w:r/>
            <w:r>
              <w:rPr>
                <w:rFonts w:ascii="Calibri" w:hAnsi="Calibri"/>
                <w:b/>
                <w:color w:val="087E75"/>
                <w:sz w:val="15"/>
              </w:rPr>
              <w:t>Built</w:t>
            </w:r>
          </w:p>
        </w:tc>
      </w:tr>
      <w:tr>
        <w:tc>
          <w:tcPr>
            <w:tcW w:type="dxa" w:w="2160"/>
          </w:tcPr>
          <w:p>
            <w:pPr>
              <w:spacing w:line="278" w:lineRule="auto" w:after="0"/>
            </w:pPr>
            <w:r/>
            <w:r>
              <w:rPr>
                <w:rFonts w:ascii="Calibri" w:hAnsi="Calibri"/>
                <w:b/>
                <w:color w:val="172126"/>
                <w:sz w:val="15"/>
              </w:rPr>
              <w:t>Tool selection scoring</w:t>
            </w:r>
          </w:p>
        </w:tc>
        <w:tc>
          <w:tcPr>
            <w:tcW w:type="dxa" w:w="5760"/>
          </w:tcPr>
          <w:p>
            <w:pPr>
              <w:spacing w:line="278" w:lineRule="auto" w:after="0"/>
            </w:pPr>
            <w:r/>
            <w:r>
              <w:rPr>
                <w:rFonts w:ascii="Calibri" w:hAnsi="Calibri"/>
                <w:b w:val="0"/>
                <w:color w:val="526068"/>
                <w:sz w:val="15"/>
              </w:rPr>
              <w:t>25-case corpus, 92% top-1, gated in CI</w:t>
            </w:r>
          </w:p>
        </w:tc>
        <w:tc>
          <w:tcPr>
            <w:tcW w:type="dxa" w:w="1008"/>
            <w:shd w:val="clear" w:fill="E6F3F1"/>
          </w:tcPr>
          <w:p>
            <w:pPr>
              <w:spacing w:line="278" w:lineRule="auto" w:after="0"/>
            </w:pPr>
            <w:r/>
            <w:r>
              <w:rPr>
                <w:rFonts w:ascii="Calibri" w:hAnsi="Calibri"/>
                <w:b/>
                <w:color w:val="087E75"/>
                <w:sz w:val="15"/>
              </w:rPr>
              <w:t>Built</w:t>
            </w:r>
          </w:p>
        </w:tc>
      </w:tr>
      <w:tr>
        <w:tc>
          <w:tcPr>
            <w:tcW w:type="dxa" w:w="2160"/>
          </w:tcPr>
          <w:p>
            <w:pPr>
              <w:spacing w:line="278" w:lineRule="auto" w:after="0"/>
            </w:pPr>
            <w:r/>
            <w:r>
              <w:rPr>
                <w:rFonts w:ascii="Calibri" w:hAnsi="Calibri"/>
                <w:b/>
                <w:color w:val="172126"/>
                <w:sz w:val="15"/>
              </w:rPr>
              <w:t>Retrieval scoring</w:t>
            </w:r>
          </w:p>
        </w:tc>
        <w:tc>
          <w:tcPr>
            <w:tcW w:type="dxa" w:w="5760"/>
          </w:tcPr>
          <w:p>
            <w:pPr>
              <w:spacing w:line="278" w:lineRule="auto" w:after="0"/>
            </w:pPr>
            <w:r/>
            <w:r>
              <w:rPr>
                <w:rFonts w:ascii="Calibri" w:hAnsi="Calibri"/>
                <w:b w:val="0"/>
                <w:color w:val="526068"/>
                <w:sz w:val="15"/>
              </w:rPr>
              <w:t>precision@1, recall@5, MRR over a per-project corpus</w:t>
            </w:r>
          </w:p>
        </w:tc>
        <w:tc>
          <w:tcPr>
            <w:tcW w:type="dxa" w:w="1008"/>
            <w:shd w:val="clear" w:fill="E6F3F1"/>
          </w:tcPr>
          <w:p>
            <w:pPr>
              <w:spacing w:line="278" w:lineRule="auto" w:after="0"/>
            </w:pPr>
            <w:r/>
            <w:r>
              <w:rPr>
                <w:rFonts w:ascii="Calibri" w:hAnsi="Calibri"/>
                <w:b/>
                <w:color w:val="087E75"/>
                <w:sz w:val="15"/>
              </w:rPr>
              <w:t>Built</w:t>
            </w:r>
          </w:p>
        </w:tc>
      </w:tr>
      <w:tr>
        <w:tc>
          <w:tcPr>
            <w:tcW w:type="dxa" w:w="2160"/>
          </w:tcPr>
          <w:p>
            <w:pPr>
              <w:spacing w:line="278" w:lineRule="auto" w:after="0"/>
            </w:pPr>
            <w:r/>
            <w:r>
              <w:rPr>
                <w:rFonts w:ascii="Calibri" w:hAnsi="Calibri"/>
                <w:b/>
                <w:color w:val="172126"/>
                <w:sz w:val="15"/>
              </w:rPr>
              <w:t>Citation fidelity</w:t>
            </w:r>
          </w:p>
        </w:tc>
        <w:tc>
          <w:tcPr>
            <w:tcW w:type="dxa" w:w="5760"/>
          </w:tcPr>
          <w:p>
            <w:pPr>
              <w:spacing w:line="278" w:lineRule="auto" w:after="0"/>
            </w:pPr>
            <w:r/>
            <w:r>
              <w:rPr>
                <w:rFonts w:ascii="Calibri" w:hAnsi="Calibri"/>
                <w:b w:val="0"/>
                <w:color w:val="526068"/>
                <w:sz w:val="15"/>
              </w:rPr>
              <w:t>Every number in a claim must appear in the cited passage</w:t>
            </w:r>
          </w:p>
        </w:tc>
        <w:tc>
          <w:tcPr>
            <w:tcW w:type="dxa" w:w="1008"/>
            <w:shd w:val="clear" w:fill="E6F3F1"/>
          </w:tcPr>
          <w:p>
            <w:pPr>
              <w:spacing w:line="278" w:lineRule="auto" w:after="0"/>
            </w:pPr>
            <w:r/>
            <w:r>
              <w:rPr>
                <w:rFonts w:ascii="Calibri" w:hAnsi="Calibri"/>
                <w:b/>
                <w:color w:val="087E75"/>
                <w:sz w:val="15"/>
              </w:rPr>
              <w:t>Built</w:t>
            </w:r>
          </w:p>
        </w:tc>
      </w:tr>
      <w:tr>
        <w:tc>
          <w:tcPr>
            <w:tcW w:type="dxa" w:w="2160"/>
          </w:tcPr>
          <w:p>
            <w:pPr>
              <w:spacing w:line="278" w:lineRule="auto" w:after="0"/>
            </w:pPr>
            <w:r/>
            <w:r>
              <w:rPr>
                <w:rFonts w:ascii="Calibri" w:hAnsi="Calibri"/>
                <w:b/>
                <w:color w:val="172126"/>
                <w:sz w:val="15"/>
              </w:rPr>
              <w:t>Extraction accuracy</w:t>
            </w:r>
          </w:p>
        </w:tc>
        <w:tc>
          <w:tcPr>
            <w:tcW w:type="dxa" w:w="5760"/>
          </w:tcPr>
          <w:p>
            <w:pPr>
              <w:spacing w:line="278" w:lineRule="auto" w:after="0"/>
            </w:pPr>
            <w:r/>
            <w:r>
              <w:rPr>
                <w:rFonts w:ascii="Calibri" w:hAnsi="Calibri"/>
                <w:b w:val="0"/>
                <w:color w:val="526068"/>
                <w:sz w:val="15"/>
              </w:rPr>
              <w:t>Needs a golden project with known-correct answers</w:t>
            </w:r>
          </w:p>
        </w:tc>
        <w:tc>
          <w:tcPr>
            <w:tcW w:type="dxa" w:w="1008"/>
            <w:shd w:val="clear" w:fill="FBEAE8"/>
          </w:tcPr>
          <w:p>
            <w:pPr>
              <w:spacing w:line="278" w:lineRule="auto" w:after="0"/>
            </w:pPr>
            <w:r/>
            <w:r>
              <w:rPr>
                <w:rFonts w:ascii="Calibri" w:hAnsi="Calibri"/>
                <w:b/>
                <w:color w:val="B42318"/>
                <w:sz w:val="15"/>
              </w:rPr>
              <w:t>Absent</w:t>
            </w:r>
          </w:p>
        </w:tc>
      </w:tr>
      <w:tr>
        <w:tc>
          <w:tcPr>
            <w:tcW w:type="dxa" w:w="2160"/>
          </w:tcPr>
          <w:p>
            <w:pPr>
              <w:spacing w:line="278" w:lineRule="auto" w:after="0"/>
            </w:pPr>
            <w:r/>
            <w:r>
              <w:rPr>
                <w:rFonts w:ascii="Calibri" w:hAnsi="Calibri"/>
                <w:b/>
                <w:color w:val="172126"/>
                <w:sz w:val="15"/>
              </w:rPr>
              <w:t>Agent framework</w:t>
            </w:r>
          </w:p>
        </w:tc>
        <w:tc>
          <w:tcPr>
            <w:tcW w:type="dxa" w:w="5760"/>
          </w:tcPr>
          <w:p>
            <w:pPr>
              <w:spacing w:line="278" w:lineRule="auto" w:after="0"/>
            </w:pPr>
            <w:r/>
            <w:r>
              <w:rPr>
                <w:rFonts w:ascii="Calibri" w:hAnsi="Calibri"/>
                <w:b w:val="0"/>
                <w:color w:val="526068"/>
                <w:sz w:val="15"/>
              </w:rPr>
              <w:t>None. No LangChain, no LlamaIndex — the worker may have no dependencies</w:t>
            </w:r>
          </w:p>
        </w:tc>
        <w:tc>
          <w:tcPr>
            <w:tcW w:type="dxa" w:w="1008"/>
            <w:shd w:val="clear" w:fill="FBEAE8"/>
          </w:tcPr>
          <w:p>
            <w:pPr>
              <w:spacing w:line="278" w:lineRule="auto" w:after="0"/>
            </w:pPr>
            <w:r/>
            <w:r>
              <w:rPr>
                <w:rFonts w:ascii="Calibri" w:hAnsi="Calibri"/>
                <w:b/>
                <w:color w:val="B42318"/>
                <w:sz w:val="15"/>
              </w:rPr>
              <w:t>Absent</w:t>
            </w:r>
          </w:p>
        </w:tc>
      </w:tr>
      <w:tr>
        <w:tc>
          <w:tcPr>
            <w:tcW w:type="dxa" w:w="2160"/>
          </w:tcPr>
          <w:p>
            <w:pPr>
              <w:spacing w:line="278" w:lineRule="auto" w:after="0"/>
            </w:pPr>
            <w:r/>
            <w:r>
              <w:rPr>
                <w:rFonts w:ascii="Calibri" w:hAnsi="Calibri"/>
                <w:b/>
                <w:color w:val="172126"/>
                <w:sz w:val="15"/>
              </w:rPr>
              <w:t>Observability SaaS</w:t>
            </w:r>
          </w:p>
        </w:tc>
        <w:tc>
          <w:tcPr>
            <w:tcW w:type="dxa" w:w="5760"/>
          </w:tcPr>
          <w:p>
            <w:pPr>
              <w:spacing w:line="278" w:lineRule="auto" w:after="0"/>
            </w:pPr>
            <w:r/>
            <w:r>
              <w:rPr>
                <w:rFonts w:ascii="Calibri" w:hAnsi="Calibri"/>
                <w:b w:val="0"/>
                <w:color w:val="526068"/>
                <w:sz w:val="15"/>
              </w:rPr>
              <w:t>None. The ledger already answers more about this domain</w:t>
            </w:r>
          </w:p>
        </w:tc>
        <w:tc>
          <w:tcPr>
            <w:tcW w:type="dxa" w:w="1008"/>
            <w:shd w:val="clear" w:fill="FBEAE8"/>
          </w:tcPr>
          <w:p>
            <w:pPr>
              <w:spacing w:line="278" w:lineRule="auto" w:after="0"/>
            </w:pPr>
            <w:r/>
            <w:r>
              <w:rPr>
                <w:rFonts w:ascii="Calibri" w:hAnsi="Calibri"/>
                <w:b/>
                <w:color w:val="B42318"/>
                <w:sz w:val="15"/>
              </w:rPr>
              <w:t>Absent</w:t>
            </w:r>
          </w:p>
        </w:tc>
      </w:tr>
    </w:tbl>
    <w:p>
      <w:pPr>
        <w:spacing w:after="60"/>
      </w:pPr>
    </w:p>
    <w:p>
      <w:pPr>
        <w:spacing w:before="260" w:after="80" w:line="307" w:lineRule="auto"/>
      </w:pPr>
      <w:r>
        <w:rPr>
          <w:rFonts w:ascii="Calibri" w:hAnsi="Calibri"/>
          <w:b/>
          <w:color w:val="172126"/>
          <w:sz w:val="22"/>
        </w:rPr>
        <w:t>2.5  Prompt caching — configured and returning nothing</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cache hits in 180 calls          0</w:t>
              <w:br/>
              <w:t>common prefix between two calls  12 characters</w:t>
              <w:br/>
              <w:t>shared brief sitting after it    ~9,000 characters</w:t>
            </w:r>
          </w:p>
        </w:tc>
      </w:tr>
    </w:tbl>
    <w:p>
      <w:pPr>
        <w:spacing w:after="40"/>
      </w:pPr>
    </w:p>
    <w:p>
      <w:pPr>
        <w:spacing w:before="0" w:after="140" w:line="307" w:lineRule="auto"/>
      </w:pPr>
      <w:r>
        <w:rPr>
          <w:rFonts w:ascii="Georgia" w:hAnsi="Georgia"/>
          <w:b w:val="0"/>
          <w:color w:val="526068"/>
          <w:sz w:val="19"/>
        </w:rPr>
        <w:t>The breakpoint sits after a per-specialist persona, so the shared material it exists to reuse is unreachable. Every call writes a fresh entry at a 1.25× premium and reads nothing back — currently worse than switching caching off. Reordering the prompt is the same bytes in a different order and should remove half to two thirds of the input bill.</w:t>
      </w:r>
    </w:p>
    <w:p>
      <w:r>
        <w:br w:type="page"/>
      </w:r>
    </w:p>
    <w:p>
      <w:pPr>
        <w:spacing w:before="0" w:after="60" w:line="307" w:lineRule="auto"/>
      </w:pPr>
      <w:r>
        <w:rPr>
          <w:rFonts w:ascii="Consolas" w:hAnsi="Consolas"/>
          <w:b/>
          <w:color w:val="087E75"/>
          <w:sz w:val="15"/>
        </w:rPr>
        <w:t>PART 4</w:t>
      </w:r>
    </w:p>
    <w:p>
      <w:pPr>
        <w:spacing w:before="0" w:after="160" w:line="252" w:lineRule="auto"/>
      </w:pPr>
      <w:r>
        <w:rPr>
          <w:rFonts w:ascii="Georgia" w:hAnsi="Georgia"/>
          <w:b/>
          <w:color w:val="172126"/>
          <w:sz w:val="38"/>
        </w:rPr>
        <w:t>Branches</w:t>
      </w:r>
    </w:p>
    <w:p>
      <w:pPr>
        <w:spacing w:before="0" w:after="200" w:line="307" w:lineRule="auto"/>
      </w:pPr>
      <w:r>
        <w:rPr>
          <w:rFonts w:ascii="Georgia" w:hAnsi="Georgia"/>
          <w:b w:val="0"/>
          <w:color w:val="526068"/>
          <w:sz w:val="21"/>
        </w:rPr>
        <w:t>Four repositories, nine branches. Divergence measured against each repository's own main.</w:t>
      </w:r>
    </w:p>
    <w:p>
      <w:pPr>
        <w:spacing w:before="260" w:after="80" w:line="307" w:lineRule="auto"/>
      </w:pPr>
      <w:r>
        <w:rPr>
          <w:rFonts w:ascii="Calibri" w:hAnsi="Calibri"/>
          <w:b/>
          <w:color w:val="172126"/>
          <w:sz w:val="22"/>
        </w:rPr>
        <w:t>3.1  Repositories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520"/>
        <w:gridCol w:w="2520"/>
        <w:gridCol w:w="2520"/>
        <w:gridCol w:w="2520"/>
      </w:tblGrid>
      <w:tr>
        <w:tc>
          <w:tcPr>
            <w:tcW w:type="dxa" w:w="2736"/>
            <w:shd w:val="clear" w:fill="F0F3F4"/>
          </w:tcPr>
          <w:p>
            <w:r/>
            <w:r>
              <w:rPr>
                <w:rFonts w:ascii="Calibri" w:hAnsi="Calibri"/>
                <w:b/>
                <w:color w:val="667279"/>
                <w:sz w:val="13"/>
              </w:rPr>
              <w:t>REPOSITORY</w:t>
            </w:r>
          </w:p>
        </w:tc>
        <w:tc>
          <w:tcPr>
            <w:tcW w:type="dxa" w:w="1152"/>
            <w:shd w:val="clear" w:fill="F0F3F4"/>
          </w:tcPr>
          <w:p>
            <w:r/>
            <w:r>
              <w:rPr>
                <w:rFonts w:ascii="Calibri" w:hAnsi="Calibri"/>
                <w:b/>
                <w:color w:val="667279"/>
                <w:sz w:val="13"/>
              </w:rPr>
              <w:t>VISIBILITY</w:t>
            </w:r>
          </w:p>
        </w:tc>
        <w:tc>
          <w:tcPr>
            <w:tcW w:type="dxa" w:w="4752"/>
            <w:shd w:val="clear" w:fill="F0F3F4"/>
          </w:tcPr>
          <w:p>
            <w:r/>
            <w:r>
              <w:rPr>
                <w:rFonts w:ascii="Calibri" w:hAnsi="Calibri"/>
                <w:b/>
                <w:color w:val="667279"/>
                <w:sz w:val="13"/>
              </w:rPr>
              <w:t>ROLE</w:t>
            </w:r>
          </w:p>
        </w:tc>
        <w:tc>
          <w:tcPr>
            <w:tcW w:type="dxa" w:w="1296"/>
            <w:shd w:val="clear" w:fill="F0F3F4"/>
          </w:tcPr>
          <w:p>
            <w:r/>
            <w:r>
              <w:rPr>
                <w:rFonts w:ascii="Calibri" w:hAnsi="Calibri"/>
                <w:b/>
                <w:color w:val="667279"/>
                <w:sz w:val="13"/>
              </w:rPr>
              <w:t>MAIN</w:t>
            </w:r>
          </w:p>
        </w:tc>
      </w:tr>
      <w:tr>
        <w:tc>
          <w:tcPr>
            <w:tcW w:type="dxa" w:w="2736"/>
          </w:tcPr>
          <w:p>
            <w:pPr>
              <w:spacing w:line="278" w:lineRule="auto" w:after="0"/>
            </w:pPr>
            <w:r/>
            <w:r>
              <w:rPr>
                <w:rFonts w:ascii="Calibri" w:hAnsi="Calibri"/>
                <w:b/>
                <w:color w:val="172126"/>
                <w:sz w:val="15"/>
              </w:rPr>
              <w:t>divya053/newcomplete</w:t>
            </w:r>
          </w:p>
        </w:tc>
        <w:tc>
          <w:tcPr>
            <w:tcW w:type="dxa" w:w="1152"/>
          </w:tcPr>
          <w:p>
            <w:pPr>
              <w:spacing w:line="278" w:lineRule="auto" w:after="0"/>
            </w:pPr>
            <w:r/>
            <w:r>
              <w:rPr>
                <w:rFonts w:ascii="Calibri" w:hAnsi="Calibri"/>
                <w:b w:val="0"/>
                <w:color w:val="526068"/>
                <w:sz w:val="15"/>
              </w:rPr>
              <w:t>PUBLIC</w:t>
            </w:r>
          </w:p>
        </w:tc>
        <w:tc>
          <w:tcPr>
            <w:tcW w:type="dxa" w:w="4752"/>
          </w:tcPr>
          <w:p>
            <w:pPr>
              <w:spacing w:line="278" w:lineRule="auto" w:after="0"/>
            </w:pPr>
            <w:r/>
            <w:r>
              <w:rPr>
                <w:rFonts w:ascii="Calibri" w:hAnsi="Calibri"/>
                <w:b w:val="0"/>
                <w:color w:val="526068"/>
                <w:sz w:val="15"/>
              </w:rPr>
              <w:t>Working monorepo. Autosync pushes every ten minutes</w:t>
            </w:r>
          </w:p>
        </w:tc>
        <w:tc>
          <w:tcPr>
            <w:tcW w:type="dxa" w:w="1296"/>
          </w:tcPr>
          <w:p>
            <w:pPr>
              <w:spacing w:line="278" w:lineRule="auto" w:after="0"/>
            </w:pPr>
            <w:r/>
            <w:r>
              <w:rPr>
                <w:rFonts w:ascii="Consolas" w:hAnsi="Consolas"/>
                <w:b w:val="0"/>
                <w:color w:val="526068"/>
                <w:sz w:val="15"/>
              </w:rPr>
              <w:t>ddde426d</w:t>
            </w:r>
          </w:p>
        </w:tc>
      </w:tr>
      <w:tr>
        <w:tc>
          <w:tcPr>
            <w:tcW w:type="dxa" w:w="2736"/>
          </w:tcPr>
          <w:p>
            <w:pPr>
              <w:spacing w:line="278" w:lineRule="auto" w:after="0"/>
            </w:pPr>
            <w:r/>
            <w:r>
              <w:rPr>
                <w:rFonts w:ascii="Calibri" w:hAnsi="Calibri"/>
                <w:b/>
                <w:color w:val="172126"/>
                <w:sz w:val="15"/>
              </w:rPr>
              <w:t>techsmeinc/preckon-system</w:t>
            </w:r>
          </w:p>
        </w:tc>
        <w:tc>
          <w:tcPr>
            <w:tcW w:type="dxa" w:w="1152"/>
          </w:tcPr>
          <w:p>
            <w:pPr>
              <w:spacing w:line="278" w:lineRule="auto" w:after="0"/>
            </w:pPr>
            <w:r/>
            <w:r>
              <w:rPr>
                <w:rFonts w:ascii="Calibri" w:hAnsi="Calibri"/>
                <w:b w:val="0"/>
                <w:color w:val="526068"/>
                <w:sz w:val="15"/>
              </w:rPr>
              <w:t>private</w:t>
            </w:r>
          </w:p>
        </w:tc>
        <w:tc>
          <w:tcPr>
            <w:tcW w:type="dxa" w:w="4752"/>
          </w:tcPr>
          <w:p>
            <w:pPr>
              <w:spacing w:line="278" w:lineRule="auto" w:after="0"/>
            </w:pPr>
            <w:r/>
            <w:r>
              <w:rPr>
                <w:rFonts w:ascii="Calibri" w:hAnsi="Calibri"/>
                <w:b w:val="0"/>
                <w:color w:val="526068"/>
                <w:sz w:val="15"/>
              </w:rPr>
              <w:t>The organisation artefact — subtree of Preckon-system/</w:t>
            </w:r>
          </w:p>
        </w:tc>
        <w:tc>
          <w:tcPr>
            <w:tcW w:type="dxa" w:w="1296"/>
          </w:tcPr>
          <w:p>
            <w:pPr>
              <w:spacing w:line="278" w:lineRule="auto" w:after="0"/>
            </w:pPr>
            <w:r/>
            <w:r>
              <w:rPr>
                <w:rFonts w:ascii="Consolas" w:hAnsi="Consolas"/>
                <w:b w:val="0"/>
                <w:color w:val="526068"/>
                <w:sz w:val="15"/>
              </w:rPr>
              <w:t>59ff2f44</w:t>
            </w:r>
          </w:p>
        </w:tc>
      </w:tr>
      <w:tr>
        <w:tc>
          <w:tcPr>
            <w:tcW w:type="dxa" w:w="2736"/>
          </w:tcPr>
          <w:p>
            <w:pPr>
              <w:spacing w:line="278" w:lineRule="auto" w:after="0"/>
            </w:pPr>
            <w:r/>
            <w:r>
              <w:rPr>
                <w:rFonts w:ascii="Calibri" w:hAnsi="Calibri"/>
                <w:b/>
                <w:color w:val="172126"/>
                <w:sz w:val="15"/>
              </w:rPr>
              <w:t>techsmeinc/preckon-tenant</w:t>
            </w:r>
          </w:p>
        </w:tc>
        <w:tc>
          <w:tcPr>
            <w:tcW w:type="dxa" w:w="1152"/>
          </w:tcPr>
          <w:p>
            <w:pPr>
              <w:spacing w:line="278" w:lineRule="auto" w:after="0"/>
            </w:pPr>
            <w:r/>
            <w:r>
              <w:rPr>
                <w:rFonts w:ascii="Calibri" w:hAnsi="Calibri"/>
                <w:b w:val="0"/>
                <w:color w:val="526068"/>
                <w:sz w:val="15"/>
              </w:rPr>
              <w:t>private</w:t>
            </w:r>
          </w:p>
        </w:tc>
        <w:tc>
          <w:tcPr>
            <w:tcW w:type="dxa" w:w="4752"/>
          </w:tcPr>
          <w:p>
            <w:pPr>
              <w:spacing w:line="278" w:lineRule="auto" w:after="0"/>
            </w:pPr>
            <w:r/>
            <w:r>
              <w:rPr>
                <w:rFonts w:ascii="Calibri" w:hAnsi="Calibri"/>
                <w:b w:val="0"/>
                <w:color w:val="526068"/>
                <w:sz w:val="15"/>
              </w:rPr>
              <w:t>Tenant plane at its root. What the server deploys from</w:t>
            </w:r>
          </w:p>
        </w:tc>
        <w:tc>
          <w:tcPr>
            <w:tcW w:type="dxa" w:w="1296"/>
          </w:tcPr>
          <w:p>
            <w:pPr>
              <w:spacing w:line="278" w:lineRule="auto" w:after="0"/>
            </w:pPr>
            <w:r/>
            <w:r>
              <w:rPr>
                <w:rFonts w:ascii="Consolas" w:hAnsi="Consolas"/>
                <w:b w:val="0"/>
                <w:color w:val="526068"/>
                <w:sz w:val="15"/>
              </w:rPr>
              <w:t>218713cb</w:t>
            </w:r>
          </w:p>
        </w:tc>
      </w:tr>
      <w:tr>
        <w:tc>
          <w:tcPr>
            <w:tcW w:type="dxa" w:w="2736"/>
          </w:tcPr>
          <w:p>
            <w:pPr>
              <w:spacing w:line="278" w:lineRule="auto" w:after="0"/>
            </w:pPr>
            <w:r/>
            <w:r>
              <w:rPr>
                <w:rFonts w:ascii="Calibri" w:hAnsi="Calibri"/>
                <w:b/>
                <w:color w:val="172126"/>
                <w:sz w:val="15"/>
              </w:rPr>
              <w:t>techsmeinc/preckon-host</w:t>
            </w:r>
          </w:p>
        </w:tc>
        <w:tc>
          <w:tcPr>
            <w:tcW w:type="dxa" w:w="1152"/>
          </w:tcPr>
          <w:p>
            <w:pPr>
              <w:spacing w:line="278" w:lineRule="auto" w:after="0"/>
            </w:pPr>
            <w:r/>
            <w:r>
              <w:rPr>
                <w:rFonts w:ascii="Calibri" w:hAnsi="Calibri"/>
                <w:b w:val="0"/>
                <w:color w:val="526068"/>
                <w:sz w:val="15"/>
              </w:rPr>
              <w:t>private</w:t>
            </w:r>
          </w:p>
        </w:tc>
        <w:tc>
          <w:tcPr>
            <w:tcW w:type="dxa" w:w="4752"/>
          </w:tcPr>
          <w:p>
            <w:pPr>
              <w:spacing w:line="278" w:lineRule="auto" w:after="0"/>
            </w:pPr>
            <w:r/>
            <w:r>
              <w:rPr>
                <w:rFonts w:ascii="Calibri" w:hAnsi="Calibri"/>
                <w:b w:val="0"/>
                <w:color w:val="526068"/>
                <w:sz w:val="15"/>
              </w:rPr>
              <w:t>Host plane at its root</w:t>
            </w:r>
          </w:p>
        </w:tc>
        <w:tc>
          <w:tcPr>
            <w:tcW w:type="dxa" w:w="1296"/>
          </w:tcPr>
          <w:p>
            <w:pPr>
              <w:spacing w:line="278" w:lineRule="auto" w:after="0"/>
            </w:pPr>
            <w:r/>
            <w:r>
              <w:rPr>
                <w:rFonts w:ascii="Consolas" w:hAnsi="Consolas"/>
                <w:b w:val="0"/>
                <w:color w:val="526068"/>
                <w:sz w:val="15"/>
              </w:rPr>
              <w:t>47114737</w:t>
            </w:r>
          </w:p>
        </w:tc>
      </w:tr>
    </w:tbl>
    <w:p>
      <w:pPr>
        <w:spacing w:after="60"/>
      </w:pP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10080"/>
      </w:tblGrid>
      <w:tr>
        <w:tc>
          <w:tcPr>
            <w:tcW w:type="dxa" w:w="10080"/>
            <w:shd w:val="clear" w:fill="FBEAE8"/>
          </w:tcPr>
          <w:p>
            <w:r/>
            <w:r>
              <w:rPr>
                <w:rFonts w:ascii="Calibri" w:hAnsi="Calibri"/>
                <w:b/>
                <w:color w:val="B42318"/>
                <w:sz w:val="14"/>
              </w:rPr>
              <w:t>THE PUBLIC ONE IS THE PROBLEM, NOT THE BRANCHES</w:t>
            </w:r>
          </w:p>
          <w:p>
            <w:pPr>
              <w:spacing w:before="60" w:line="302" w:lineRule="auto"/>
            </w:pPr>
            <w:r>
              <w:rPr>
                <w:rFonts w:ascii="Georgia" w:hAnsi="Georgia"/>
                <w:color w:val="172126"/>
                <w:sz w:val="17"/>
              </w:rPr>
              <w:t>divya053/newcomplete is public and has been receiving the entire source every ten minutes since July, including a file of working production credentials in its history. The three organisation repositories are private. This is the open decision from the September engineering report and it sits above anything in this section.</w:t>
            </w:r>
          </w:p>
        </w:tc>
      </w:tr>
    </w:tbl>
    <w:p>
      <w:pPr>
        <w:spacing w:after="60"/>
      </w:pPr>
    </w:p>
    <w:p>
      <w:pPr>
        <w:spacing w:before="260" w:after="80" w:line="307" w:lineRule="auto"/>
      </w:pPr>
      <w:r>
        <w:rPr>
          <w:rFonts w:ascii="Calibri" w:hAnsi="Calibri"/>
          <w:b/>
          <w:color w:val="172126"/>
          <w:sz w:val="22"/>
        </w:rPr>
        <w:t>3.2  Branch state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1680"/>
        <w:gridCol w:w="1680"/>
        <w:gridCol w:w="1680"/>
        <w:gridCol w:w="1680"/>
        <w:gridCol w:w="1680"/>
        <w:gridCol w:w="1680"/>
      </w:tblGrid>
      <w:tr>
        <w:tc>
          <w:tcPr>
            <w:tcW w:type="dxa" w:w="2880"/>
            <w:shd w:val="clear" w:fill="F0F3F4"/>
          </w:tcPr>
          <w:p>
            <w:r/>
            <w:r>
              <w:rPr>
                <w:rFonts w:ascii="Calibri" w:hAnsi="Calibri"/>
                <w:b/>
                <w:color w:val="667279"/>
                <w:sz w:val="13"/>
              </w:rPr>
              <w:t>BRANCH</w:t>
            </w:r>
          </w:p>
        </w:tc>
        <w:tc>
          <w:tcPr>
            <w:tcW w:type="dxa" w:w="1080"/>
            <w:shd w:val="clear" w:fill="F0F3F4"/>
          </w:tcPr>
          <w:p>
            <w:r/>
            <w:r>
              <w:rPr>
                <w:rFonts w:ascii="Calibri" w:hAnsi="Calibri"/>
                <w:b/>
                <w:color w:val="667279"/>
                <w:sz w:val="13"/>
              </w:rPr>
              <w:t>REPO</w:t>
            </w:r>
          </w:p>
        </w:tc>
        <w:tc>
          <w:tcPr>
            <w:tcW w:type="dxa" w:w="720"/>
            <w:shd w:val="clear" w:fill="F0F3F4"/>
          </w:tcPr>
          <w:p>
            <w:r/>
            <w:r>
              <w:rPr>
                <w:rFonts w:ascii="Calibri" w:hAnsi="Calibri"/>
                <w:b/>
                <w:color w:val="667279"/>
                <w:sz w:val="13"/>
              </w:rPr>
              <w:t>AHEAD</w:t>
            </w:r>
          </w:p>
        </w:tc>
        <w:tc>
          <w:tcPr>
            <w:tcW w:type="dxa" w:w="792"/>
            <w:shd w:val="clear" w:fill="F0F3F4"/>
          </w:tcPr>
          <w:p>
            <w:r/>
            <w:r>
              <w:rPr>
                <w:rFonts w:ascii="Calibri" w:hAnsi="Calibri"/>
                <w:b/>
                <w:color w:val="667279"/>
                <w:sz w:val="13"/>
              </w:rPr>
              <w:t>BEHIND</w:t>
            </w:r>
          </w:p>
        </w:tc>
        <w:tc>
          <w:tcPr>
            <w:tcW w:type="dxa" w:w="1296"/>
            <w:shd w:val="clear" w:fill="F0F3F4"/>
          </w:tcPr>
          <w:p>
            <w:r/>
            <w:r>
              <w:rPr>
                <w:rFonts w:ascii="Calibri" w:hAnsi="Calibri"/>
                <w:b/>
                <w:color w:val="667279"/>
                <w:sz w:val="13"/>
              </w:rPr>
              <w:t>LAST</w:t>
            </w:r>
          </w:p>
        </w:tc>
        <w:tc>
          <w:tcPr>
            <w:tcW w:type="dxa" w:w="1584"/>
            <w:shd w:val="clear" w:fill="F0F3F4"/>
          </w:tcPr>
          <w:p>
            <w:r/>
            <w:r>
              <w:rPr>
                <w:rFonts w:ascii="Calibri" w:hAnsi="Calibri"/>
                <w:b/>
                <w:color w:val="667279"/>
                <w:sz w:val="13"/>
              </w:rPr>
              <w:t>RECOMMENDATION</w:t>
            </w:r>
          </w:p>
        </w:tc>
      </w:tr>
      <w:tr>
        <w:tc>
          <w:tcPr>
            <w:tcW w:type="dxa" w:w="2880"/>
          </w:tcPr>
          <w:p>
            <w:pPr>
              <w:spacing w:line="278" w:lineRule="auto" w:after="0"/>
            </w:pPr>
            <w:r/>
            <w:r>
              <w:rPr>
                <w:rFonts w:ascii="Calibri" w:hAnsi="Calibri"/>
                <w:b/>
                <w:color w:val="172126"/>
                <w:sz w:val="15"/>
              </w:rPr>
              <w:t>main</w:t>
            </w:r>
          </w:p>
        </w:tc>
        <w:tc>
          <w:tcPr>
            <w:tcW w:type="dxa" w:w="1080"/>
          </w:tcPr>
          <w:p>
            <w:pPr>
              <w:spacing w:line="278" w:lineRule="auto" w:after="0"/>
            </w:pPr>
            <w:r/>
            <w:r>
              <w:rPr>
                <w:rFonts w:ascii="Calibri" w:hAnsi="Calibri"/>
                <w:b w:val="0"/>
                <w:color w:val="526068"/>
                <w:sz w:val="15"/>
              </w:rPr>
              <w:t>all four</w:t>
            </w:r>
          </w:p>
        </w:tc>
        <w:tc>
          <w:tcPr>
            <w:tcW w:type="dxa" w:w="720"/>
          </w:tcPr>
          <w:p>
            <w:pPr>
              <w:spacing w:line="278" w:lineRule="auto" w:after="0"/>
            </w:pPr>
            <w:r/>
            <w:r>
              <w:rPr>
                <w:rFonts w:ascii="Consolas" w:hAnsi="Consolas"/>
                <w:b w:val="0"/>
                <w:color w:val="526068"/>
                <w:sz w:val="15"/>
              </w:rPr>
              <w:t>—</w:t>
            </w:r>
          </w:p>
        </w:tc>
        <w:tc>
          <w:tcPr>
            <w:tcW w:type="dxa" w:w="792"/>
          </w:tcPr>
          <w:p>
            <w:pPr>
              <w:spacing w:line="278" w:lineRule="auto" w:after="0"/>
            </w:pPr>
            <w:r/>
            <w:r>
              <w:rPr>
                <w:rFonts w:ascii="Consolas" w:hAnsi="Consolas"/>
                <w:b w:val="0"/>
                <w:color w:val="526068"/>
                <w:sz w:val="15"/>
              </w:rPr>
              <w:t>—</w:t>
            </w:r>
          </w:p>
        </w:tc>
        <w:tc>
          <w:tcPr>
            <w:tcW w:type="dxa" w:w="1296"/>
          </w:tcPr>
          <w:p>
            <w:pPr>
              <w:spacing w:line="278" w:lineRule="auto" w:after="0"/>
            </w:pPr>
            <w:r/>
            <w:r>
              <w:rPr>
                <w:rFonts w:ascii="Consolas" w:hAnsi="Consolas"/>
                <w:b w:val="0"/>
                <w:color w:val="526068"/>
                <w:sz w:val="15"/>
              </w:rPr>
              <w:t>2026-09-01/03</w:t>
            </w:r>
          </w:p>
        </w:tc>
        <w:tc>
          <w:tcPr>
            <w:tcW w:type="dxa" w:w="1584"/>
            <w:shd w:val="clear" w:fill="E6F3F1"/>
          </w:tcPr>
          <w:p>
            <w:pPr>
              <w:spacing w:line="278" w:lineRule="auto" w:after="0"/>
            </w:pPr>
            <w:r/>
            <w:r>
              <w:rPr>
                <w:rFonts w:ascii="Calibri" w:hAnsi="Calibri"/>
                <w:b/>
                <w:color w:val="087E75"/>
                <w:sz w:val="15"/>
              </w:rPr>
              <w:t>Live</w:t>
            </w:r>
          </w:p>
        </w:tc>
      </w:tr>
      <w:tr>
        <w:tc>
          <w:tcPr>
            <w:tcW w:type="dxa" w:w="2880"/>
          </w:tcPr>
          <w:p>
            <w:pPr>
              <w:spacing w:line="278" w:lineRule="auto" w:after="0"/>
            </w:pPr>
            <w:r/>
            <w:r>
              <w:rPr>
                <w:rFonts w:ascii="Calibri" w:hAnsi="Calibri"/>
                <w:b/>
                <w:color w:val="172126"/>
                <w:sz w:val="15"/>
              </w:rPr>
              <w:t>agent/t01a-credential-hygiene</w:t>
            </w:r>
          </w:p>
        </w:tc>
        <w:tc>
          <w:tcPr>
            <w:tcW w:type="dxa" w:w="1080"/>
          </w:tcPr>
          <w:p>
            <w:pPr>
              <w:spacing w:line="278" w:lineRule="auto" w:after="0"/>
            </w:pPr>
            <w:r/>
            <w:r>
              <w:rPr>
                <w:rFonts w:ascii="Calibri" w:hAnsi="Calibri"/>
                <w:b w:val="0"/>
                <w:color w:val="526068"/>
                <w:sz w:val="15"/>
              </w:rPr>
              <w:t>tenant</w:t>
            </w:r>
          </w:p>
        </w:tc>
        <w:tc>
          <w:tcPr>
            <w:tcW w:type="dxa" w:w="720"/>
          </w:tcPr>
          <w:p>
            <w:pPr>
              <w:spacing w:line="278" w:lineRule="auto" w:after="0"/>
            </w:pPr>
            <w:r/>
            <w:r>
              <w:rPr>
                <w:rFonts w:ascii="Consolas" w:hAnsi="Consolas"/>
                <w:b w:val="0"/>
                <w:color w:val="526068"/>
                <w:sz w:val="15"/>
              </w:rPr>
              <w:t>0</w:t>
            </w:r>
          </w:p>
        </w:tc>
        <w:tc>
          <w:tcPr>
            <w:tcW w:type="dxa" w:w="792"/>
          </w:tcPr>
          <w:p>
            <w:pPr>
              <w:spacing w:line="278" w:lineRule="auto" w:after="0"/>
            </w:pPr>
            <w:r/>
            <w:r>
              <w:rPr>
                <w:rFonts w:ascii="Consolas" w:hAnsi="Consolas"/>
                <w:b w:val="0"/>
                <w:color w:val="526068"/>
                <w:sz w:val="15"/>
              </w:rPr>
              <w:t>3</w:t>
            </w:r>
          </w:p>
        </w:tc>
        <w:tc>
          <w:tcPr>
            <w:tcW w:type="dxa" w:w="1296"/>
          </w:tcPr>
          <w:p>
            <w:pPr>
              <w:spacing w:line="278" w:lineRule="auto" w:after="0"/>
            </w:pPr>
            <w:r/>
            <w:r>
              <w:rPr>
                <w:rFonts w:ascii="Consolas" w:hAnsi="Consolas"/>
                <w:b w:val="0"/>
                <w:color w:val="526068"/>
                <w:sz w:val="15"/>
              </w:rPr>
              <w:t>2026-09-01</w:t>
            </w:r>
          </w:p>
        </w:tc>
        <w:tc>
          <w:tcPr>
            <w:tcW w:type="dxa" w:w="1584"/>
            <w:shd w:val="clear" w:fill="FBF0E0"/>
          </w:tcPr>
          <w:p>
            <w:pPr>
              <w:spacing w:line="278" w:lineRule="auto" w:after="0"/>
            </w:pPr>
            <w:r/>
            <w:r>
              <w:rPr>
                <w:rFonts w:ascii="Calibri" w:hAnsi="Calibri"/>
                <w:b/>
                <w:color w:val="A56000"/>
                <w:sz w:val="15"/>
              </w:rPr>
              <w:t>Delete</w:t>
            </w:r>
          </w:p>
        </w:tc>
      </w:tr>
      <w:tr>
        <w:tc>
          <w:tcPr>
            <w:tcW w:type="dxa" w:w="2880"/>
          </w:tcPr>
          <w:p>
            <w:pPr>
              <w:spacing w:line="278" w:lineRule="auto" w:after="0"/>
            </w:pPr>
            <w:r/>
            <w:r>
              <w:rPr>
                <w:rFonts w:ascii="Calibri" w:hAnsi="Calibri"/>
                <w:b/>
                <w:color w:val="172126"/>
                <w:sz w:val="15"/>
              </w:rPr>
              <w:t>agent/t01-security-ci-peb-sync-v1</w:t>
            </w:r>
          </w:p>
        </w:tc>
        <w:tc>
          <w:tcPr>
            <w:tcW w:type="dxa" w:w="1080"/>
          </w:tcPr>
          <w:p>
            <w:pPr>
              <w:spacing w:line="278" w:lineRule="auto" w:after="0"/>
            </w:pPr>
            <w:r/>
            <w:r>
              <w:rPr>
                <w:rFonts w:ascii="Calibri" w:hAnsi="Calibri"/>
                <w:b w:val="0"/>
                <w:color w:val="526068"/>
                <w:sz w:val="15"/>
              </w:rPr>
              <w:t>tenant</w:t>
            </w:r>
          </w:p>
        </w:tc>
        <w:tc>
          <w:tcPr>
            <w:tcW w:type="dxa" w:w="720"/>
          </w:tcPr>
          <w:p>
            <w:pPr>
              <w:spacing w:line="278" w:lineRule="auto" w:after="0"/>
            </w:pPr>
            <w:r/>
            <w:r>
              <w:rPr>
                <w:rFonts w:ascii="Consolas" w:hAnsi="Consolas"/>
                <w:b w:val="0"/>
                <w:color w:val="526068"/>
                <w:sz w:val="15"/>
              </w:rPr>
              <w:t>0</w:t>
            </w:r>
          </w:p>
        </w:tc>
        <w:tc>
          <w:tcPr>
            <w:tcW w:type="dxa" w:w="792"/>
          </w:tcPr>
          <w:p>
            <w:pPr>
              <w:spacing w:line="278" w:lineRule="auto" w:after="0"/>
            </w:pPr>
            <w:r/>
            <w:r>
              <w:rPr>
                <w:rFonts w:ascii="Consolas" w:hAnsi="Consolas"/>
                <w:b w:val="0"/>
                <w:color w:val="526068"/>
                <w:sz w:val="15"/>
              </w:rPr>
              <w:t>209</w:t>
            </w:r>
          </w:p>
        </w:tc>
        <w:tc>
          <w:tcPr>
            <w:tcW w:type="dxa" w:w="1296"/>
          </w:tcPr>
          <w:p>
            <w:pPr>
              <w:spacing w:line="278" w:lineRule="auto" w:after="0"/>
            </w:pPr>
            <w:r/>
            <w:r>
              <w:rPr>
                <w:rFonts w:ascii="Consolas" w:hAnsi="Consolas"/>
                <w:b w:val="0"/>
                <w:color w:val="526068"/>
                <w:sz w:val="15"/>
              </w:rPr>
              <w:t>2026-08-26</w:t>
            </w:r>
          </w:p>
        </w:tc>
        <w:tc>
          <w:tcPr>
            <w:tcW w:type="dxa" w:w="1584"/>
            <w:shd w:val="clear" w:fill="FBF0E0"/>
          </w:tcPr>
          <w:p>
            <w:pPr>
              <w:spacing w:line="278" w:lineRule="auto" w:after="0"/>
            </w:pPr>
            <w:r/>
            <w:r>
              <w:rPr>
                <w:rFonts w:ascii="Calibri" w:hAnsi="Calibri"/>
                <w:b/>
                <w:color w:val="A56000"/>
                <w:sz w:val="15"/>
              </w:rPr>
              <w:t>Delete</w:t>
            </w:r>
          </w:p>
        </w:tc>
      </w:tr>
      <w:tr>
        <w:tc>
          <w:tcPr>
            <w:tcW w:type="dxa" w:w="2880"/>
          </w:tcPr>
          <w:p>
            <w:pPr>
              <w:spacing w:line="278" w:lineRule="auto" w:after="0"/>
            </w:pPr>
            <w:r/>
            <w:r>
              <w:rPr>
                <w:rFonts w:ascii="Calibri" w:hAnsi="Calibri"/>
                <w:b/>
                <w:color w:val="172126"/>
                <w:sz w:val="15"/>
              </w:rPr>
              <w:t>pre-sync-2026-08-13</w:t>
            </w:r>
          </w:p>
        </w:tc>
        <w:tc>
          <w:tcPr>
            <w:tcW w:type="dxa" w:w="1080"/>
          </w:tcPr>
          <w:p>
            <w:pPr>
              <w:spacing w:line="278" w:lineRule="auto" w:after="0"/>
            </w:pPr>
            <w:r/>
            <w:r>
              <w:rPr>
                <w:rFonts w:ascii="Calibri" w:hAnsi="Calibri"/>
                <w:b w:val="0"/>
                <w:color w:val="526068"/>
                <w:sz w:val="15"/>
              </w:rPr>
              <w:t>tenant</w:t>
            </w:r>
          </w:p>
        </w:tc>
        <w:tc>
          <w:tcPr>
            <w:tcW w:type="dxa" w:w="720"/>
          </w:tcPr>
          <w:p>
            <w:pPr>
              <w:spacing w:line="278" w:lineRule="auto" w:after="0"/>
            </w:pPr>
            <w:r/>
            <w:r>
              <w:rPr>
                <w:rFonts w:ascii="Consolas" w:hAnsi="Consolas"/>
                <w:b w:val="0"/>
                <w:color w:val="526068"/>
                <w:sz w:val="15"/>
              </w:rPr>
              <w:t>2</w:t>
            </w:r>
          </w:p>
        </w:tc>
        <w:tc>
          <w:tcPr>
            <w:tcW w:type="dxa" w:w="792"/>
          </w:tcPr>
          <w:p>
            <w:pPr>
              <w:spacing w:line="278" w:lineRule="auto" w:after="0"/>
            </w:pPr>
            <w:r/>
            <w:r>
              <w:rPr>
                <w:rFonts w:ascii="Consolas" w:hAnsi="Consolas"/>
                <w:b w:val="0"/>
                <w:color w:val="526068"/>
                <w:sz w:val="15"/>
              </w:rPr>
              <w:t>510</w:t>
            </w:r>
          </w:p>
        </w:tc>
        <w:tc>
          <w:tcPr>
            <w:tcW w:type="dxa" w:w="1296"/>
          </w:tcPr>
          <w:p>
            <w:pPr>
              <w:spacing w:line="278" w:lineRule="auto" w:after="0"/>
            </w:pPr>
            <w:r/>
            <w:r>
              <w:rPr>
                <w:rFonts w:ascii="Consolas" w:hAnsi="Consolas"/>
                <w:b w:val="0"/>
                <w:color w:val="526068"/>
                <w:sz w:val="15"/>
              </w:rPr>
              <w:t>2026-07-28</w:t>
            </w:r>
          </w:p>
        </w:tc>
        <w:tc>
          <w:tcPr>
            <w:tcW w:type="dxa" w:w="1584"/>
          </w:tcPr>
          <w:p>
            <w:pPr>
              <w:spacing w:line="278" w:lineRule="auto" w:after="0"/>
            </w:pPr>
            <w:r/>
            <w:r>
              <w:rPr>
                <w:rFonts w:ascii="Calibri" w:hAnsi="Calibri"/>
                <w:b/>
                <w:color w:val="087E75"/>
                <w:sz w:val="15"/>
              </w:rPr>
              <w:t>Keep</w:t>
            </w:r>
          </w:p>
        </w:tc>
      </w:tr>
      <w:tr>
        <w:tc>
          <w:tcPr>
            <w:tcW w:type="dxa" w:w="2880"/>
          </w:tcPr>
          <w:p>
            <w:pPr>
              <w:spacing w:line="278" w:lineRule="auto" w:after="0"/>
            </w:pPr>
            <w:r/>
            <w:r>
              <w:rPr>
                <w:rFonts w:ascii="Calibri" w:hAnsi="Calibri"/>
                <w:b/>
                <w:color w:val="172126"/>
                <w:sz w:val="15"/>
              </w:rPr>
              <w:t>agent/h01-security-ci-peb-sync-v1</w:t>
            </w:r>
          </w:p>
        </w:tc>
        <w:tc>
          <w:tcPr>
            <w:tcW w:type="dxa" w:w="1080"/>
          </w:tcPr>
          <w:p>
            <w:pPr>
              <w:spacing w:line="278" w:lineRule="auto" w:after="0"/>
            </w:pPr>
            <w:r/>
            <w:r>
              <w:rPr>
                <w:rFonts w:ascii="Calibri" w:hAnsi="Calibri"/>
                <w:b w:val="0"/>
                <w:color w:val="526068"/>
                <w:sz w:val="15"/>
              </w:rPr>
              <w:t>host</w:t>
            </w:r>
          </w:p>
        </w:tc>
        <w:tc>
          <w:tcPr>
            <w:tcW w:type="dxa" w:w="720"/>
          </w:tcPr>
          <w:p>
            <w:pPr>
              <w:spacing w:line="278" w:lineRule="auto" w:after="0"/>
            </w:pPr>
            <w:r/>
            <w:r>
              <w:rPr>
                <w:rFonts w:ascii="Consolas" w:hAnsi="Consolas"/>
                <w:b w:val="0"/>
                <w:color w:val="526068"/>
                <w:sz w:val="15"/>
              </w:rPr>
              <w:t>0</w:t>
            </w:r>
          </w:p>
        </w:tc>
        <w:tc>
          <w:tcPr>
            <w:tcW w:type="dxa" w:w="792"/>
          </w:tcPr>
          <w:p>
            <w:pPr>
              <w:spacing w:line="278" w:lineRule="auto" w:after="0"/>
            </w:pPr>
            <w:r/>
            <w:r>
              <w:rPr>
                <w:rFonts w:ascii="Consolas" w:hAnsi="Consolas"/>
                <w:b w:val="0"/>
                <w:color w:val="526068"/>
                <w:sz w:val="15"/>
              </w:rPr>
              <w:t>3</w:t>
            </w:r>
          </w:p>
        </w:tc>
        <w:tc>
          <w:tcPr>
            <w:tcW w:type="dxa" w:w="1296"/>
          </w:tcPr>
          <w:p>
            <w:pPr>
              <w:spacing w:line="278" w:lineRule="auto" w:after="0"/>
            </w:pPr>
            <w:r/>
            <w:r>
              <w:rPr>
                <w:rFonts w:ascii="Consolas" w:hAnsi="Consolas"/>
                <w:b w:val="0"/>
                <w:color w:val="526068"/>
                <w:sz w:val="15"/>
              </w:rPr>
              <w:t>2026-08-25</w:t>
            </w:r>
          </w:p>
        </w:tc>
        <w:tc>
          <w:tcPr>
            <w:tcW w:type="dxa" w:w="1584"/>
            <w:shd w:val="clear" w:fill="FBF0E0"/>
          </w:tcPr>
          <w:p>
            <w:pPr>
              <w:spacing w:line="278" w:lineRule="auto" w:after="0"/>
            </w:pPr>
            <w:r/>
            <w:r>
              <w:rPr>
                <w:rFonts w:ascii="Calibri" w:hAnsi="Calibri"/>
                <w:b/>
                <w:color w:val="A56000"/>
                <w:sz w:val="15"/>
              </w:rPr>
              <w:t>Delete</w:t>
            </w:r>
          </w:p>
        </w:tc>
      </w:tr>
      <w:tr>
        <w:tc>
          <w:tcPr>
            <w:tcW w:type="dxa" w:w="2880"/>
          </w:tcPr>
          <w:p>
            <w:pPr>
              <w:spacing w:line="278" w:lineRule="auto" w:after="0"/>
            </w:pPr>
            <w:r/>
            <w:r>
              <w:rPr>
                <w:rFonts w:ascii="Calibri" w:hAnsi="Calibri"/>
                <w:b/>
                <w:color w:val="172126"/>
                <w:sz w:val="15"/>
              </w:rPr>
              <w:t>spec/retrofit-2026-09-01</w:t>
            </w:r>
          </w:p>
        </w:tc>
        <w:tc>
          <w:tcPr>
            <w:tcW w:type="dxa" w:w="1080"/>
          </w:tcPr>
          <w:p>
            <w:pPr>
              <w:spacing w:line="278" w:lineRule="auto" w:after="0"/>
            </w:pPr>
            <w:r/>
            <w:r>
              <w:rPr>
                <w:rFonts w:ascii="Calibri" w:hAnsi="Calibri"/>
                <w:b w:val="0"/>
                <w:color w:val="526068"/>
                <w:sz w:val="15"/>
              </w:rPr>
              <w:t>bible</w:t>
            </w:r>
          </w:p>
        </w:tc>
        <w:tc>
          <w:tcPr>
            <w:tcW w:type="dxa" w:w="720"/>
          </w:tcPr>
          <w:p>
            <w:pPr>
              <w:spacing w:line="278" w:lineRule="auto" w:after="0"/>
            </w:pPr>
            <w:r/>
            <w:r>
              <w:rPr>
                <w:rFonts w:ascii="Consolas" w:hAnsi="Consolas"/>
                <w:b w:val="0"/>
                <w:color w:val="526068"/>
                <w:sz w:val="15"/>
              </w:rPr>
              <w:t>1</w:t>
            </w:r>
          </w:p>
        </w:tc>
        <w:tc>
          <w:tcPr>
            <w:tcW w:type="dxa" w:w="792"/>
          </w:tcPr>
          <w:p>
            <w:pPr>
              <w:spacing w:line="278" w:lineRule="auto" w:after="0"/>
            </w:pPr>
            <w:r/>
            <w:r>
              <w:rPr>
                <w:rFonts w:ascii="Consolas" w:hAnsi="Consolas"/>
                <w:b w:val="0"/>
                <w:color w:val="526068"/>
                <w:sz w:val="15"/>
              </w:rPr>
              <w:t>0</w:t>
            </w:r>
          </w:p>
        </w:tc>
        <w:tc>
          <w:tcPr>
            <w:tcW w:type="dxa" w:w="1296"/>
          </w:tcPr>
          <w:p>
            <w:pPr>
              <w:spacing w:line="278" w:lineRule="auto" w:after="0"/>
            </w:pPr>
            <w:r/>
            <w:r>
              <w:rPr>
                <w:rFonts w:ascii="Consolas" w:hAnsi="Consolas"/>
                <w:b w:val="0"/>
                <w:color w:val="526068"/>
                <w:sz w:val="15"/>
              </w:rPr>
              <w:t>2026-09-01</w:t>
            </w:r>
          </w:p>
        </w:tc>
        <w:tc>
          <w:tcPr>
            <w:tcW w:type="dxa" w:w="1584"/>
            <w:shd w:val="clear" w:fill="E6F3F1"/>
          </w:tcPr>
          <w:p>
            <w:pPr>
              <w:spacing w:line="278" w:lineRule="auto" w:after="0"/>
            </w:pPr>
            <w:r/>
            <w:r>
              <w:rPr>
                <w:rFonts w:ascii="Calibri" w:hAnsi="Calibri"/>
                <w:b/>
                <w:color w:val="087E75"/>
                <w:sz w:val="15"/>
              </w:rPr>
              <w:t>Merged</w:t>
            </w:r>
          </w:p>
        </w:tc>
      </w:tr>
    </w:tbl>
    <w:p>
      <w:pPr>
        <w:spacing w:after="60"/>
      </w:pPr>
    </w:p>
    <w:p>
      <w:pPr>
        <w:spacing w:before="260" w:after="80" w:line="307" w:lineRule="auto"/>
      </w:pPr>
      <w:r>
        <w:rPr>
          <w:rFonts w:ascii="Calibri" w:hAnsi="Calibri"/>
          <w:b/>
          <w:color w:val="172126"/>
          <w:sz w:val="22"/>
        </w:rPr>
        <w:t>3.3  What each one is</w:t>
      </w:r>
    </w:p>
    <w:p>
      <w:pPr>
        <w:spacing w:before="0" w:after="100" w:line="307" w:lineRule="auto"/>
      </w:pPr>
      <w:r>
        <w:rPr>
          <w:rFonts w:ascii="Georgia" w:hAnsi="Georgia"/>
          <w:b w:val="0"/>
          <w:color w:val="526068"/>
          <w:sz w:val="19"/>
        </w:rPr>
        <w:t>agent/t01a-credential-hygiene — pull request #5. Twelve commits that all reached main by another route; conflicts resolved so the branch is now identical to main. Merging it adds nothing; closing it says what actually happened.</w:t>
      </w:r>
    </w:p>
    <w:p>
      <w:pPr>
        <w:spacing w:before="0" w:after="100" w:line="307" w:lineRule="auto"/>
      </w:pPr>
      <w:r>
        <w:rPr>
          <w:rFonts w:ascii="Georgia" w:hAnsi="Georgia"/>
          <w:b w:val="0"/>
          <w:color w:val="526068"/>
          <w:sz w:val="19"/>
        </w:rPr>
        <w:t>agent/t01-security-ci-peb-sync-v1 and agent/h01-… — merged pull request #1 on each plane, 209 and 3 commits behind respectively. Their work is in main. Safe to delete.</w:t>
      </w:r>
    </w:p>
    <w:p>
      <w:pPr>
        <w:spacing w:before="0" w:after="100" w:line="307" w:lineRule="auto"/>
      </w:pPr>
      <w:r>
        <w:rPr>
          <w:rFonts w:ascii="Georgia" w:hAnsi="Georgia"/>
          <w:b w:val="0"/>
          <w:color w:val="526068"/>
          <w:sz w:val="19"/>
        </w:rPr>
        <w:t>pre-sync-2026-08-13 — the ONLY branch with commits main does not have: 2 ahead, 510 behind, untouched since 28 July. Named as a pre-sync snapshot, so those two commits are probably a checkpoint rather than unshipped work — but they should be read before it is deleted, which is why it is the one marked Keep.</w:t>
      </w:r>
    </w:p>
    <w:p>
      <w:pPr>
        <w:spacing w:before="0" w:after="100" w:line="307" w:lineRule="auto"/>
      </w:pPr>
      <w:r>
        <w:rPr>
          <w:rFonts w:ascii="Georgia" w:hAnsi="Georgia"/>
          <w:b w:val="0"/>
          <w:color w:val="526068"/>
          <w:sz w:val="19"/>
        </w:rPr>
        <w:t>spec/retrofit-2026-09-01 — the Engineering Bible branch recording this cycle's security and AI findings against PEB-PLT-306 and PEB-AIP-100, with ADR-0002. Awaiting review.</w:t>
      </w:r>
    </w:p>
    <w:p>
      <w:pPr>
        <w:spacing w:before="260" w:after="80" w:line="307" w:lineRule="auto"/>
      </w:pPr>
      <w:r>
        <w:rPr>
          <w:rFonts w:ascii="Calibri" w:hAnsi="Calibri"/>
          <w:b/>
          <w:color w:val="172126"/>
          <w:sz w:val="22"/>
        </w:rPr>
        <w:t>3.4  Publishing</w:t>
      </w:r>
    </w:p>
    <w:p>
      <w:pPr>
        <w:spacing w:before="0" w:after="140" w:line="307" w:lineRule="auto"/>
      </w:pPr>
      <w:r>
        <w:rPr>
          <w:rFonts w:ascii="Georgia" w:hAnsi="Georgia"/>
          <w:b w:val="0"/>
          <w:color w:val="526068"/>
          <w:sz w:val="19"/>
        </w:rPr>
        <w:t>A nightly job at 02:30 publishes all three organisation repositories. It merges each remote before pushing rather than force-pushing: two directories had been deleted directly on GitHub, and a force-push of a fresh subtree split would have resurrected fourteen files somebody deliberately removed, silently, on a schedule. A genuine conflict stops that target rather than picking a winner with nobody reading.</w:t>
      </w:r>
    </w:p>
    <w:p>
      <w:pPr>
        <w:spacing w:before="0" w:after="140" w:line="307" w:lineRule="auto"/>
      </w:pPr>
      <w:r>
        <w:rPr>
          <w:rFonts w:ascii="Georgia" w:hAnsi="Georgia"/>
          <w:b w:val="0"/>
          <w:color w:val="526068"/>
          <w:sz w:val="19"/>
        </w:rPr>
        <w:t>preckon-host is the exception. Its history has no common ancestor with the monorepo subtree, so git refuses to merge them at all — it is published by overlay on top of its own commits instead. That is safe only while the monorepo is the authority on shared files, which is why the host's Next.js baseline and its capture-shapes hardening were pulled back into the monorepo before that path was enabled.</w:t>
      </w:r>
    </w:p>
    <w:p>
      <w:r>
        <w:br w:type="page"/>
      </w:r>
    </w:p>
    <w:p>
      <w:pPr>
        <w:spacing w:before="0" w:after="60" w:line="307" w:lineRule="auto"/>
      </w:pPr>
      <w:r>
        <w:rPr>
          <w:rFonts w:ascii="Consolas" w:hAnsi="Consolas"/>
          <w:b/>
          <w:color w:val="087E75"/>
          <w:sz w:val="15"/>
        </w:rPr>
        <w:t>PART 5</w:t>
      </w:r>
    </w:p>
    <w:p>
      <w:pPr>
        <w:spacing w:before="0" w:after="160" w:line="252" w:lineRule="auto"/>
      </w:pPr>
      <w:r>
        <w:rPr>
          <w:rFonts w:ascii="Georgia" w:hAnsi="Georgia"/>
          <w:b/>
          <w:color w:val="172126"/>
          <w:sz w:val="38"/>
        </w:rPr>
        <w:t>Tenant isolation — what stands in for row-level security</w:t>
      </w:r>
    </w:p>
    <w:p>
      <w:pPr>
        <w:spacing w:before="0" w:after="200" w:line="307" w:lineRule="auto"/>
      </w:pPr>
      <w:r>
        <w:rPr>
          <w:rFonts w:ascii="Georgia" w:hAnsi="Georgia"/>
          <w:b w:val="0"/>
          <w:color w:val="526068"/>
          <w:sz w:val="21"/>
        </w:rPr>
        <w:t>MySQL has no RLS. There is no policy engine to point at, so isolation is a discipline with a machine holding the line.</w:t>
      </w:r>
    </w:p>
    <w:p>
      <w:pPr>
        <w:spacing w:before="260" w:after="80" w:line="307" w:lineRule="auto"/>
      </w:pPr>
      <w:r>
        <w:rPr>
          <w:rFonts w:ascii="Calibri" w:hAnsi="Calibri"/>
          <w:b/>
          <w:color w:val="172126"/>
          <w:sz w:val="22"/>
        </w:rPr>
        <w:t>4.1  Why there is no RLS policy to show you</w:t>
      </w:r>
    </w:p>
    <w:p>
      <w:pPr>
        <w:spacing w:before="0" w:after="140" w:line="307" w:lineRule="auto"/>
      </w:pPr>
      <w:r>
        <w:rPr>
          <w:rFonts w:ascii="Georgia" w:hAnsi="Georgia"/>
          <w:b w:val="0"/>
          <w:color w:val="526068"/>
          <w:sz w:val="19"/>
        </w:rPr>
        <w:t>PostgreSQL would let a policy live beside the table and apply to every query whether the author remembered it or not. MySQL 8 has no equivalent, so there is no shared view to fall back on: every statement must state its own tenant. That is the whole risk — a query that forgets is not rejected, it simply returns somebody else's data.</w:t>
      </w:r>
    </w:p>
    <w:p>
      <w:pPr>
        <w:spacing w:before="0" w:after="140" w:line="307" w:lineRule="auto"/>
      </w:pPr>
      <w:r>
        <w:rPr>
          <w:rFonts w:ascii="Georgia" w:hAnsi="Georgia"/>
          <w:b w:val="0"/>
          <w:color w:val="526068"/>
          <w:sz w:val="19"/>
        </w:rPr>
        <w:t>The failure is also the one least likely to be caught in review. A WHERE project_id = ? looks complete, reads naturally, and is wrong only in what it omits.</w:t>
      </w:r>
    </w:p>
    <w:p>
      <w:pPr>
        <w:spacing w:before="260" w:after="80" w:line="307" w:lineRule="auto"/>
      </w:pPr>
      <w:r>
        <w:rPr>
          <w:rFonts w:ascii="Calibri" w:hAnsi="Calibri"/>
          <w:b/>
          <w:color w:val="172126"/>
          <w:sz w:val="22"/>
        </w:rPr>
        <w:t>4.2  Four layers, from outermost in</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1296"/>
            <w:shd w:val="clear" w:fill="F0F3F4"/>
          </w:tcPr>
          <w:p>
            <w:r/>
            <w:r>
              <w:rPr>
                <w:rFonts w:ascii="Calibri" w:hAnsi="Calibri"/>
                <w:b/>
                <w:color w:val="667279"/>
                <w:sz w:val="13"/>
              </w:rPr>
              <w:t>LAYER</w:t>
            </w:r>
          </w:p>
        </w:tc>
        <w:tc>
          <w:tcPr>
            <w:tcW w:type="dxa" w:w="6336"/>
            <w:shd w:val="clear" w:fill="F0F3F4"/>
          </w:tcPr>
          <w:p>
            <w:r/>
            <w:r>
              <w:rPr>
                <w:rFonts w:ascii="Calibri" w:hAnsi="Calibri"/>
                <w:b/>
                <w:color w:val="667279"/>
                <w:sz w:val="13"/>
              </w:rPr>
              <w:t>MECHANISM</w:t>
            </w:r>
          </w:p>
        </w:tc>
        <w:tc>
          <w:tcPr>
            <w:tcW w:type="dxa" w:w="2304"/>
            <w:shd w:val="clear" w:fill="F0F3F4"/>
          </w:tcPr>
          <w:p>
            <w:r/>
            <w:r>
              <w:rPr>
                <w:rFonts w:ascii="Calibri" w:hAnsi="Calibri"/>
                <w:b/>
                <w:color w:val="667279"/>
                <w:sz w:val="13"/>
              </w:rPr>
              <w:t>ENFORCED BY</w:t>
            </w:r>
          </w:p>
        </w:tc>
      </w:tr>
      <w:tr>
        <w:tc>
          <w:tcPr>
            <w:tcW w:type="dxa" w:w="1296"/>
          </w:tcPr>
          <w:p>
            <w:pPr>
              <w:spacing w:line="278" w:lineRule="auto" w:after="0"/>
            </w:pPr>
            <w:r/>
            <w:r>
              <w:rPr>
                <w:rFonts w:ascii="Calibri" w:hAnsi="Calibri"/>
                <w:b/>
                <w:color w:val="172126"/>
                <w:sz w:val="15"/>
              </w:rPr>
              <w:t>Session</w:t>
            </w:r>
          </w:p>
        </w:tc>
        <w:tc>
          <w:tcPr>
            <w:tcW w:type="dxa" w:w="6336"/>
          </w:tcPr>
          <w:p>
            <w:pPr>
              <w:spacing w:line="278" w:lineRule="auto" w:after="0"/>
            </w:pPr>
            <w:r/>
            <w:r>
              <w:rPr>
                <w:rFonts w:ascii="Calibri" w:hAnsi="Calibri"/>
                <w:b w:val="0"/>
                <w:color w:val="526068"/>
                <w:sz w:val="15"/>
              </w:rPr>
              <w:t>The authenticated context carries tenant_id. It is never read from a request body or a query parameter</w:t>
            </w:r>
          </w:p>
        </w:tc>
        <w:tc>
          <w:tcPr>
            <w:tcW w:type="dxa" w:w="2304"/>
          </w:tcPr>
          <w:p>
            <w:pPr>
              <w:spacing w:line="278" w:lineRule="auto" w:after="0"/>
            </w:pPr>
            <w:r/>
            <w:r>
              <w:rPr>
                <w:rFonts w:ascii="Calibri" w:hAnsi="Calibri"/>
                <w:b w:val="0"/>
                <w:color w:val="526068"/>
                <w:sz w:val="15"/>
              </w:rPr>
              <w:t>lib/context.ts</w:t>
            </w:r>
          </w:p>
        </w:tc>
      </w:tr>
      <w:tr>
        <w:tc>
          <w:tcPr>
            <w:tcW w:type="dxa" w:w="1296"/>
          </w:tcPr>
          <w:p>
            <w:pPr>
              <w:spacing w:line="278" w:lineRule="auto" w:after="0"/>
            </w:pPr>
            <w:r/>
            <w:r>
              <w:rPr>
                <w:rFonts w:ascii="Calibri" w:hAnsi="Calibri"/>
                <w:b/>
                <w:color w:val="172126"/>
                <w:sz w:val="15"/>
              </w:rPr>
              <w:t>Permission</w:t>
            </w:r>
          </w:p>
        </w:tc>
        <w:tc>
          <w:tcPr>
            <w:tcW w:type="dxa" w:w="6336"/>
          </w:tcPr>
          <w:p>
            <w:pPr>
              <w:spacing w:line="278" w:lineRule="auto" w:after="0"/>
            </w:pPr>
            <w:r/>
            <w:r>
              <w:rPr>
                <w:rFonts w:ascii="Calibri" w:hAnsi="Calibri"/>
                <w:b w:val="0"/>
                <w:color w:val="526068"/>
                <w:sz w:val="15"/>
              </w:rPr>
              <w:t>requirePermission(ctx, key) on every route. UI absence is not authorization — a viewer calling a mutating endpoint directly gets 403</w:t>
            </w:r>
          </w:p>
        </w:tc>
        <w:tc>
          <w:tcPr>
            <w:tcW w:type="dxa" w:w="2304"/>
          </w:tcPr>
          <w:p>
            <w:pPr>
              <w:spacing w:line="278" w:lineRule="auto" w:after="0"/>
            </w:pPr>
            <w:r/>
            <w:r>
              <w:rPr>
                <w:rFonts w:ascii="Calibri" w:hAnsi="Calibri"/>
                <w:b w:val="0"/>
                <w:color w:val="526068"/>
                <w:sz w:val="15"/>
              </w:rPr>
              <w:t>91 route handlers</w:t>
            </w:r>
          </w:p>
        </w:tc>
      </w:tr>
      <w:tr>
        <w:tc>
          <w:tcPr>
            <w:tcW w:type="dxa" w:w="1296"/>
          </w:tcPr>
          <w:p>
            <w:pPr>
              <w:spacing w:line="278" w:lineRule="auto" w:after="0"/>
            </w:pPr>
            <w:r/>
            <w:r>
              <w:rPr>
                <w:rFonts w:ascii="Calibri" w:hAnsi="Calibri"/>
                <w:b/>
                <w:color w:val="172126"/>
                <w:sz w:val="15"/>
              </w:rPr>
              <w:t>Resource</w:t>
            </w:r>
          </w:p>
        </w:tc>
        <w:tc>
          <w:tcPr>
            <w:tcW w:type="dxa" w:w="6336"/>
          </w:tcPr>
          <w:p>
            <w:pPr>
              <w:spacing w:line="278" w:lineRule="auto" w:after="0"/>
            </w:pPr>
            <w:r/>
            <w:r>
              <w:rPr>
                <w:rFonts w:ascii="Calibri" w:hAnsi="Calibri"/>
                <w:b w:val="0"/>
                <w:color w:val="526068"/>
                <w:sz w:val="15"/>
              </w:rPr>
              <w:t>requireProject(ctx, pid) resolves the project WITHIN the tenant. A cross-tenant id therefore cannot resolve</w:t>
            </w:r>
          </w:p>
        </w:tc>
        <w:tc>
          <w:tcPr>
            <w:tcW w:type="dxa" w:w="2304"/>
          </w:tcPr>
          <w:p>
            <w:pPr>
              <w:spacing w:line="278" w:lineRule="auto" w:after="0"/>
            </w:pPr>
            <w:r/>
            <w:r>
              <w:rPr>
                <w:rFonts w:ascii="Calibri" w:hAnsi="Calibri"/>
                <w:b w:val="0"/>
                <w:color w:val="526068"/>
                <w:sz w:val="15"/>
              </w:rPr>
              <w:t>lib/context.ts</w:t>
            </w:r>
          </w:p>
        </w:tc>
      </w:tr>
      <w:tr>
        <w:tc>
          <w:tcPr>
            <w:tcW w:type="dxa" w:w="1296"/>
          </w:tcPr>
          <w:p>
            <w:pPr>
              <w:spacing w:line="278" w:lineRule="auto" w:after="0"/>
            </w:pPr>
            <w:r/>
            <w:r>
              <w:rPr>
                <w:rFonts w:ascii="Calibri" w:hAnsi="Calibri"/>
                <w:b/>
                <w:color w:val="172126"/>
                <w:sz w:val="15"/>
              </w:rPr>
              <w:t>Query</w:t>
            </w:r>
          </w:p>
        </w:tc>
        <w:tc>
          <w:tcPr>
            <w:tcW w:type="dxa" w:w="6336"/>
          </w:tcPr>
          <w:p>
            <w:pPr>
              <w:spacing w:line="278" w:lineRule="auto" w:after="0"/>
            </w:pPr>
            <w:r/>
            <w:r>
              <w:rPr>
                <w:rFonts w:ascii="Calibri" w:hAnsi="Calibri"/>
                <w:b w:val="0"/>
                <w:color w:val="526068"/>
                <w:sz w:val="15"/>
              </w:rPr>
              <w:t>Every SQL statement against a tenant-scoped table names tenant_id in its predicate</w:t>
            </w:r>
          </w:p>
        </w:tc>
        <w:tc>
          <w:tcPr>
            <w:tcW w:type="dxa" w:w="2304"/>
          </w:tcPr>
          <w:p>
            <w:pPr>
              <w:spacing w:line="278" w:lineRule="auto" w:after="0"/>
            </w:pPr>
            <w:r/>
            <w:r>
              <w:rPr>
                <w:rFonts w:ascii="Calibri" w:hAnsi="Calibri"/>
                <w:b w:val="0"/>
                <w:color w:val="526068"/>
                <w:sz w:val="15"/>
              </w:rPr>
              <w:t>tenant-scoping.test.ts</w:t>
            </w:r>
          </w:p>
        </w:tc>
      </w:tr>
    </w:tbl>
    <w:p>
      <w:pPr>
        <w:spacing w:after="60"/>
      </w:pPr>
    </w:p>
    <w:p>
      <w:pPr>
        <w:spacing w:before="260" w:after="80" w:line="307" w:lineRule="auto"/>
      </w:pPr>
      <w:r>
        <w:rPr>
          <w:rFonts w:ascii="Calibri" w:hAnsi="Calibri"/>
          <w:b/>
          <w:color w:val="172126"/>
          <w:sz w:val="22"/>
        </w:rPr>
        <w:t>4.3  The static scan is the actual control</w:t>
      </w:r>
    </w:p>
    <w:p>
      <w:pPr>
        <w:spacing w:before="0" w:after="140" w:line="307" w:lineRule="auto"/>
      </w:pPr>
      <w:r>
        <w:rPr>
          <w:rFonts w:ascii="Georgia" w:hAnsi="Georgia"/>
          <w:b w:val="0"/>
          <w:color w:val="526068"/>
          <w:sz w:val="19"/>
        </w:rPr>
        <w:t>test/tenant-scoping.test.ts reads the SOURCE, not the database. It derives the set of tenant-scoped tables from schema.sql rather than a maintained list, then walks every SQL statement in the codebase and fails if one touches such a table without constraining the tenant.</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 from the test's own header</w:t>
              <w:br/>
              <w:t>// The integration suite proves isolation holds on the paths it exercises.</w:t>
              <w:br/>
              <w:t>// This proves something different, and for a boundary like this one more</w:t>
              <w:br/>
              <w:t>// useful: that no query ANYWHERE reads or writes a tenant-scoped table</w:t>
              <w:br/>
              <w:t>// without saying which tenant. It reads the source rather than the</w:t>
              <w:br/>
              <w:t>// database, so it runs in CI with no MySQL, on every pull request, and it</w:t>
              <w:br/>
              <w:t>// covers queries nobody wrote a test for.</w:t>
            </w:r>
          </w:p>
        </w:tc>
      </w:tr>
    </w:tbl>
    <w:p>
      <w:pPr>
        <w:spacing w:after="40"/>
      </w:pPr>
    </w:p>
    <w:p>
      <w:pPr>
        <w:spacing w:before="0" w:after="140" w:line="307" w:lineRule="auto"/>
      </w:pPr>
      <w:r>
        <w:rPr>
          <w:rFonts w:ascii="Georgia" w:hAnsi="Georgia"/>
          <w:b w:val="0"/>
          <w:color w:val="526068"/>
          <w:sz w:val="19"/>
        </w:rPr>
        <w:t>Because the table list comes from the schema, adding a tenant-scoped table automatically extends the scan. Eight tests, no database, every pull request.</w:t>
      </w:r>
    </w:p>
    <w:p>
      <w:pPr>
        <w:spacing w:before="260" w:after="80" w:line="307" w:lineRule="auto"/>
      </w:pPr>
      <w:r>
        <w:rPr>
          <w:rFonts w:ascii="Calibri" w:hAnsi="Calibri"/>
          <w:b/>
          <w:color w:val="172126"/>
          <w:sz w:val="22"/>
        </w:rPr>
        <w:t>4.4  404, not 403</w:t>
      </w:r>
    </w:p>
    <w:p>
      <w:pPr>
        <w:spacing w:before="0" w:after="140" w:line="307" w:lineRule="auto"/>
      </w:pPr>
      <w:r>
        <w:rPr>
          <w:rFonts w:ascii="Georgia" w:hAnsi="Georgia"/>
          <w:b w:val="0"/>
          <w:color w:val="526068"/>
          <w:sz w:val="19"/>
        </w:rPr>
        <w:t>A cross-tenant read by direct object id answers 404. A 403 would confirm the id exists, which turns an authorization boundary into an enumeration oracle: an attacker learns which project ids are real by the difference between the two responses.</w:t>
      </w:r>
    </w:p>
    <w:p>
      <w:pPr>
        <w:spacing w:before="260" w:after="80" w:line="307" w:lineRule="auto"/>
      </w:pPr>
      <w:r>
        <w:rPr>
          <w:rFonts w:ascii="Calibri" w:hAnsi="Calibri"/>
          <w:b/>
          <w:color w:val="172126"/>
          <w:sz w:val="22"/>
        </w:rPr>
        <w:t>4.5  Where the discipline is thinnest</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1440"/>
            <w:shd w:val="clear" w:fill="F0F3F4"/>
          </w:tcPr>
          <w:p>
            <w:r/>
            <w:r>
              <w:rPr>
                <w:rFonts w:ascii="Calibri" w:hAnsi="Calibri"/>
                <w:b/>
                <w:color w:val="667279"/>
                <w:sz w:val="13"/>
              </w:rPr>
              <w:t>EXPOSURE</w:t>
            </w:r>
          </w:p>
        </w:tc>
        <w:tc>
          <w:tcPr>
            <w:tcW w:type="dxa" w:w="5616"/>
            <w:shd w:val="clear" w:fill="F0F3F4"/>
          </w:tcPr>
          <w:p>
            <w:r/>
            <w:r>
              <w:rPr>
                <w:rFonts w:ascii="Calibri" w:hAnsi="Calibri"/>
                <w:b/>
                <w:color w:val="667279"/>
                <w:sz w:val="13"/>
              </w:rPr>
              <w:t>WHY IT IS WEAKER</w:t>
            </w:r>
          </w:p>
        </w:tc>
        <w:tc>
          <w:tcPr>
            <w:tcW w:type="dxa" w:w="2880"/>
            <w:shd w:val="clear" w:fill="F0F3F4"/>
          </w:tcPr>
          <w:p>
            <w:r/>
            <w:r>
              <w:rPr>
                <w:rFonts w:ascii="Calibri" w:hAnsi="Calibri"/>
                <w:b/>
                <w:color w:val="667279"/>
                <w:sz w:val="13"/>
              </w:rPr>
              <w:t>MITIGATION TODAY</w:t>
            </w:r>
          </w:p>
        </w:tc>
      </w:tr>
      <w:tr>
        <w:tc>
          <w:tcPr>
            <w:tcW w:type="dxa" w:w="1440"/>
          </w:tcPr>
          <w:p>
            <w:pPr>
              <w:spacing w:line="278" w:lineRule="auto" w:after="0"/>
            </w:pPr>
            <w:r/>
            <w:r>
              <w:rPr>
                <w:rFonts w:ascii="Calibri" w:hAnsi="Calibri"/>
                <w:b/>
                <w:color w:val="172126"/>
                <w:sz w:val="15"/>
              </w:rPr>
              <w:t>Child rows</w:t>
            </w:r>
          </w:p>
        </w:tc>
        <w:tc>
          <w:tcPr>
            <w:tcW w:type="dxa" w:w="5616"/>
          </w:tcPr>
          <w:p>
            <w:pPr>
              <w:spacing w:line="278" w:lineRule="auto" w:after="0"/>
            </w:pPr>
            <w:r/>
            <w:r>
              <w:rPr>
                <w:rFonts w:ascii="Calibri" w:hAnsi="Calibri"/>
                <w:b w:val="0"/>
                <w:color w:val="526068"/>
                <w:sz w:val="15"/>
              </w:rPr>
              <w:t>quote_line and rfq_vendor have no tenant_id and are scoped through their parent. A query reaching them without joining the parent has no predicate — and the scan cannot flag a missing column that was never there</w:t>
            </w:r>
          </w:p>
        </w:tc>
        <w:tc>
          <w:tcPr>
            <w:tcW w:type="dxa" w:w="2880"/>
          </w:tcPr>
          <w:p>
            <w:pPr>
              <w:spacing w:line="278" w:lineRule="auto" w:after="0"/>
            </w:pPr>
            <w:r/>
            <w:r>
              <w:rPr>
                <w:rFonts w:ascii="Calibri" w:hAnsi="Calibri"/>
                <w:b w:val="0"/>
                <w:color w:val="526068"/>
                <w:sz w:val="15"/>
              </w:rPr>
              <w:t>Review. This is the one place the automated control does not reach</w:t>
            </w:r>
          </w:p>
        </w:tc>
      </w:tr>
      <w:tr>
        <w:tc>
          <w:tcPr>
            <w:tcW w:type="dxa" w:w="1440"/>
          </w:tcPr>
          <w:p>
            <w:pPr>
              <w:spacing w:line="278" w:lineRule="auto" w:after="0"/>
            </w:pPr>
            <w:r/>
            <w:r>
              <w:rPr>
                <w:rFonts w:ascii="Calibri" w:hAnsi="Calibri"/>
                <w:b/>
                <w:color w:val="172126"/>
                <w:sz w:val="15"/>
              </w:rPr>
              <w:t>The AI worker</w:t>
            </w:r>
          </w:p>
        </w:tc>
        <w:tc>
          <w:tcPr>
            <w:tcW w:type="dxa" w:w="5616"/>
          </w:tcPr>
          <w:p>
            <w:pPr>
              <w:spacing w:line="278" w:lineRule="auto" w:after="0"/>
            </w:pPr>
            <w:r/>
            <w:r>
              <w:rPr>
                <w:rFonts w:ascii="Calibri" w:hAnsi="Calibri"/>
                <w:b w:val="0"/>
                <w:color w:val="526068"/>
                <w:sz w:val="15"/>
              </w:rPr>
              <w:t>Runs outside the database entirely and is handed a tenant_id on the job envelope</w:t>
            </w:r>
          </w:p>
        </w:tc>
        <w:tc>
          <w:tcPr>
            <w:tcW w:type="dxa" w:w="2880"/>
          </w:tcPr>
          <w:p>
            <w:pPr>
              <w:spacing w:line="278" w:lineRule="auto" w:after="0"/>
            </w:pPr>
            <w:r/>
            <w:r>
              <w:rPr>
                <w:rFonts w:ascii="Calibri" w:hAnsi="Calibri"/>
                <w:b w:val="0"/>
                <w:color w:val="526068"/>
                <w:sz w:val="15"/>
              </w:rPr>
              <w:t>It has no database handle, so it cannot read across tenants even if it wanted to</w:t>
            </w:r>
          </w:p>
        </w:tc>
      </w:tr>
      <w:tr>
        <w:tc>
          <w:tcPr>
            <w:tcW w:type="dxa" w:w="1440"/>
          </w:tcPr>
          <w:p>
            <w:pPr>
              <w:spacing w:line="278" w:lineRule="auto" w:after="0"/>
            </w:pPr>
            <w:r/>
            <w:r>
              <w:rPr>
                <w:rFonts w:ascii="Calibri" w:hAnsi="Calibri"/>
                <w:b/>
                <w:color w:val="172126"/>
                <w:sz w:val="15"/>
              </w:rPr>
              <w:t>Retrieval</w:t>
            </w:r>
          </w:p>
        </w:tc>
        <w:tc>
          <w:tcPr>
            <w:tcW w:type="dxa" w:w="5616"/>
          </w:tcPr>
          <w:p>
            <w:pPr>
              <w:spacing w:line="278" w:lineRule="auto" w:after="0"/>
            </w:pPr>
            <w:r/>
            <w:r>
              <w:rPr>
                <w:rFonts w:ascii="Calibri" w:hAnsi="Calibri"/>
                <w:b w:val="0"/>
                <w:color w:val="526068"/>
                <w:sz w:val="15"/>
              </w:rPr>
              <w:t>chunk carries tenant_id and project_id, and search filters on both</w:t>
            </w:r>
          </w:p>
        </w:tc>
        <w:tc>
          <w:tcPr>
            <w:tcW w:type="dxa" w:w="2880"/>
          </w:tcPr>
          <w:p>
            <w:pPr>
              <w:spacing w:line="278" w:lineRule="auto" w:after="0"/>
            </w:pPr>
            <w:r/>
            <w:r>
              <w:rPr>
                <w:rFonts w:ascii="Calibri" w:hAnsi="Calibri"/>
                <w:b w:val="0"/>
                <w:color w:val="526068"/>
                <w:sz w:val="15"/>
              </w:rPr>
              <w:t>Covered by the scan</w:t>
            </w:r>
          </w:p>
        </w:tc>
      </w:tr>
    </w:tbl>
    <w:p>
      <w:pPr>
        <w:spacing w:after="60"/>
      </w:pP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THE HONEST SUMMARY</w:t>
            </w:r>
          </w:p>
          <w:p>
            <w:pPr>
              <w:spacing w:before="60" w:line="302" w:lineRule="auto"/>
            </w:pPr>
            <w:r>
              <w:rPr>
                <w:rFonts w:ascii="Georgia" w:hAnsi="Georgia"/>
                <w:color w:val="172126"/>
                <w:sz w:val="17"/>
              </w:rPr>
              <w:t>Isolation here is not a policy the database enforces; it is a rule the code follows and a test that refuses to let it stop following. That is weaker than real RLS and stronger than review alone. If the platform ever moves to PostgreSQL, RLS is the single largest safety upgrade available and should be taken.</w:t>
            </w:r>
          </w:p>
        </w:tc>
      </w:tr>
    </w:tbl>
    <w:p>
      <w:pPr>
        <w:spacing w:after="60"/>
      </w:pPr>
    </w:p>
    <w:p>
      <w:r>
        <w:br w:type="page"/>
      </w:r>
    </w:p>
    <w:p>
      <w:pPr>
        <w:spacing w:before="0" w:after="60" w:line="307" w:lineRule="auto"/>
      </w:pPr>
      <w:r>
        <w:rPr>
          <w:rFonts w:ascii="Consolas" w:hAnsi="Consolas"/>
          <w:b/>
          <w:color w:val="087E75"/>
          <w:sz w:val="15"/>
        </w:rPr>
        <w:t>PART 6</w:t>
      </w:r>
    </w:p>
    <w:p>
      <w:pPr>
        <w:spacing w:before="0" w:after="160" w:line="252" w:lineRule="auto"/>
      </w:pPr>
      <w:r>
        <w:rPr>
          <w:rFonts w:ascii="Georgia" w:hAnsi="Georgia"/>
          <w:b/>
          <w:color w:val="172126"/>
          <w:sz w:val="38"/>
        </w:rPr>
        <w:t>API surface and contracts</w:t>
      </w:r>
    </w:p>
    <w:p>
      <w:pPr>
        <w:spacing w:before="0" w:after="200" w:line="307" w:lineRule="auto"/>
      </w:pPr>
      <w:r>
        <w:rPr>
          <w:rFonts w:ascii="Georgia" w:hAnsi="Georgia"/>
          <w:b w:val="0"/>
          <w:color w:val="526068"/>
          <w:sz w:val="21"/>
        </w:rPr>
        <w:t>91 routes, versioned, uniformly wrapped — and no published specification.</w:t>
      </w:r>
    </w:p>
    <w:p>
      <w:pPr>
        <w:spacing w:before="260" w:after="80" w:line="307" w:lineRule="auto"/>
      </w:pPr>
      <w:r>
        <w:rPr>
          <w:rFonts w:ascii="Calibri" w:hAnsi="Calibri"/>
          <w:b/>
          <w:color w:val="172126"/>
          <w:sz w:val="22"/>
        </w:rPr>
        <w:t>5.1  There is no OpenAPI or Swagger document</w:t>
      </w:r>
    </w:p>
    <w:p>
      <w:pPr>
        <w:spacing w:before="0" w:after="140" w:line="307" w:lineRule="auto"/>
      </w:pPr>
      <w:r>
        <w:rPr>
          <w:rFonts w:ascii="Georgia" w:hAnsi="Georgia"/>
          <w:b w:val="0"/>
          <w:color w:val="526068"/>
          <w:sz w:val="19"/>
        </w:rPr>
        <w:t>Searched: no openapi.json, no openapi.yaml, no swagger file, no generator in the build, no spec route. This is a real gap rather than an oversight to gloss — an integrator has nothing machine-readable to consume, and the Integration Hub the Bible specifies will need one before a customer connector can be written against it.</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736"/>
            <w:shd w:val="clear" w:fill="F0F3F4"/>
          </w:tcPr>
          <w:p>
            <w:r/>
            <w:r>
              <w:rPr>
                <w:rFonts w:ascii="Calibri" w:hAnsi="Calibri"/>
                <w:b/>
                <w:color w:val="667279"/>
                <w:sz w:val="13"/>
              </w:rPr>
              <w:t>WHAT EXISTS INSTEAD</w:t>
            </w:r>
          </w:p>
        </w:tc>
        <w:tc>
          <w:tcPr>
            <w:tcW w:type="dxa" w:w="3744"/>
            <w:shd w:val="clear" w:fill="F0F3F4"/>
          </w:tcPr>
          <w:p>
            <w:r/>
            <w:r>
              <w:rPr>
                <w:rFonts w:ascii="Calibri" w:hAnsi="Calibri"/>
                <w:b/>
                <w:color w:val="667279"/>
                <w:sz w:val="13"/>
              </w:rPr>
              <w:t>WHAT IT GIVES YOU</w:t>
            </w:r>
          </w:p>
        </w:tc>
        <w:tc>
          <w:tcPr>
            <w:tcW w:type="dxa" w:w="3456"/>
            <w:shd w:val="clear" w:fill="F0F3F4"/>
          </w:tcPr>
          <w:p>
            <w:r/>
            <w:r>
              <w:rPr>
                <w:rFonts w:ascii="Calibri" w:hAnsi="Calibri"/>
                <w:b/>
                <w:color w:val="667279"/>
                <w:sz w:val="13"/>
              </w:rPr>
              <w:t>WHAT IT DOES NOT</w:t>
            </w:r>
          </w:p>
        </w:tc>
      </w:tr>
      <w:tr>
        <w:tc>
          <w:tcPr>
            <w:tcW w:type="dxa" w:w="2736"/>
          </w:tcPr>
          <w:p>
            <w:pPr>
              <w:spacing w:line="278" w:lineRule="auto" w:after="0"/>
            </w:pPr>
            <w:r/>
            <w:r>
              <w:rPr>
                <w:rFonts w:ascii="Calibri" w:hAnsi="Calibri"/>
                <w:b/>
                <w:color w:val="172126"/>
                <w:sz w:val="15"/>
              </w:rPr>
              <w:t>route() wrapper on all 91 handlers</w:t>
            </w:r>
          </w:p>
        </w:tc>
        <w:tc>
          <w:tcPr>
            <w:tcW w:type="dxa" w:w="3744"/>
          </w:tcPr>
          <w:p>
            <w:pPr>
              <w:spacing w:line="278" w:lineRule="auto" w:after="0"/>
            </w:pPr>
            <w:r/>
            <w:r>
              <w:rPr>
                <w:rFonts w:ascii="Calibri" w:hAnsi="Calibri"/>
                <w:b w:val="0"/>
                <w:color w:val="526068"/>
                <w:sz w:val="15"/>
              </w:rPr>
              <w:t>Uniform auth, error shape, request id, logging</w:t>
            </w:r>
          </w:p>
        </w:tc>
        <w:tc>
          <w:tcPr>
            <w:tcW w:type="dxa" w:w="3456"/>
          </w:tcPr>
          <w:p>
            <w:pPr>
              <w:spacing w:line="278" w:lineRule="auto" w:after="0"/>
            </w:pPr>
            <w:r/>
            <w:r>
              <w:rPr>
                <w:rFonts w:ascii="Calibri" w:hAnsi="Calibri"/>
                <w:b w:val="0"/>
                <w:color w:val="526068"/>
                <w:sz w:val="15"/>
              </w:rPr>
              <w:t>No published schema</w:t>
            </w:r>
          </w:p>
        </w:tc>
      </w:tr>
      <w:tr>
        <w:tc>
          <w:tcPr>
            <w:tcW w:type="dxa" w:w="2736"/>
          </w:tcPr>
          <w:p>
            <w:pPr>
              <w:spacing w:line="278" w:lineRule="auto" w:after="0"/>
            </w:pPr>
            <w:r/>
            <w:r>
              <w:rPr>
                <w:rFonts w:ascii="Calibri" w:hAnsi="Calibri"/>
                <w:b/>
                <w:color w:val="172126"/>
                <w:sz w:val="15"/>
              </w:rPr>
              <w:t>zod schemas on request bodies</w:t>
            </w:r>
          </w:p>
        </w:tc>
        <w:tc>
          <w:tcPr>
            <w:tcW w:type="dxa" w:w="3744"/>
          </w:tcPr>
          <w:p>
            <w:pPr>
              <w:spacing w:line="278" w:lineRule="auto" w:after="0"/>
            </w:pPr>
            <w:r/>
            <w:r>
              <w:rPr>
                <w:rFonts w:ascii="Calibri" w:hAnsi="Calibri"/>
                <w:b w:val="0"/>
                <w:color w:val="526068"/>
                <w:sz w:val="15"/>
              </w:rPr>
              <w:t>Validation at the boundary with a real message, not a cast</w:t>
            </w:r>
          </w:p>
        </w:tc>
        <w:tc>
          <w:tcPr>
            <w:tcW w:type="dxa" w:w="3456"/>
          </w:tcPr>
          <w:p>
            <w:pPr>
              <w:spacing w:line="278" w:lineRule="auto" w:after="0"/>
            </w:pPr>
            <w:r/>
            <w:r>
              <w:rPr>
                <w:rFonts w:ascii="Calibri" w:hAnsi="Calibri"/>
                <w:b w:val="0"/>
                <w:color w:val="526068"/>
                <w:sz w:val="15"/>
              </w:rPr>
              <w:t>Not exported as a spec</w:t>
            </w:r>
          </w:p>
        </w:tc>
      </w:tr>
      <w:tr>
        <w:tc>
          <w:tcPr>
            <w:tcW w:type="dxa" w:w="2736"/>
          </w:tcPr>
          <w:p>
            <w:pPr>
              <w:spacing w:line="278" w:lineRule="auto" w:after="0"/>
            </w:pPr>
            <w:r/>
            <w:r>
              <w:rPr>
                <w:rFonts w:ascii="Calibri" w:hAnsi="Calibri"/>
                <w:b/>
                <w:color w:val="172126"/>
                <w:sz w:val="15"/>
              </w:rPr>
              <w:t>TypeScript types shared client and server</w:t>
            </w:r>
          </w:p>
        </w:tc>
        <w:tc>
          <w:tcPr>
            <w:tcW w:type="dxa" w:w="3744"/>
          </w:tcPr>
          <w:p>
            <w:pPr>
              <w:spacing w:line="278" w:lineRule="auto" w:after="0"/>
            </w:pPr>
            <w:r/>
            <w:r>
              <w:rPr>
                <w:rFonts w:ascii="Calibri" w:hAnsi="Calibri"/>
                <w:b w:val="0"/>
                <w:color w:val="526068"/>
                <w:sz w:val="15"/>
              </w:rPr>
              <w:t>Compile-time safety inside the monorepo</w:t>
            </w:r>
          </w:p>
        </w:tc>
        <w:tc>
          <w:tcPr>
            <w:tcW w:type="dxa" w:w="3456"/>
          </w:tcPr>
          <w:p>
            <w:pPr>
              <w:spacing w:line="278" w:lineRule="auto" w:after="0"/>
            </w:pPr>
            <w:r/>
            <w:r>
              <w:rPr>
                <w:rFonts w:ascii="Calibri" w:hAnsi="Calibri"/>
                <w:b w:val="0"/>
                <w:color w:val="526068"/>
                <w:sz w:val="15"/>
              </w:rPr>
              <w:t>Nothing for an external caller</w:t>
            </w:r>
          </w:p>
        </w:tc>
      </w:tr>
      <w:tr>
        <w:tc>
          <w:tcPr>
            <w:tcW w:type="dxa" w:w="2736"/>
          </w:tcPr>
          <w:p>
            <w:pPr>
              <w:spacing w:line="278" w:lineRule="auto" w:after="0"/>
            </w:pPr>
            <w:r/>
            <w:r>
              <w:rPr>
                <w:rFonts w:ascii="Calibri" w:hAnsi="Calibri"/>
                <w:b/>
                <w:color w:val="172126"/>
                <w:sz w:val="15"/>
              </w:rPr>
              <w:t>Consistent envelope and error codes</w:t>
            </w:r>
          </w:p>
        </w:tc>
        <w:tc>
          <w:tcPr>
            <w:tcW w:type="dxa" w:w="3744"/>
          </w:tcPr>
          <w:p>
            <w:pPr>
              <w:spacing w:line="278" w:lineRule="auto" w:after="0"/>
            </w:pPr>
            <w:r/>
            <w:r>
              <w:rPr>
                <w:rFonts w:ascii="Calibri" w:hAnsi="Calibri"/>
                <w:b w:val="0"/>
                <w:color w:val="526068"/>
                <w:sz w:val="15"/>
              </w:rPr>
              <w:t>Predictable responses</w:t>
            </w:r>
          </w:p>
        </w:tc>
        <w:tc>
          <w:tcPr>
            <w:tcW w:type="dxa" w:w="3456"/>
          </w:tcPr>
          <w:p>
            <w:pPr>
              <w:spacing w:line="278" w:lineRule="auto" w:after="0"/>
            </w:pPr>
            <w:r/>
            <w:r>
              <w:rPr>
                <w:rFonts w:ascii="Calibri" w:hAnsi="Calibri"/>
                <w:b w:val="0"/>
                <w:color w:val="526068"/>
                <w:sz w:val="15"/>
              </w:rPr>
              <w:t>Undocumented outside the source</w:t>
            </w:r>
          </w:p>
        </w:tc>
      </w:tr>
    </w:tbl>
    <w:p>
      <w:pPr>
        <w:spacing w:after="60"/>
      </w:pPr>
    </w:p>
    <w:tbl>
      <w:tblPr>
        <w:tblW w:type="auto" w:w="0"/>
        <w:tblLook w:firstColumn="1" w:firstRow="1" w:lastColumn="0" w:lastRow="0" w:noHBand="0" w:noVBand="1" w:val="04A0"/>
        <w:tblBorders>
          <w:top w:val="single" w:sz="2" w:space="0" w:color="E6F3F1"/>
          <w:left w:val="single" w:sz="2" w:space="0" w:color="E6F3F1"/>
          <w:bottom w:val="single" w:sz="2" w:space="0" w:color="E6F3F1"/>
          <w:right w:val="single" w:sz="2" w:space="0" w:color="E6F3F1"/>
          <w:insideH w:val="single" w:sz="2" w:space="0" w:color="E6F3F1"/>
          <w:insideV w:val="single" w:sz="2" w:space="0" w:color="E6F3F1"/>
        </w:tblBorders>
      </w:tblPr>
      <w:tblGrid>
        <w:gridCol w:w="10080"/>
      </w:tblGrid>
      <w:tr>
        <w:tc>
          <w:tcPr>
            <w:tcW w:type="dxa" w:w="10080"/>
            <w:shd w:val="clear" w:fill="E6F3F1"/>
          </w:tcPr>
          <w:p>
            <w:r/>
            <w:r>
              <w:rPr>
                <w:rFonts w:ascii="Calibri" w:hAnsi="Calibri"/>
                <w:b/>
                <w:color w:val="087E75"/>
                <w:sz w:val="14"/>
              </w:rPr>
              <w:t>RECOMMENDED</w:t>
            </w:r>
          </w:p>
          <w:p>
            <w:pPr>
              <w:spacing w:before="60" w:line="302" w:lineRule="auto"/>
            </w:pPr>
            <w:r>
              <w:rPr>
                <w:rFonts w:ascii="Georgia" w:hAnsi="Georgia"/>
                <w:color w:val="172126"/>
                <w:sz w:val="17"/>
              </w:rPr>
              <w:t>zod-to-openapi over the existing schemas would produce a spec from what the code already declares, rather than a hand-written document that drifts. That is a small job and it unblocks anyone integrating.</w:t>
            </w:r>
          </w:p>
        </w:tc>
      </w:tr>
    </w:tbl>
    <w:p>
      <w:pPr>
        <w:spacing w:after="60"/>
      </w:pPr>
    </w:p>
    <w:p>
      <w:pPr>
        <w:spacing w:before="260" w:after="80" w:line="307" w:lineRule="auto"/>
      </w:pPr>
      <w:r>
        <w:rPr>
          <w:rFonts w:ascii="Calibri" w:hAnsi="Calibri"/>
          <w:b/>
          <w:color w:val="172126"/>
          <w:sz w:val="22"/>
        </w:rPr>
        <w:t>5.2  Route conventions</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/api/v1/...                       versioned public surface, session auth</w:t>
              <w:br/>
              <w:t>/api/v1/projects/{pid}/...        project-scoped; requireProject resolves within tenant</w:t>
              <w:br/>
              <w:t>/api/internal/...                 service-to-service, INTERNAL_SERVICE_TOKEN</w:t>
              <w:br/>
              <w:t>/api/auth/[...all]                Better Auth, minus registration</w:t>
              <w:br/>
              <w:t>/api/healthz                      liveness</w:t>
            </w:r>
          </w:p>
        </w:tc>
      </w:tr>
    </w:tbl>
    <w:p>
      <w:pPr>
        <w:spacing w:after="40"/>
      </w:pP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1728"/>
            <w:shd w:val="clear" w:fill="F0F3F4"/>
          </w:tcPr>
          <w:p>
            <w:r/>
            <w:r>
              <w:rPr>
                <w:rFonts w:ascii="Calibri" w:hAnsi="Calibri"/>
                <w:b/>
                <w:color w:val="667279"/>
                <w:sz w:val="13"/>
              </w:rPr>
              <w:t>GROUP</w:t>
            </w:r>
          </w:p>
        </w:tc>
        <w:tc>
          <w:tcPr>
            <w:tcW w:type="dxa" w:w="864"/>
            <w:shd w:val="clear" w:fill="F0F3F4"/>
          </w:tcPr>
          <w:p>
            <w:r/>
            <w:r>
              <w:rPr>
                <w:rFonts w:ascii="Calibri" w:hAnsi="Calibri"/>
                <w:b/>
                <w:color w:val="667279"/>
                <w:sz w:val="13"/>
              </w:rPr>
              <w:t>ROUTES</w:t>
            </w:r>
          </w:p>
        </w:tc>
        <w:tc>
          <w:tcPr>
            <w:tcW w:type="dxa" w:w="7344"/>
            <w:shd w:val="clear" w:fill="F0F3F4"/>
          </w:tcPr>
          <w:p>
            <w:r/>
            <w:r>
              <w:rPr>
                <w:rFonts w:ascii="Calibri" w:hAnsi="Calibri"/>
                <w:b/>
                <w:color w:val="667279"/>
                <w:sz w:val="13"/>
              </w:rPr>
              <w:t>NOTES</w:t>
            </w:r>
          </w:p>
        </w:tc>
      </w:tr>
      <w:tr>
        <w:tc>
          <w:tcPr>
            <w:tcW w:type="dxa" w:w="1728"/>
          </w:tcPr>
          <w:p>
            <w:pPr>
              <w:spacing w:line="278" w:lineRule="auto" w:after="0"/>
            </w:pPr>
            <w:r/>
            <w:r>
              <w:rPr>
                <w:rFonts w:ascii="Calibri" w:hAnsi="Calibri"/>
                <w:b/>
                <w:color w:val="172126"/>
                <w:sz w:val="15"/>
              </w:rPr>
              <w:t>Project-scoped</w:t>
            </w:r>
          </w:p>
        </w:tc>
        <w:tc>
          <w:tcPr>
            <w:tcW w:type="dxa" w:w="864"/>
          </w:tcPr>
          <w:p>
            <w:pPr>
              <w:spacing w:line="278" w:lineRule="auto" w:after="0"/>
            </w:pPr>
            <w:r/>
            <w:r>
              <w:rPr>
                <w:rFonts w:ascii="Calibri" w:hAnsi="Calibri"/>
                <w:b w:val="0"/>
                <w:color w:val="526068"/>
                <w:sz w:val="15"/>
              </w:rPr>
              <w:t>~55</w:t>
            </w:r>
          </w:p>
        </w:tc>
        <w:tc>
          <w:tcPr>
            <w:tcW w:type="dxa" w:w="7344"/>
          </w:tcPr>
          <w:p>
            <w:pPr>
              <w:spacing w:line="278" w:lineRule="auto" w:after="0"/>
            </w:pPr>
            <w:r/>
            <w:r>
              <w:rPr>
                <w:rFonts w:ascii="Calibri" w:hAnsi="Calibri"/>
                <w:b w:val="0"/>
                <w:color w:val="526068"/>
                <w:sz w:val="15"/>
              </w:rPr>
              <w:t>artifacts, runs, files, documents, boq, programme, bim, cad, pcm, transmittals, review-queue, pursuit, narrative, standards</w:t>
            </w:r>
          </w:p>
        </w:tc>
      </w:tr>
      <w:tr>
        <w:tc>
          <w:tcPr>
            <w:tcW w:type="dxa" w:w="1728"/>
          </w:tcPr>
          <w:p>
            <w:pPr>
              <w:spacing w:line="278" w:lineRule="auto" w:after="0"/>
            </w:pPr>
            <w:r/>
            <w:r>
              <w:rPr>
                <w:rFonts w:ascii="Calibri" w:hAnsi="Calibri"/>
                <w:b/>
                <w:color w:val="172126"/>
                <w:sz w:val="15"/>
              </w:rPr>
              <w:t>Tenant-level</w:t>
            </w:r>
          </w:p>
        </w:tc>
        <w:tc>
          <w:tcPr>
            <w:tcW w:type="dxa" w:w="864"/>
          </w:tcPr>
          <w:p>
            <w:pPr>
              <w:spacing w:line="278" w:lineRule="auto" w:after="0"/>
            </w:pPr>
            <w:r/>
            <w:r>
              <w:rPr>
                <w:rFonts w:ascii="Calibri" w:hAnsi="Calibri"/>
                <w:b w:val="0"/>
                <w:color w:val="526068"/>
                <w:sz w:val="15"/>
              </w:rPr>
              <w:t>~20</w:t>
            </w:r>
          </w:p>
        </w:tc>
        <w:tc>
          <w:tcPr>
            <w:tcW w:type="dxa" w:w="7344"/>
          </w:tcPr>
          <w:p>
            <w:pPr>
              <w:spacing w:line="278" w:lineRule="auto" w:after="0"/>
            </w:pPr>
            <w:r/>
            <w:r>
              <w:rPr>
                <w:rFonts w:ascii="Calibri" w:hAnsi="Calibri"/>
                <w:b w:val="0"/>
                <w:color w:val="526068"/>
                <w:sz w:val="15"/>
              </w:rPr>
              <w:t>users, roles, settings, library, workflows, entitlements, usage, audit, desktop, learning</w:t>
            </w:r>
          </w:p>
        </w:tc>
      </w:tr>
      <w:tr>
        <w:tc>
          <w:tcPr>
            <w:tcW w:type="dxa" w:w="1728"/>
          </w:tcPr>
          <w:p>
            <w:pPr>
              <w:spacing w:line="278" w:lineRule="auto" w:after="0"/>
            </w:pPr>
            <w:r/>
            <w:r>
              <w:rPr>
                <w:rFonts w:ascii="Calibri" w:hAnsi="Calibri"/>
                <w:b/>
                <w:color w:val="172126"/>
                <w:sz w:val="15"/>
              </w:rPr>
              <w:t>Internal</w:t>
            </w:r>
          </w:p>
        </w:tc>
        <w:tc>
          <w:tcPr>
            <w:tcW w:type="dxa" w:w="864"/>
          </w:tcPr>
          <w:p>
            <w:pPr>
              <w:spacing w:line="278" w:lineRule="auto" w:after="0"/>
            </w:pPr>
            <w:r/>
            <w:r>
              <w:rPr>
                <w:rFonts w:ascii="Calibri" w:hAnsi="Calibri"/>
                <w:b w:val="0"/>
                <w:color w:val="526068"/>
                <w:sz w:val="15"/>
              </w:rPr>
              <w:t>4</w:t>
            </w:r>
          </w:p>
        </w:tc>
        <w:tc>
          <w:tcPr>
            <w:tcW w:type="dxa" w:w="7344"/>
          </w:tcPr>
          <w:p>
            <w:pPr>
              <w:spacing w:line="278" w:lineRule="auto" w:after="0"/>
            </w:pPr>
            <w:r/>
            <w:r>
              <w:rPr>
                <w:rFonts w:ascii="Calibri" w:hAnsi="Calibri"/>
                <w:b w:val="0"/>
                <w:color w:val="526068"/>
                <w:sz w:val="15"/>
              </w:rPr>
              <w:t>job result callback, reconcile, tenant bootstrap, project query</w:t>
            </w:r>
          </w:p>
        </w:tc>
      </w:tr>
      <w:tr>
        <w:tc>
          <w:tcPr>
            <w:tcW w:type="dxa" w:w="1728"/>
          </w:tcPr>
          <w:p>
            <w:pPr>
              <w:spacing w:line="278" w:lineRule="auto" w:after="0"/>
            </w:pPr>
            <w:r/>
            <w:r>
              <w:rPr>
                <w:rFonts w:ascii="Calibri" w:hAnsi="Calibri"/>
                <w:b/>
                <w:color w:val="172126"/>
                <w:sz w:val="15"/>
              </w:rPr>
              <w:t>Auth</w:t>
            </w:r>
          </w:p>
        </w:tc>
        <w:tc>
          <w:tcPr>
            <w:tcW w:type="dxa" w:w="864"/>
          </w:tcPr>
          <w:p>
            <w:pPr>
              <w:spacing w:line="278" w:lineRule="auto" w:after="0"/>
            </w:pPr>
            <w:r/>
            <w:r>
              <w:rPr>
                <w:rFonts w:ascii="Calibri" w:hAnsi="Calibri"/>
                <w:b w:val="0"/>
                <w:color w:val="526068"/>
                <w:sz w:val="15"/>
              </w:rPr>
              <w:t>1</w:t>
            </w:r>
          </w:p>
        </w:tc>
        <w:tc>
          <w:tcPr>
            <w:tcW w:type="dxa" w:w="7344"/>
          </w:tcPr>
          <w:p>
            <w:pPr>
              <w:spacing w:line="278" w:lineRule="auto" w:after="0"/>
            </w:pPr>
            <w:r/>
            <w:r>
              <w:rPr>
                <w:rFonts w:ascii="Calibri" w:hAnsi="Calibri"/>
                <w:b w:val="0"/>
                <w:color w:val="526068"/>
                <w:sz w:val="15"/>
              </w:rPr>
              <w:t>catch-all, with /sign-up refused at the boundary</w:t>
            </w:r>
          </w:p>
        </w:tc>
      </w:tr>
    </w:tbl>
    <w:p>
      <w:pPr>
        <w:spacing w:after="60"/>
      </w:pPr>
    </w:p>
    <w:p>
      <w:r>
        <w:br w:type="page"/>
      </w:r>
    </w:p>
    <w:p>
      <w:pPr>
        <w:spacing w:before="0" w:after="60" w:line="307" w:lineRule="auto"/>
      </w:pPr>
      <w:r>
        <w:rPr>
          <w:rFonts w:ascii="Consolas" w:hAnsi="Consolas"/>
          <w:b/>
          <w:color w:val="087E75"/>
          <w:sz w:val="15"/>
        </w:rPr>
        <w:t>PART 7</w:t>
      </w:r>
    </w:p>
    <w:p>
      <w:pPr>
        <w:spacing w:before="0" w:after="160" w:line="252" w:lineRule="auto"/>
      </w:pPr>
      <w:r>
        <w:rPr>
          <w:rFonts w:ascii="Georgia" w:hAnsi="Georgia"/>
          <w:b/>
          <w:color w:val="172126"/>
          <w:sz w:val="38"/>
        </w:rPr>
        <w:t>Agent orchestration</w:t>
      </w:r>
    </w:p>
    <w:p>
      <w:pPr>
        <w:spacing w:before="0" w:after="200" w:line="307" w:lineRule="auto"/>
      </w:pPr>
      <w:r>
        <w:rPr>
          <w:rFonts w:ascii="Georgia" w:hAnsi="Georgia"/>
          <w:b w:val="0"/>
          <w:color w:val="526068"/>
          <w:sz w:val="21"/>
        </w:rPr>
        <w:t>Three levels: a single job, a workflow run, and a whole project on autopilot.</w:t>
      </w:r>
    </w:p>
    <w:p>
      <w:pPr>
        <w:spacing w:before="260" w:after="80" w:line="307" w:lineRule="auto"/>
      </w:pPr>
      <w:r>
        <w:rPr>
          <w:rFonts w:ascii="Calibri" w:hAnsi="Calibri"/>
          <w:b/>
          <w:color w:val="172126"/>
          <w:sz w:val="22"/>
        </w:rPr>
        <w:t>6.1  Level one — a job</w:t>
      </w:r>
    </w:p>
    <w:p>
      <w:pPr>
        <w:spacing w:before="0" w:after="140" w:line="307" w:lineRule="auto"/>
      </w:pPr>
      <w:r>
        <w:rPr>
          <w:rFonts w:ascii="Georgia" w:hAnsi="Georgia"/>
          <w:b w:val="0"/>
          <w:color w:val="526068"/>
          <w:sz w:val="19"/>
        </w:rPr>
        <w:t>Core builds a JobEnvelope and enqueues it. The worker claims it, runs the agent, and calls back with proposals. The envelope is the entire contract between the two planes:</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JobEnvelope {</w:t>
              <w:br/>
              <w:t xml:space="preserve">  job_id, job_type, agent_key, agent_kind: worker|service|supervisor,</w:t>
              <w:br/>
              <w:t xml:space="preserve">  tenant_id, project_id, run_id, step_id,</w:t>
              <w:br/>
              <w:t xml:space="preserve">  tier, prompt_ref,</w:t>
              <w:br/>
              <w:t xml:space="preserve">  inputs: { artifacts[], params },</w:t>
              <w:br/>
              <w:t xml:space="preserve">  idempotency_key,</w:t>
              <w:br/>
              <w:t xml:space="preserve">  cache dimensions        // carried, not recomputed on completion</w:t>
              <w:br/>
              <w:t>}</w:t>
            </w:r>
          </w:p>
        </w:tc>
      </w:tr>
    </w:tbl>
    <w:p>
      <w:pPr>
        <w:spacing w:after="40"/>
      </w:pPr>
    </w:p>
    <w:tbl>
      <w:tblPr>
        <w:tblW w:type="auto" w:w="0"/>
        <w:tblLook w:firstColumn="1" w:firstRow="1" w:lastColumn="0" w:lastRow="0" w:noHBand="0" w:noVBand="1" w:val="04A0"/>
        <w:tblBorders>
          <w:top w:val="single" w:sz="2" w:space="0" w:color="E6F3F1"/>
          <w:left w:val="single" w:sz="2" w:space="0" w:color="E6F3F1"/>
          <w:bottom w:val="single" w:sz="2" w:space="0" w:color="E6F3F1"/>
          <w:right w:val="single" w:sz="2" w:space="0" w:color="E6F3F1"/>
          <w:insideH w:val="single" w:sz="2" w:space="0" w:color="E6F3F1"/>
          <w:insideV w:val="single" w:sz="2" w:space="0" w:color="E6F3F1"/>
        </w:tblBorders>
      </w:tblPr>
      <w:tblGrid>
        <w:gridCol w:w="10080"/>
      </w:tblGrid>
      <w:tr>
        <w:tc>
          <w:tcPr>
            <w:tcW w:type="dxa" w:w="10080"/>
            <w:shd w:val="clear" w:fill="E6F3F1"/>
          </w:tcPr>
          <w:p>
            <w:r/>
            <w:r>
              <w:rPr>
                <w:rFonts w:ascii="Calibri" w:hAnsi="Calibri"/>
                <w:b/>
                <w:color w:val="087E75"/>
                <w:sz w:val="14"/>
              </w:rPr>
              <w:t>WHY THE CACHE DIMENSIONS TRAVEL ON THE ENVELOPE</w:t>
            </w:r>
          </w:p>
          <w:p>
            <w:pPr>
              <w:spacing w:before="60" w:line="302" w:lineRule="auto"/>
            </w:pPr>
            <w:r>
              <w:rPr>
                <w:rFonts w:ascii="Georgia" w:hAnsi="Georgia"/>
                <w:color w:val="172126"/>
                <w:sz w:val="17"/>
              </w:rPr>
              <w:t>The policy version and prompt version in force at DISPATCH are what the answer was produced under. Re-deriving them at completion would silently file the answer under the wrong key — and the cache would then serve it for a question it did not answer.</w:t>
            </w:r>
          </w:p>
        </w:tc>
      </w:tr>
    </w:tbl>
    <w:p>
      <w:pPr>
        <w:spacing w:after="60"/>
      </w:pPr>
    </w:p>
    <w:p>
      <w:pPr>
        <w:spacing w:before="260" w:after="80" w:line="307" w:lineRule="auto"/>
      </w:pPr>
      <w:r>
        <w:rPr>
          <w:rFonts w:ascii="Calibri" w:hAnsi="Calibri"/>
          <w:b/>
          <w:color w:val="172126"/>
          <w:sz w:val="22"/>
        </w:rPr>
        <w:t>6.2  Level two — a workflow run</w:t>
      </w:r>
    </w:p>
    <w:p>
      <w:pPr>
        <w:spacing w:before="0" w:after="140" w:line="307" w:lineRule="auto"/>
      </w:pPr>
      <w:r>
        <w:rPr>
          <w:rFonts w:ascii="Georgia" w:hAnsi="Georgia"/>
          <w:b w:val="0"/>
          <w:color w:val="526068"/>
          <w:sz w:val="19"/>
        </w:rPr>
        <w:t>A run walks the workflow's node graph. runtime.advanceRun is the engine: it dispatches every node whose dependencies are satisfied, holds at gates, and completes when nothing is left to do.</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1296"/>
            <w:shd w:val="clear" w:fill="F0F3F4"/>
          </w:tcPr>
          <w:p>
            <w:r/>
            <w:r>
              <w:rPr>
                <w:rFonts w:ascii="Calibri" w:hAnsi="Calibri"/>
                <w:b/>
                <w:color w:val="667279"/>
                <w:sz w:val="13"/>
              </w:rPr>
              <w:t>NODE KIND</w:t>
            </w:r>
          </w:p>
        </w:tc>
        <w:tc>
          <w:tcPr>
            <w:tcW w:type="dxa" w:w="8640"/>
            <w:shd w:val="clear" w:fill="F0F3F4"/>
          </w:tcPr>
          <w:p>
            <w:r/>
            <w:r>
              <w:rPr>
                <w:rFonts w:ascii="Calibri" w:hAnsi="Calibri"/>
                <w:b/>
                <w:color w:val="667279"/>
                <w:sz w:val="13"/>
              </w:rPr>
              <w:t>BEHAVIOUR</w:t>
            </w:r>
          </w:p>
        </w:tc>
      </w:tr>
      <w:tr>
        <w:tc>
          <w:tcPr>
            <w:tcW w:type="dxa" w:w="1296"/>
          </w:tcPr>
          <w:p>
            <w:pPr>
              <w:spacing w:line="278" w:lineRule="auto" w:after="0"/>
            </w:pPr>
            <w:r/>
            <w:r>
              <w:rPr>
                <w:rFonts w:ascii="Calibri" w:hAnsi="Calibri"/>
                <w:b/>
                <w:color w:val="172126"/>
                <w:sz w:val="15"/>
              </w:rPr>
              <w:t>agent</w:t>
            </w:r>
          </w:p>
        </w:tc>
        <w:tc>
          <w:tcPr>
            <w:tcW w:type="dxa" w:w="8640"/>
          </w:tcPr>
          <w:p>
            <w:pPr>
              <w:spacing w:line="278" w:lineRule="auto" w:after="0"/>
            </w:pPr>
            <w:r/>
            <w:r>
              <w:rPr>
                <w:rFonts w:ascii="Calibri" w:hAnsi="Calibri"/>
                <w:b w:val="0"/>
                <w:color w:val="526068"/>
                <w:sz w:val="15"/>
              </w:rPr>
              <w:t>Enqueue a job for the named agent. Its outputs become artifacts in pending status</w:t>
            </w:r>
          </w:p>
        </w:tc>
      </w:tr>
      <w:tr>
        <w:tc>
          <w:tcPr>
            <w:tcW w:type="dxa" w:w="1296"/>
          </w:tcPr>
          <w:p>
            <w:pPr>
              <w:spacing w:line="278" w:lineRule="auto" w:after="0"/>
            </w:pPr>
            <w:r/>
            <w:r>
              <w:rPr>
                <w:rFonts w:ascii="Calibri" w:hAnsi="Calibri"/>
                <w:b/>
                <w:color w:val="172126"/>
                <w:sz w:val="15"/>
              </w:rPr>
              <w:t>gate</w:t>
            </w:r>
          </w:p>
        </w:tc>
        <w:tc>
          <w:tcPr>
            <w:tcW w:type="dxa" w:w="8640"/>
          </w:tcPr>
          <w:p>
            <w:pPr>
              <w:spacing w:line="278" w:lineRule="auto" w:after="0"/>
            </w:pPr>
            <w:r/>
            <w:r>
              <w:rPr>
                <w:rFonts w:ascii="Calibri" w:hAnsi="Calibri"/>
                <w:b w:val="0"/>
                <w:color w:val="526068"/>
                <w:sz w:val="15"/>
              </w:rPr>
              <w:t>Hold until artifacts of the named types have been dispositioned. Resolves when nothing is pending AND either something was confirmed, the gate allows empty, or nothing of that type exists at all</w:t>
            </w:r>
          </w:p>
        </w:tc>
      </w:tr>
      <w:tr>
        <w:tc>
          <w:tcPr>
            <w:tcW w:type="dxa" w:w="1296"/>
          </w:tcPr>
          <w:p>
            <w:pPr>
              <w:spacing w:line="278" w:lineRule="auto" w:after="0"/>
            </w:pPr>
            <w:r/>
            <w:r>
              <w:rPr>
                <w:rFonts w:ascii="Calibri" w:hAnsi="Calibri"/>
                <w:b/>
                <w:color w:val="172126"/>
                <w:sz w:val="15"/>
              </w:rPr>
              <w:t>map</w:t>
            </w:r>
          </w:p>
        </w:tc>
        <w:tc>
          <w:tcPr>
            <w:tcW w:type="dxa" w:w="8640"/>
          </w:tcPr>
          <w:p>
            <w:pPr>
              <w:spacing w:line="278" w:lineRule="auto" w:after="0"/>
            </w:pPr>
            <w:r/>
            <w:r>
              <w:rPr>
                <w:rFonts w:ascii="Calibri" w:hAnsi="Calibri"/>
                <w:b w:val="0"/>
                <w:color w:val="526068"/>
                <w:sz w:val="15"/>
              </w:rPr>
              <w:t>Fan out over a collection — one child step per sheet, per division, per package</w:t>
            </w:r>
          </w:p>
        </w:tc>
      </w:tr>
    </w:tbl>
    <w:p>
      <w:pPr>
        <w:spacing w:after="60"/>
      </w:pPr>
    </w:p>
    <w:p>
      <w:pPr>
        <w:spacing w:before="260" w:after="80" w:line="307" w:lineRule="auto"/>
      </w:pPr>
      <w:r>
        <w:rPr>
          <w:rFonts w:ascii="Calibri" w:hAnsi="Calibri"/>
          <w:b/>
          <w:color w:val="172126"/>
          <w:sz w:val="22"/>
        </w:rPr>
        <w:t>6.3  Level three — pursuit, the autopilot</w:t>
      </w:r>
    </w:p>
    <w:p>
      <w:pPr>
        <w:spacing w:before="0" w:after="140" w:line="307" w:lineRule="auto"/>
      </w:pPr>
      <w:r>
        <w:rPr>
          <w:rFonts w:ascii="Georgia" w:hAnsi="Georgia"/>
          <w:b w:val="0"/>
          <w:color w:val="526068"/>
          <w:sz w:val="19"/>
        </w:rPr>
        <w:t>The pursuit orchestrator drives a project end to end with no manual gate confirmation. Its most important property is that it is domain-neutral — nothing in it names construction:</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 from src/lib/pursuit.ts</w:t>
              <w:br/>
              <w:t>// Domain-NEUTRAL: it reads the tenant's bound pack purely as data</w:t>
              <w:br/>
              <w:t>// (licensed workflows, their agents' consumes/produces, and the declared</w:t>
              <w:br/>
              <w:t>// lifecycle) and drives a project end-to-end with no manual gate</w:t>
              <w:br/>
              <w:t>// confirmation. Nothing here names construction or any vertical - the</w:t>
              <w:br/>
              <w:t>// exact same code runs the underwriting pursuit, or any future domain's.</w:t>
            </w:r>
          </w:p>
        </w:tc>
      </w:tr>
    </w:tbl>
    <w:p>
      <w:pPr>
        <w:spacing w:after="40"/>
      </w:pPr>
    </w:p>
    <w:p>
      <w:pPr>
        <w:pStyle w:val="ListBullet"/>
        <w:spacing w:after="60" w:line="302" w:lineRule="auto"/>
        <w:ind w:left="360"/>
      </w:pPr>
      <w:r>
        <w:rPr>
          <w:rFonts w:ascii="Calibri" w:hAnsi="Calibri"/>
          <w:b/>
          <w:color w:val="172126"/>
          <w:sz w:val="17"/>
        </w:rPr>
        <w:t xml:space="preserve">Topological order. </w:t>
      </w:r>
      <w:r>
        <w:rPr>
          <w:rFonts w:ascii="Georgia" w:hAnsi="Georgia"/>
          <w:color w:val="526068"/>
          <w:sz w:val="17"/>
        </w:rPr>
        <w:t>Licensed workflows are sorted so a workflow that consumes a type runs after the one that produces it. Dependencies are computed from the catalogue — agent consumes/produces plus gate types — never hardcoded. Cycles and independents fall back to a stable (module, key) order.</w:t>
      </w:r>
    </w:p>
    <w:p>
      <w:pPr>
        <w:pStyle w:val="ListBullet"/>
        <w:spacing w:after="60" w:line="302" w:lineRule="auto"/>
        <w:ind w:left="360"/>
      </w:pPr>
      <w:r>
        <w:rPr>
          <w:rFonts w:ascii="Calibri" w:hAnsi="Calibri"/>
          <w:b/>
          <w:color w:val="172126"/>
          <w:sz w:val="17"/>
        </w:rPr>
        <w:t xml:space="preserve">Auto-accept. </w:t>
      </w:r>
      <w:r>
        <w:rPr>
          <w:rFonts w:ascii="Georgia" w:hAnsi="Georgia"/>
          <w:color w:val="526068"/>
          <w:sz w:val="17"/>
        </w:rPr>
        <w:t>On autopilot every proposal is accepted automatically, which is what makes it a demonstration and pipeline tool rather than a production path.</w:t>
      </w:r>
    </w:p>
    <w:p>
      <w:pPr>
        <w:pStyle w:val="ListBullet"/>
        <w:spacing w:after="60" w:line="302" w:lineRule="auto"/>
        <w:ind w:left="360"/>
      </w:pPr>
      <w:r>
        <w:rPr>
          <w:rFonts w:ascii="Calibri" w:hAnsi="Calibri"/>
          <w:b/>
          <w:color w:val="172126"/>
          <w:sz w:val="17"/>
        </w:rPr>
        <w:t xml:space="preserve">Continuation. </w:t>
      </w:r>
      <w:r>
        <w:rPr>
          <w:rFonts w:ascii="Georgia" w:hAnsi="Georgia"/>
          <w:color w:val="526068"/>
          <w:sz w:val="17"/>
        </w:rPr>
        <w:t>As each run completes, advanceRun calls continuePursuit(), which advances the lifecycle from the confirmed artifacts and starts the next workflow.</w:t>
      </w:r>
    </w:p>
    <w:p>
      <w:pPr>
        <w:pStyle w:val="ListBullet"/>
        <w:spacing w:after="60" w:line="302" w:lineRule="auto"/>
        <w:ind w:left="360"/>
      </w:pPr>
      <w:r>
        <w:rPr>
          <w:rFonts w:ascii="Calibri" w:hAnsi="Calibri"/>
          <w:b/>
          <w:color w:val="172126"/>
          <w:sz w:val="17"/>
        </w:rPr>
        <w:t xml:space="preserve">Bounded. </w:t>
      </w:r>
      <w:r>
        <w:rPr>
          <w:rFonts w:ascii="Georgia" w:hAnsi="Georgia"/>
          <w:color w:val="526068"/>
          <w:sz w:val="17"/>
        </w:rPr>
        <w:t>Every licensed workflow runs exactly once.</w:t>
      </w:r>
    </w:p>
    <w:p>
      <w:pPr>
        <w:spacing w:after="40"/>
      </w:pPr>
    </w:p>
    <w:p>
      <w:pPr>
        <w:spacing w:before="260" w:after="80" w:line="307" w:lineRule="auto"/>
      </w:pPr>
      <w:r>
        <w:rPr>
          <w:rFonts w:ascii="Calibri" w:hAnsi="Calibri"/>
          <w:b/>
          <w:color w:val="172126"/>
          <w:sz w:val="22"/>
        </w:rPr>
        <w:t>6.4  Supervisors — the conversational layer</w:t>
      </w:r>
    </w:p>
    <w:p>
      <w:pPr>
        <w:spacing w:before="0" w:after="140" w:line="307" w:lineRule="auto"/>
      </w:pPr>
      <w:r>
        <w:rPr>
          <w:rFonts w:ascii="Georgia" w:hAnsi="Georgia"/>
          <w:b w:val="0"/>
          <w:color w:val="526068"/>
          <w:sz w:val="19"/>
        </w:rPr>
        <w:t>Three supervisor agents (construction copilot, commercial, compliance lead) answer questions and review completed runs. They produce no artifacts. Threads live in orchestrator_conversation and orchestrator_message, each optionally owned by a persona; a null supervisor_key is the default copilot.</w:t>
      </w:r>
    </w:p>
    <w:p>
      <w:pPr>
        <w:spacing w:before="0" w:after="140" w:line="307" w:lineRule="auto"/>
      </w:pPr>
      <w:r>
        <w:rPr>
          <w:rFonts w:ascii="Georgia" w:hAnsi="Georgia"/>
          <w:b w:val="0"/>
          <w:color w:val="526068"/>
          <w:sz w:val="19"/>
        </w:rPr>
        <w:t>A supervisor has two task types: respond, which answers a question in project context, and review_run, which sweeps a finished run and reports what it thinks is wrong. The second is why a supervisor is not just a chatbot — it is a second reader.</w:t>
      </w:r>
    </w:p>
    <w:p>
      <w:pPr>
        <w:spacing w:before="260" w:after="80" w:line="307" w:lineRule="auto"/>
      </w:pPr>
      <w:r>
        <w:rPr>
          <w:rFonts w:ascii="Calibri" w:hAnsi="Calibri"/>
          <w:b/>
          <w:color w:val="172126"/>
          <w:sz w:val="22"/>
        </w:rPr>
        <w:t>6.5  Recovery</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1872"/>
            <w:shd w:val="clear" w:fill="F0F3F4"/>
          </w:tcPr>
          <w:p>
            <w:r/>
            <w:r>
              <w:rPr>
                <w:rFonts w:ascii="Calibri" w:hAnsi="Calibri"/>
                <w:b/>
                <w:color w:val="667279"/>
                <w:sz w:val="13"/>
              </w:rPr>
              <w:t>MECHANISM</w:t>
            </w:r>
          </w:p>
        </w:tc>
        <w:tc>
          <w:tcPr>
            <w:tcW w:type="dxa" w:w="8064"/>
            <w:shd w:val="clear" w:fill="F0F3F4"/>
          </w:tcPr>
          <w:p>
            <w:r/>
            <w:r>
              <w:rPr>
                <w:rFonts w:ascii="Calibri" w:hAnsi="Calibri"/>
                <w:b/>
                <w:color w:val="667279"/>
                <w:sz w:val="13"/>
              </w:rPr>
              <w:t>BEHAVIOUR</w:t>
            </w:r>
          </w:p>
        </w:tc>
      </w:tr>
      <w:tr>
        <w:tc>
          <w:tcPr>
            <w:tcW w:type="dxa" w:w="1872"/>
          </w:tcPr>
          <w:p>
            <w:pPr>
              <w:spacing w:line="278" w:lineRule="auto" w:after="0"/>
            </w:pPr>
            <w:r/>
            <w:r>
              <w:rPr>
                <w:rFonts w:ascii="Calibri" w:hAnsi="Calibri"/>
                <w:b/>
                <w:color w:val="172126"/>
                <w:sz w:val="15"/>
              </w:rPr>
              <w:t>Conditional claim</w:t>
            </w:r>
          </w:p>
        </w:tc>
        <w:tc>
          <w:tcPr>
            <w:tcW w:type="dxa" w:w="8064"/>
          </w:tcPr>
          <w:p>
            <w:pPr>
              <w:spacing w:line="278" w:lineRule="auto" w:after="0"/>
            </w:pPr>
            <w:r/>
            <w:r>
              <w:rPr>
                <w:rFonts w:ascii="Calibri" w:hAnsi="Calibri"/>
                <w:b w:val="0"/>
                <w:color w:val="526068"/>
                <w:sz w:val="15"/>
              </w:rPr>
              <w:t>A worker takes a job by conditional UPDATE, so two workers cannot claim the same one</w:t>
            </w:r>
          </w:p>
        </w:tc>
      </w:tr>
      <w:tr>
        <w:tc>
          <w:tcPr>
            <w:tcW w:type="dxa" w:w="1872"/>
          </w:tcPr>
          <w:p>
            <w:pPr>
              <w:spacing w:line="278" w:lineRule="auto" w:after="0"/>
            </w:pPr>
            <w:r/>
            <w:r>
              <w:rPr>
                <w:rFonts w:ascii="Calibri" w:hAnsi="Calibri"/>
                <w:b/>
                <w:color w:val="172126"/>
                <w:sz w:val="15"/>
              </w:rPr>
              <w:t>Lease</w:t>
            </w:r>
          </w:p>
        </w:tc>
        <w:tc>
          <w:tcPr>
            <w:tcW w:type="dxa" w:w="8064"/>
          </w:tcPr>
          <w:p>
            <w:pPr>
              <w:spacing w:line="278" w:lineRule="auto" w:after="0"/>
            </w:pPr>
            <w:r/>
            <w:r>
              <w:rPr>
                <w:rFonts w:ascii="Calibri" w:hAnsi="Calibri"/>
                <w:b w:val="0"/>
                <w:color w:val="526068"/>
                <w:sz w:val="15"/>
              </w:rPr>
              <w:t>A claimed job carries an expiry. A worker that dies leaves an expired lease rather than a job stuck in running</w:t>
            </w:r>
          </w:p>
        </w:tc>
      </w:tr>
      <w:tr>
        <w:tc>
          <w:tcPr>
            <w:tcW w:type="dxa" w:w="1872"/>
          </w:tcPr>
          <w:p>
            <w:pPr>
              <w:spacing w:line="278" w:lineRule="auto" w:after="0"/>
            </w:pPr>
            <w:r/>
            <w:r>
              <w:rPr>
                <w:rFonts w:ascii="Calibri" w:hAnsi="Calibri"/>
                <w:b/>
                <w:color w:val="172126"/>
                <w:sz w:val="15"/>
              </w:rPr>
              <w:t>Reconciler</w:t>
            </w:r>
          </w:p>
        </w:tc>
        <w:tc>
          <w:tcPr>
            <w:tcW w:type="dxa" w:w="8064"/>
          </w:tcPr>
          <w:p>
            <w:pPr>
              <w:spacing w:line="278" w:lineRule="auto" w:after="0"/>
            </w:pPr>
            <w:r/>
            <w:r>
              <w:rPr>
                <w:rFonts w:ascii="Calibri" w:hAnsi="Calibri"/>
                <w:b w:val="0"/>
                <w:color w:val="526068"/>
                <w:sz w:val="15"/>
              </w:rPr>
              <w:t>Sweeps expired leases back to queued, up to max_attempts</w:t>
            </w:r>
          </w:p>
        </w:tc>
      </w:tr>
      <w:tr>
        <w:tc>
          <w:tcPr>
            <w:tcW w:type="dxa" w:w="1872"/>
          </w:tcPr>
          <w:p>
            <w:pPr>
              <w:spacing w:line="278" w:lineRule="auto" w:after="0"/>
            </w:pPr>
            <w:r/>
            <w:r>
              <w:rPr>
                <w:rFonts w:ascii="Calibri" w:hAnsi="Calibri"/>
                <w:b/>
                <w:color w:val="172126"/>
                <w:sz w:val="15"/>
              </w:rPr>
              <w:t>Idempotency key</w:t>
            </w:r>
          </w:p>
        </w:tc>
        <w:tc>
          <w:tcPr>
            <w:tcW w:type="dxa" w:w="8064"/>
          </w:tcPr>
          <w:p>
            <w:pPr>
              <w:spacing w:line="278" w:lineRule="auto" w:after="0"/>
            </w:pPr>
            <w:r/>
            <w:r>
              <w:rPr>
                <w:rFonts w:ascii="Calibri" w:hAnsi="Calibri"/>
                <w:b w:val="0"/>
                <w:color w:val="526068"/>
                <w:sz w:val="15"/>
              </w:rPr>
              <w:t>A retried dispatch cannot produce two runs of the same work</w:t>
            </w:r>
          </w:p>
        </w:tc>
      </w:tr>
      <w:tr>
        <w:tc>
          <w:tcPr>
            <w:tcW w:type="dxa" w:w="1872"/>
          </w:tcPr>
          <w:p>
            <w:pPr>
              <w:spacing w:line="278" w:lineRule="auto" w:after="0"/>
            </w:pPr>
            <w:r/>
            <w:r>
              <w:rPr>
                <w:rFonts w:ascii="Calibri" w:hAnsi="Calibri"/>
                <w:b/>
                <w:color w:val="172126"/>
                <w:sz w:val="15"/>
              </w:rPr>
              <w:t>Concurrency guard</w:t>
            </w:r>
          </w:p>
        </w:tc>
        <w:tc>
          <w:tcPr>
            <w:tcW w:type="dxa" w:w="8064"/>
          </w:tcPr>
          <w:p>
            <w:pPr>
              <w:spacing w:line="278" w:lineRule="auto" w:after="0"/>
            </w:pPr>
            <w:r/>
            <w:r>
              <w:rPr>
                <w:rFonts w:ascii="Calibri" w:hAnsi="Calibri"/>
                <w:b w:val="0"/>
                <w:color w:val="526068"/>
                <w:sz w:val="15"/>
              </w:rPr>
              <w:t>A second run of the same workflow on the same project is refused while one is genuinely running</w:t>
            </w:r>
          </w:p>
        </w:tc>
      </w:tr>
    </w:tbl>
    <w:p>
      <w:pPr>
        <w:spacing w:after="60"/>
      </w:pPr>
    </w:p>
    <w:p>
      <w:r>
        <w:br w:type="page"/>
      </w:r>
    </w:p>
    <w:p>
      <w:pPr>
        <w:spacing w:before="0" w:after="60" w:line="307" w:lineRule="auto"/>
      </w:pPr>
      <w:r>
        <w:rPr>
          <w:rFonts w:ascii="Consolas" w:hAnsi="Consolas"/>
          <w:b/>
          <w:color w:val="087E75"/>
          <w:sz w:val="15"/>
        </w:rPr>
        <w:t>PART 8</w:t>
      </w:r>
    </w:p>
    <w:p>
      <w:pPr>
        <w:spacing w:before="0" w:after="160" w:line="252" w:lineRule="auto"/>
      </w:pPr>
      <w:r>
        <w:rPr>
          <w:rFonts w:ascii="Georgia" w:hAnsi="Georgia"/>
          <w:b/>
          <w:color w:val="172126"/>
          <w:sz w:val="38"/>
        </w:rPr>
        <w:t>Prompt architecture</w:t>
      </w:r>
    </w:p>
    <w:p>
      <w:pPr>
        <w:spacing w:before="0" w:after="200" w:line="307" w:lineRule="auto"/>
      </w:pPr>
      <w:r>
        <w:rPr>
          <w:rFonts w:ascii="Georgia" w:hAnsi="Georgia"/>
          <w:b w:val="0"/>
          <w:color w:val="526068"/>
          <w:sz w:val="21"/>
        </w:rPr>
        <w:t>671 lines of composed briefs, versioned in the registry and referenced by every ledger row.</w:t>
      </w:r>
    </w:p>
    <w:p>
      <w:pPr>
        <w:spacing w:before="260" w:after="80" w:line="307" w:lineRule="auto"/>
      </w:pPr>
      <w:r>
        <w:rPr>
          <w:rFonts w:ascii="Calibri" w:hAnsi="Calibri"/>
          <w:b/>
          <w:color w:val="172126"/>
          <w:sz w:val="22"/>
        </w:rPr>
        <w:t>7.1  A stage brief is assembled, not written</w:t>
      </w:r>
    </w:p>
    <w:p>
      <w:pPr>
        <w:spacing w:before="0" w:after="140" w:line="307" w:lineRule="auto"/>
      </w:pPr>
      <w:r>
        <w:rPr>
          <w:rFonts w:ascii="Georgia" w:hAnsi="Georgia"/>
          <w:b w:val="0"/>
          <w:color w:val="526068"/>
          <w:sz w:val="19"/>
        </w:rPr>
        <w:t>Each prompt is built from shared blocks plus stage-specific instruction. The shared blocks are the reason a BOQ line reads like a quantity surveyor wrote it:</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3024"/>
            <w:shd w:val="clear" w:fill="F0F3F4"/>
          </w:tcPr>
          <w:p>
            <w:r/>
            <w:r>
              <w:rPr>
                <w:rFonts w:ascii="Calibri" w:hAnsi="Calibri"/>
                <w:b/>
                <w:color w:val="667279"/>
                <w:sz w:val="13"/>
              </w:rPr>
              <w:t>BLOCK</w:t>
            </w:r>
          </w:p>
        </w:tc>
        <w:tc>
          <w:tcPr>
            <w:tcW w:type="dxa" w:w="6912"/>
            <w:shd w:val="clear" w:fill="F0F3F4"/>
          </w:tcPr>
          <w:p>
            <w:r/>
            <w:r>
              <w:rPr>
                <w:rFonts w:ascii="Calibri" w:hAnsi="Calibri"/>
                <w:b/>
                <w:color w:val="667279"/>
                <w:sz w:val="13"/>
              </w:rPr>
              <w:t>CONTAINS</w:t>
            </w:r>
          </w:p>
        </w:tc>
      </w:tr>
      <w:tr>
        <w:tc>
          <w:tcPr>
            <w:tcW w:type="dxa" w:w="3024"/>
          </w:tcPr>
          <w:p>
            <w:pPr>
              <w:spacing w:line="278" w:lineRule="auto" w:after="0"/>
            </w:pPr>
            <w:r/>
            <w:r>
              <w:rPr>
                <w:rFonts w:ascii="Consolas" w:hAnsi="Consolas"/>
                <w:b/>
                <w:color w:val="172126"/>
                <w:sz w:val="15"/>
              </w:rPr>
              <w:t>HOUSE_RULES</w:t>
            </w:r>
          </w:p>
        </w:tc>
        <w:tc>
          <w:tcPr>
            <w:tcW w:type="dxa" w:w="6912"/>
          </w:tcPr>
          <w:p>
            <w:pPr>
              <w:spacing w:line="278" w:lineRule="auto" w:after="0"/>
            </w:pPr>
            <w:r/>
            <w:r>
              <w:rPr>
                <w:rFonts w:ascii="Calibri" w:hAnsi="Calibri"/>
                <w:b w:val="0"/>
                <w:color w:val="526068"/>
                <w:sz w:val="15"/>
              </w:rPr>
              <w:t>Ground every output in the evidence provided. The rule that everything else rests on</w:t>
            </w:r>
          </w:p>
        </w:tc>
      </w:tr>
      <w:tr>
        <w:tc>
          <w:tcPr>
            <w:tcW w:type="dxa" w:w="3024"/>
          </w:tcPr>
          <w:p>
            <w:pPr>
              <w:spacing w:line="278" w:lineRule="auto" w:after="0"/>
            </w:pPr>
            <w:r/>
            <w:r>
              <w:rPr>
                <w:rFonts w:ascii="Consolas" w:hAnsi="Consolas"/>
                <w:b/>
                <w:color w:val="172126"/>
                <w:sz w:val="15"/>
              </w:rPr>
              <w:t>QUANTITY_RULES</w:t>
            </w:r>
          </w:p>
        </w:tc>
        <w:tc>
          <w:tcPr>
            <w:tcW w:type="dxa" w:w="6912"/>
          </w:tcPr>
          <w:p>
            <w:pPr>
              <w:spacing w:line="278" w:lineRule="auto" w:after="0"/>
            </w:pPr>
            <w:r/>
            <w:r>
              <w:rPr>
                <w:rFonts w:ascii="Calibri" w:hAnsi="Calibri"/>
                <w:b w:val="0"/>
                <w:color w:val="526068"/>
                <w:sz w:val="15"/>
              </w:rPr>
              <w:t>How to quantify — every number must be traceable to a measurement, a schedule or a stated assumption</w:t>
            </w:r>
          </w:p>
        </w:tc>
      </w:tr>
      <w:tr>
        <w:tc>
          <w:tcPr>
            <w:tcW w:type="dxa" w:w="3024"/>
          </w:tcPr>
          <w:p>
            <w:pPr>
              <w:spacing w:line="278" w:lineRule="auto" w:after="0"/>
            </w:pPr>
            <w:r/>
            <w:r>
              <w:rPr>
                <w:rFonts w:ascii="Consolas" w:hAnsi="Consolas"/>
                <w:b/>
                <w:color w:val="172126"/>
                <w:sz w:val="15"/>
              </w:rPr>
              <w:t>documentsBlock(env, budget)</w:t>
            </w:r>
          </w:p>
        </w:tc>
        <w:tc>
          <w:tcPr>
            <w:tcW w:type="dxa" w:w="6912"/>
          </w:tcPr>
          <w:p>
            <w:pPr>
              <w:spacing w:line="278" w:lineRule="auto" w:after="0"/>
            </w:pPr>
            <w:r/>
            <w:r>
              <w:rPr>
                <w:rFonts w:ascii="Calibri" w:hAnsi="Calibri"/>
                <w:b w:val="0"/>
                <w:color w:val="526068"/>
                <w:sz w:val="15"/>
              </w:rPr>
              <w:t>Source documents, budgeted in characters</w:t>
            </w:r>
          </w:p>
        </w:tc>
      </w:tr>
      <w:tr>
        <w:tc>
          <w:tcPr>
            <w:tcW w:type="dxa" w:w="3024"/>
          </w:tcPr>
          <w:p>
            <w:pPr>
              <w:spacing w:line="278" w:lineRule="auto" w:after="0"/>
            </w:pPr>
            <w:r/>
            <w:r>
              <w:rPr>
                <w:rFonts w:ascii="Consolas" w:hAnsi="Consolas"/>
                <w:b/>
                <w:color w:val="172126"/>
                <w:sz w:val="15"/>
              </w:rPr>
              <w:t>recordsBlock(env, budget)</w:t>
            </w:r>
          </w:p>
        </w:tc>
        <w:tc>
          <w:tcPr>
            <w:tcW w:type="dxa" w:w="6912"/>
          </w:tcPr>
          <w:p>
            <w:pPr>
              <w:spacing w:line="278" w:lineRule="auto" w:after="0"/>
            </w:pPr>
            <w:r/>
            <w:r>
              <w:rPr>
                <w:rFonts w:ascii="Calibri" w:hAnsi="Calibri"/>
                <w:b w:val="0"/>
                <w:color w:val="526068"/>
                <w:sz w:val="15"/>
              </w:rPr>
              <w:t>Confirmed upstream artifacts, budgeted</w:t>
            </w:r>
          </w:p>
        </w:tc>
      </w:tr>
      <w:tr>
        <w:tc>
          <w:tcPr>
            <w:tcW w:type="dxa" w:w="3024"/>
          </w:tcPr>
          <w:p>
            <w:pPr>
              <w:spacing w:line="278" w:lineRule="auto" w:after="0"/>
            </w:pPr>
            <w:r/>
            <w:r>
              <w:rPr>
                <w:rFonts w:ascii="Consolas" w:hAnsi="Consolas"/>
                <w:b/>
                <w:color w:val="172126"/>
                <w:sz w:val="15"/>
              </w:rPr>
              <w:t>cadFacts / cadBlock</w:t>
            </w:r>
          </w:p>
        </w:tc>
        <w:tc>
          <w:tcPr>
            <w:tcW w:type="dxa" w:w="6912"/>
          </w:tcPr>
          <w:p>
            <w:pPr>
              <w:spacing w:line="278" w:lineRule="auto" w:after="0"/>
            </w:pPr>
            <w:r/>
            <w:r>
              <w:rPr>
                <w:rFonts w:ascii="Calibri" w:hAnsi="Calibri"/>
                <w:b w:val="0"/>
                <w:color w:val="526068"/>
                <w:sz w:val="15"/>
              </w:rPr>
              <w:t>Geometry read from the DXF: layers, blocks, dimensions</w:t>
            </w:r>
          </w:p>
        </w:tc>
      </w:tr>
      <w:tr>
        <w:tc>
          <w:tcPr>
            <w:tcW w:type="dxa" w:w="3024"/>
          </w:tcPr>
          <w:p>
            <w:pPr>
              <w:spacing w:line="278" w:lineRule="auto" w:after="0"/>
            </w:pPr>
            <w:r/>
            <w:r>
              <w:rPr>
                <w:rFonts w:ascii="Consolas" w:hAnsi="Consolas"/>
                <w:b/>
                <w:color w:val="172126"/>
                <w:sz w:val="15"/>
              </w:rPr>
              <w:t>lessonsBlock</w:t>
            </w:r>
          </w:p>
        </w:tc>
        <w:tc>
          <w:tcPr>
            <w:tcW w:type="dxa" w:w="6912"/>
          </w:tcPr>
          <w:p>
            <w:pPr>
              <w:spacing w:line="278" w:lineRule="auto" w:after="0"/>
            </w:pPr>
            <w:r/>
            <w:r>
              <w:rPr>
                <w:rFonts w:ascii="Calibri" w:hAnsi="Calibri"/>
                <w:b w:val="0"/>
                <w:color w:val="526068"/>
                <w:sz w:val="15"/>
              </w:rPr>
              <w:t>Corrections previously made by reviewers on this project</w:t>
            </w:r>
          </w:p>
        </w:tc>
      </w:tr>
      <w:tr>
        <w:tc>
          <w:tcPr>
            <w:tcW w:type="dxa" w:w="3024"/>
          </w:tcPr>
          <w:p>
            <w:pPr>
              <w:spacing w:line="278" w:lineRule="auto" w:after="0"/>
            </w:pPr>
            <w:r/>
            <w:r>
              <w:rPr>
                <w:rFonts w:ascii="Consolas" w:hAnsi="Consolas"/>
                <w:b/>
                <w:color w:val="172126"/>
                <w:sz w:val="15"/>
              </w:rPr>
              <w:t>filesBlock · projectBlock · boqDigestBlock · programmeSignalsBlock</w:t>
            </w:r>
          </w:p>
        </w:tc>
        <w:tc>
          <w:tcPr>
            <w:tcW w:type="dxa" w:w="6912"/>
          </w:tcPr>
          <w:p>
            <w:pPr>
              <w:spacing w:line="278" w:lineRule="auto" w:after="0"/>
            </w:pPr>
            <w:r/>
            <w:r>
              <w:rPr>
                <w:rFonts w:ascii="Calibri" w:hAnsi="Calibri"/>
                <w:b w:val="0"/>
                <w:color w:val="526068"/>
                <w:sz w:val="15"/>
              </w:rPr>
              <w:t>Context specific to the stage</w:t>
            </w:r>
          </w:p>
        </w:tc>
      </w:tr>
    </w:tbl>
    <w:p>
      <w:pPr>
        <w:spacing w:after="60"/>
      </w:pPr>
    </w:p>
    <w:p>
      <w:pPr>
        <w:spacing w:before="260" w:after="80" w:line="307" w:lineRule="auto"/>
      </w:pPr>
      <w:r>
        <w:rPr>
          <w:rFonts w:ascii="Calibri" w:hAnsi="Calibri"/>
          <w:b/>
          <w:color w:val="172126"/>
          <w:sz w:val="22"/>
        </w:rPr>
        <w:t>7.2  The BOQ roster — four prompt types for one bill</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2160"/>
            <w:shd w:val="clear" w:fill="F0F3F4"/>
          </w:tcPr>
          <w:p>
            <w:r/>
            <w:r>
              <w:rPr>
                <w:rFonts w:ascii="Calibri" w:hAnsi="Calibri"/>
                <w:b/>
                <w:color w:val="667279"/>
                <w:sz w:val="13"/>
              </w:rPr>
              <w:t>PROMPT</w:t>
            </w:r>
          </w:p>
        </w:tc>
        <w:tc>
          <w:tcPr>
            <w:tcW w:type="dxa" w:w="7776"/>
            <w:shd w:val="clear" w:fill="F0F3F4"/>
          </w:tcPr>
          <w:p>
            <w:r/>
            <w:r>
              <w:rPr>
                <w:rFonts w:ascii="Calibri" w:hAnsi="Calibri"/>
                <w:b/>
                <w:color w:val="667279"/>
                <w:sz w:val="13"/>
              </w:rPr>
              <w:t>ROLE</w:t>
            </w:r>
          </w:p>
        </w:tc>
      </w:tr>
      <w:tr>
        <w:tc>
          <w:tcPr>
            <w:tcW w:type="dxa" w:w="2160"/>
          </w:tcPr>
          <w:p>
            <w:pPr>
              <w:spacing w:line="278" w:lineRule="auto" w:after="0"/>
            </w:pPr>
            <w:r/>
            <w:r>
              <w:rPr>
                <w:rFonts w:ascii="Consolas" w:hAnsi="Consolas"/>
                <w:b/>
                <w:color w:val="172126"/>
                <w:sz w:val="15"/>
              </w:rPr>
              <w:t>outlinePrompt</w:t>
            </w:r>
          </w:p>
        </w:tc>
        <w:tc>
          <w:tcPr>
            <w:tcW w:type="dxa" w:w="7776"/>
          </w:tcPr>
          <w:p>
            <w:pPr>
              <w:spacing w:line="278" w:lineRule="auto" w:after="0"/>
            </w:pPr>
            <w:r/>
            <w:r>
              <w:rPr>
                <w:rFonts w:ascii="Calibri" w:hAnsi="Calibri"/>
                <w:b w:val="0"/>
                <w:color w:val="526068"/>
                <w:sz w:val="15"/>
              </w:rPr>
              <w:t>Propose the divisions this project needs</w:t>
            </w:r>
          </w:p>
        </w:tc>
      </w:tr>
      <w:tr>
        <w:tc>
          <w:tcPr>
            <w:tcW w:type="dxa" w:w="2160"/>
          </w:tcPr>
          <w:p>
            <w:pPr>
              <w:spacing w:line="278" w:lineRule="auto" w:after="0"/>
            </w:pPr>
            <w:r/>
            <w:r>
              <w:rPr>
                <w:rFonts w:ascii="Consolas" w:hAnsi="Consolas"/>
                <w:b/>
                <w:color w:val="172126"/>
                <w:sz w:val="15"/>
              </w:rPr>
              <w:t>designerPrompt</w:t>
            </w:r>
          </w:p>
        </w:tc>
        <w:tc>
          <w:tcPr>
            <w:tcW w:type="dxa" w:w="7776"/>
          </w:tcPr>
          <w:p>
            <w:pPr>
              <w:spacing w:line="278" w:lineRule="auto" w:after="0"/>
            </w:pPr>
            <w:r/>
            <w:r>
              <w:rPr>
                <w:rFonts w:ascii="Calibri" w:hAnsi="Calibri"/>
                <w:b w:val="0"/>
                <w:color w:val="526068"/>
                <w:sz w:val="15"/>
              </w:rPr>
              <w:t>Propose a roster of specialists for this project type, each with expertise, a measurement guide, vocabulary and typical items</w:t>
            </w:r>
          </w:p>
        </w:tc>
      </w:tr>
      <w:tr>
        <w:tc>
          <w:tcPr>
            <w:tcW w:type="dxa" w:w="2160"/>
          </w:tcPr>
          <w:p>
            <w:pPr>
              <w:spacing w:line="278" w:lineRule="auto" w:after="0"/>
            </w:pPr>
            <w:r/>
            <w:r>
              <w:rPr>
                <w:rFonts w:ascii="Consolas" w:hAnsi="Consolas"/>
                <w:b/>
                <w:color w:val="172126"/>
                <w:sz w:val="15"/>
              </w:rPr>
              <w:t>sectionPrompt</w:t>
            </w:r>
          </w:p>
        </w:tc>
        <w:tc>
          <w:tcPr>
            <w:tcW w:type="dxa" w:w="7776"/>
          </w:tcPr>
          <w:p>
            <w:pPr>
              <w:spacing w:line="278" w:lineRule="auto" w:after="0"/>
            </w:pPr>
            <w:r/>
            <w:r>
              <w:rPr>
                <w:rFonts w:ascii="Calibri" w:hAnsi="Calibri"/>
                <w:b w:val="0"/>
                <w:color w:val="526068"/>
                <w:sz w:val="15"/>
              </w:rPr>
              <w:t>Price ONE division as that specialist, staying inside its scope</w:t>
            </w:r>
          </w:p>
        </w:tc>
      </w:tr>
      <w:tr>
        <w:tc>
          <w:tcPr>
            <w:tcW w:type="dxa" w:w="2160"/>
          </w:tcPr>
          <w:p>
            <w:pPr>
              <w:spacing w:line="278" w:lineRule="auto" w:after="0"/>
            </w:pPr>
            <w:r/>
            <w:r>
              <w:rPr>
                <w:rFonts w:ascii="Consolas" w:hAnsi="Consolas"/>
                <w:b/>
                <w:color w:val="172126"/>
                <w:sz w:val="15"/>
              </w:rPr>
              <w:t>verifierPrompt</w:t>
            </w:r>
          </w:p>
        </w:tc>
        <w:tc>
          <w:tcPr>
            <w:tcW w:type="dxa" w:w="7776"/>
          </w:tcPr>
          <w:p>
            <w:pPr>
              <w:spacing w:line="278" w:lineRule="auto" w:after="0"/>
            </w:pPr>
            <w:r/>
            <w:r>
              <w:rPr>
                <w:rFonts w:ascii="Calibri" w:hAnsi="Calibri"/>
                <w:b w:val="0"/>
                <w:color w:val="526068"/>
                <w:sz w:val="15"/>
              </w:rPr>
              <w:t>Check the assembled bill against the roster's declared checks</w:t>
            </w:r>
          </w:p>
        </w:tc>
      </w:tr>
    </w:tbl>
    <w:p>
      <w:pPr>
        <w:spacing w:after="60"/>
      </w:pPr>
    </w:p>
    <w:p>
      <w:pPr>
        <w:spacing w:before="0" w:after="140" w:line="307" w:lineRule="auto"/>
      </w:pPr>
      <w:r>
        <w:rPr>
          <w:rFonts w:ascii="Georgia" w:hAnsi="Georgia"/>
          <w:b w:val="0"/>
          <w:color w:val="526068"/>
          <w:sz w:val="19"/>
        </w:rPr>
        <w:t>The roster travels back on the result so the BOQ screen can show who priced the bill and what was checked. Without it the pipeline is invisible and a reviewer cannot judge its coverage.</w:t>
      </w:r>
    </w:p>
    <w:p>
      <w:pPr>
        <w:spacing w:before="260" w:after="80" w:line="307" w:lineRule="auto"/>
      </w:pPr>
      <w:r>
        <w:rPr>
          <w:rFonts w:ascii="Calibri" w:hAnsi="Calibri"/>
          <w:b/>
          <w:color w:val="172126"/>
          <w:sz w:val="22"/>
        </w:rPr>
        <w:t>7.3  supervisorPrompt</w:t>
      </w:r>
    </w:p>
    <w:p>
      <w:pPr>
        <w:spacing w:before="0" w:after="140" w:line="307" w:lineRule="auto"/>
      </w:pPr>
      <w:r>
        <w:rPr>
          <w:rFonts w:ascii="Georgia" w:hAnsi="Georgia"/>
          <w:b w:val="0"/>
          <w:color w:val="526068"/>
          <w:sz w:val="19"/>
        </w:rPr>
        <w:t>One brief serves the copilot and every persona, taking the persona name and whether tools are available. That keeps the personas differing in knowledge and voice rather than in plumbing.</w:t>
      </w:r>
    </w:p>
    <w:p>
      <w:pPr>
        <w:spacing w:before="260" w:after="80" w:line="307" w:lineRule="auto"/>
      </w:pPr>
      <w:r>
        <w:rPr>
          <w:rFonts w:ascii="Calibri" w:hAnsi="Calibri"/>
          <w:b/>
          <w:color w:val="172126"/>
          <w:sz w:val="22"/>
        </w:rPr>
        <w:t>7.4  Versioning and attribution</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prompt versions registered      24</w:t>
              <w:br/>
              <w:t>ledger rows carrying a prompt   412 of 412   (100%)</w:t>
            </w:r>
          </w:p>
        </w:tc>
      </w:tr>
    </w:tbl>
    <w:p>
      <w:pPr>
        <w:spacing w:after="40"/>
      </w:pPr>
    </w:p>
    <w:p>
      <w:pPr>
        <w:spacing w:before="0" w:after="140" w:line="307" w:lineRule="auto"/>
      </w:pPr>
      <w:r>
        <w:rPr>
          <w:rFonts w:ascii="Georgia" w:hAnsi="Georgia"/>
          <w:b w:val="0"/>
          <w:color w:val="526068"/>
          <w:sz w:val="19"/>
        </w:rPr>
        <w:t>Every recorded attempt names the prompt key and version that produced it, so two questions have answers: which prompt produced this output, and what changed between the run that was right and the run that was wrong. Before this was wired the reference came from a hardcoded string and the ledger columns stayed NULL.</w:t>
      </w:r>
    </w:p>
    <w:p>
      <w:pPr>
        <w:spacing w:before="260" w:after="80" w:line="307" w:lineRule="auto"/>
      </w:pPr>
      <w:r>
        <w:rPr>
          <w:rFonts w:ascii="Calibri" w:hAnsi="Calibri"/>
          <w:b/>
          <w:color w:val="172126"/>
          <w:sz w:val="22"/>
        </w:rPr>
        <w:t>7.5  The caching defect, stated precisely</w:t>
      </w:r>
    </w:p>
    <w:p>
      <w:pPr>
        <w:spacing w:before="0" w:after="140" w:line="307" w:lineRule="auto"/>
      </w:pPr>
      <w:r>
        <w:rPr>
          <w:rFonts w:ascii="Georgia" w:hAnsi="Georgia"/>
          <w:b w:val="0"/>
          <w:color w:val="526068"/>
          <w:sz w:val="19"/>
        </w:rPr>
        <w:t>cacheableSystem marks a system prompt above 4,000 characters with an ephemeral cache breakpoint. Caching matches on a PREFIX, and sectionPrompt opens with the per-specialist persona — label, expertise, measurement guide, vocabulary — which differs on every call. The shared material sits after it.</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system prompt                 8,994 chars</w:t>
              <w:br/>
              <w:t>common prefix between two        12 chars   &lt;- all the cache can reach</w:t>
              <w:br/>
              <w:t>identical, but after it       8,982 chars   &lt;- unreachable</w:t>
            </w:r>
          </w:p>
        </w:tc>
      </w:tr>
    </w:tbl>
    <w:p>
      <w:pPr>
        <w:spacing w:after="40"/>
      </w:pPr>
    </w:p>
    <w:p>
      <w:pPr>
        <w:spacing w:before="0" w:after="140" w:line="307" w:lineRule="auto"/>
      </w:pPr>
      <w:r>
        <w:rPr>
          <w:rFonts w:ascii="Georgia" w:hAnsi="Georgia"/>
          <w:b w:val="0"/>
          <w:color w:val="526068"/>
          <w:sz w:val="19"/>
        </w:rPr>
        <w:t>So every call writes a fresh entry at a 1.25x premium and reads nothing back. Moving the shared blocks ahead of the persona is the same bytes in a different order — the model cannot tell — and should recover half to two thirds of the input bill. There is a second gap behind it: the documents block, which is identical for every specialist in a run, carries no breakpoint at all.</w:t>
      </w:r>
    </w:p>
    <w:p>
      <w:r>
        <w:br w:type="page"/>
      </w:r>
    </w:p>
    <w:p>
      <w:pPr>
        <w:spacing w:before="0" w:after="60" w:line="307" w:lineRule="auto"/>
      </w:pPr>
      <w:r>
        <w:rPr>
          <w:rFonts w:ascii="Consolas" w:hAnsi="Consolas"/>
          <w:b/>
          <w:color w:val="087E75"/>
          <w:sz w:val="15"/>
        </w:rPr>
        <w:t>PART 9</w:t>
      </w:r>
    </w:p>
    <w:p>
      <w:pPr>
        <w:spacing w:before="0" w:after="160" w:line="252" w:lineRule="auto"/>
      </w:pPr>
      <w:r>
        <w:rPr>
          <w:rFonts w:ascii="Georgia" w:hAnsi="Georgia"/>
          <w:b/>
          <w:color w:val="172126"/>
          <w:sz w:val="38"/>
        </w:rPr>
        <w:t>Backups and restore</w:t>
      </w:r>
    </w:p>
    <w:p>
      <w:pPr>
        <w:spacing w:before="0" w:after="200" w:line="307" w:lineRule="auto"/>
      </w:pPr>
      <w:r>
        <w:rPr>
          <w:rFonts w:ascii="Georgia" w:hAnsi="Georgia"/>
          <w:b w:val="0"/>
          <w:color w:val="526068"/>
          <w:sz w:val="21"/>
        </w:rPr>
        <w:t>A nightly dump that verifies its own restore - and had been failing silently for three nights when this document was written.</w:t>
      </w:r>
    </w:p>
    <w:p>
      <w:pPr>
        <w:spacing w:before="260" w:after="80" w:line="307" w:lineRule="auto"/>
      </w:pPr>
      <w:r>
        <w:rPr>
          <w:rFonts w:ascii="Calibri" w:hAnsi="Calibri"/>
          <w:b/>
          <w:color w:val="172126"/>
          <w:sz w:val="22"/>
        </w:rPr>
        <w:t>8.1  What runs</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script     scripts/backup.sh</w:t>
              <w:br/>
              <w:t>cron       15 2 * * *      02:15 daily, on the VPS</w:t>
              <w:br/>
              <w:t>log        /var/log/preckon-backup.log</w:t>
              <w:br/>
              <w:t>output     /opt/preckon-backups/preckon_tenant-&lt;UTC stamp&gt;.sql.gz</w:t>
              <w:br/>
              <w:t>retention  14 backups, oldest pruned</w:t>
            </w:r>
          </w:p>
        </w:tc>
      </w:tr>
    </w:tbl>
    <w:p>
      <w:pPr>
        <w:spacing w:after="40"/>
      </w:pPr>
    </w:p>
    <w:p>
      <w:pPr>
        <w:spacing w:before="260" w:after="80" w:line="307" w:lineRule="auto"/>
      </w:pPr>
      <w:r>
        <w:rPr>
          <w:rFonts w:ascii="Calibri" w:hAnsi="Calibri"/>
          <w:b/>
          <w:color w:val="172126"/>
          <w:sz w:val="22"/>
        </w:rPr>
        <w:t>8.2  The verify step is the point</w:t>
      </w:r>
    </w:p>
    <w:p>
      <w:pPr>
        <w:spacing w:before="0" w:after="140" w:line="307" w:lineRule="auto"/>
      </w:pPr>
      <w:r>
        <w:rPr>
          <w:rFonts w:ascii="Georgia" w:hAnsi="Georgia"/>
          <w:b w:val="0"/>
          <w:color w:val="526068"/>
          <w:sz w:val="19"/>
        </w:rPr>
        <w:t>Every backup is restored into a scratch database and its tables and row counts compared before it is kept. The script says why in its own header: an untested backup is not a backup, it is a file - and the failure mode is not that the backup is missing, it is that the backup exists, everybody relaxed, and it does not restore.</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sh scripts/backup.sh          verified run, 4 September</w:t>
              <w:br/>
              <w:t xml:space="preserve">    audit_event:      3796 rows restored</w:t>
              <w:br/>
              <w:t xml:space="preserve">    artifact:         3156 rows restored</w:t>
              <w:br/>
              <w:t xml:space="preserve">    project:            32 rows restored</w:t>
              <w:br/>
              <w:t xml:space="preserve">    ai_usage_ledger:   126 rows restored</w:t>
              <w:br/>
              <w:t>==&gt; Verified: 86 tables restored and row counts match.</w:t>
              <w:br/>
              <w:t>==&gt; Done. 14 backup(s) retained in /opt/preckon-backups.</w:t>
            </w:r>
          </w:p>
        </w:tc>
      </w:tr>
    </w:tbl>
    <w:p>
      <w:pPr>
        <w:spacing w:after="40"/>
      </w:pPr>
    </w:p>
    <w:p>
      <w:pPr>
        <w:spacing w:before="260" w:after="80" w:line="307" w:lineRule="auto"/>
      </w:pPr>
      <w:r>
        <w:rPr>
          <w:rFonts w:ascii="Calibri" w:hAnsi="Calibri"/>
          <w:b/>
          <w:color w:val="172126"/>
          <w:sz w:val="22"/>
        </w:rPr>
        <w:t>8.3  It had been failing for three nights</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Sep 1  02:15   26,110,673 bytes   last good backup</w:t>
              <w:br/>
              <w:t>Sep 2  02:15           20 bytes</w:t>
              <w:br/>
              <w:t>Sep 3  02:15           20 bytes</w:t>
              <w:br/>
              <w:t>Sep 4  02:15           20 bytes</w:t>
            </w:r>
          </w:p>
        </w:tc>
      </w:tr>
    </w:tbl>
    <w:p>
      <w:pPr>
        <w:spacing w:after="40"/>
      </w:pPr>
    </w:p>
    <w:p>
      <w:pPr>
        <w:spacing w:before="0" w:after="140" w:line="307" w:lineRule="auto"/>
      </w:pPr>
      <w:r>
        <w:rPr>
          <w:rFonts w:ascii="Georgia" w:hAnsi="Georgia"/>
          <w:b w:val="0"/>
          <w:color w:val="526068"/>
          <w:sz w:val="19"/>
        </w:rPr>
        <w:t>backup.sh defaulted to the database password `preckon`. That password was rotated on 1 September as part of the security work, and cron sets no DB_PASS - so every run since failed with Access denied and wrote a 20-byte file.</w:t>
      </w:r>
    </w:p>
    <w:p>
      <w:pPr>
        <w:spacing w:before="0" w:after="140" w:line="307" w:lineRule="auto"/>
      </w:pPr>
      <w:r>
        <w:rPr>
          <w:rFonts w:ascii="Georgia" w:hAnsi="Georgia"/>
          <w:b w:val="0"/>
          <w:color w:val="526068"/>
          <w:sz w:val="19"/>
        </w:rPr>
        <w:t>The guard caught it every single time and wrote “Dump is only 20 bytes. That is not a database.” to the log. Nobody reads the log. Fixed on 4 September: the script now reads DATABASE_PASSWORD from .env - the same source the application and compose use - and refuses to run if it cannot find one rather than falling back to a guess.</w:t>
      </w: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10080"/>
      </w:tblGrid>
      <w:tr>
        <w:tc>
          <w:tcPr>
            <w:tcW w:type="dxa" w:w="10080"/>
            <w:shd w:val="clear" w:fill="FBEAE8"/>
          </w:tcPr>
          <w:p>
            <w:r/>
            <w:r>
              <w:rPr>
                <w:rFonts w:ascii="Calibri" w:hAnsi="Calibri"/>
                <w:b/>
                <w:color w:val="B42318"/>
                <w:sz w:val="14"/>
              </w:rPr>
              <w:t>THE LESSON IS NOT THE PASSWORD</w:t>
            </w:r>
          </w:p>
          <w:p>
            <w:pPr>
              <w:spacing w:before="60" w:line="302" w:lineRule="auto"/>
            </w:pPr>
            <w:r>
              <w:rPr>
                <w:rFonts w:ascii="Georgia" w:hAnsi="Georgia"/>
                <w:color w:val="172126"/>
                <w:sz w:val="17"/>
              </w:rPr>
              <w:t>A backup whose credential can drift from the database's stops working on exactly the day somebody improves security. And a guard that only writes to a file nobody opens is a guard that fails silently. Three 20-byte files should have been noticed on the second night. Nothing alerts on it, and that is still open.</w:t>
            </w:r>
          </w:p>
        </w:tc>
      </w:tr>
    </w:tbl>
    <w:p>
      <w:pPr>
        <w:spacing w:after="60"/>
      </w:pPr>
    </w:p>
    <w:p>
      <w:pPr>
        <w:spacing w:before="260" w:after="80" w:line="307" w:lineRule="auto"/>
      </w:pPr>
      <w:r>
        <w:rPr>
          <w:rFonts w:ascii="Calibri" w:hAnsi="Calibri"/>
          <w:b/>
          <w:color w:val="172126"/>
          <w:sz w:val="22"/>
        </w:rPr>
        <w:t>8.4  What is still missing</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2160"/>
            <w:shd w:val="clear" w:fill="F0F3F4"/>
          </w:tcPr>
          <w:p>
            <w:r/>
            <w:r>
              <w:rPr>
                <w:rFonts w:ascii="Calibri" w:hAnsi="Calibri"/>
                <w:b/>
                <w:color w:val="667279"/>
                <w:sz w:val="13"/>
              </w:rPr>
              <w:t>GAP</w:t>
            </w:r>
          </w:p>
        </w:tc>
        <w:tc>
          <w:tcPr>
            <w:tcW w:type="dxa" w:w="7776"/>
            <w:shd w:val="clear" w:fill="F0F3F4"/>
          </w:tcPr>
          <w:p>
            <w:r/>
            <w:r>
              <w:rPr>
                <w:rFonts w:ascii="Calibri" w:hAnsi="Calibri"/>
                <w:b/>
                <w:color w:val="667279"/>
                <w:sz w:val="13"/>
              </w:rPr>
              <w:t>CONSEQUENCE</w:t>
            </w:r>
          </w:p>
        </w:tc>
      </w:tr>
      <w:tr>
        <w:tc>
          <w:tcPr>
            <w:tcW w:type="dxa" w:w="2160"/>
          </w:tcPr>
          <w:p>
            <w:pPr>
              <w:spacing w:line="278" w:lineRule="auto" w:after="0"/>
            </w:pPr>
            <w:r/>
            <w:r>
              <w:rPr>
                <w:rFonts w:ascii="Calibri" w:hAnsi="Calibri"/>
                <w:b/>
                <w:color w:val="172126"/>
                <w:sz w:val="15"/>
              </w:rPr>
              <w:t>No alerting</w:t>
            </w:r>
          </w:p>
        </w:tc>
        <w:tc>
          <w:tcPr>
            <w:tcW w:type="dxa" w:w="7776"/>
          </w:tcPr>
          <w:p>
            <w:pPr>
              <w:spacing w:line="278" w:lineRule="auto" w:after="0"/>
            </w:pPr>
            <w:r/>
            <w:r>
              <w:rPr>
                <w:rFonts w:ascii="Calibri" w:hAnsi="Calibri"/>
                <w:b w:val="0"/>
                <w:color w:val="526068"/>
                <w:sz w:val="15"/>
              </w:rPr>
              <w:t>A failed backup is found by someone happening to look. It took three nights here</w:t>
            </w:r>
          </w:p>
        </w:tc>
      </w:tr>
      <w:tr>
        <w:tc>
          <w:tcPr>
            <w:tcW w:type="dxa" w:w="2160"/>
          </w:tcPr>
          <w:p>
            <w:pPr>
              <w:spacing w:line="278" w:lineRule="auto" w:after="0"/>
            </w:pPr>
            <w:r/>
            <w:r>
              <w:rPr>
                <w:rFonts w:ascii="Calibri" w:hAnsi="Calibri"/>
                <w:b/>
                <w:color w:val="172126"/>
                <w:sz w:val="15"/>
              </w:rPr>
              <w:t>On-box only</w:t>
            </w:r>
          </w:p>
        </w:tc>
        <w:tc>
          <w:tcPr>
            <w:tcW w:type="dxa" w:w="7776"/>
          </w:tcPr>
          <w:p>
            <w:pPr>
              <w:spacing w:line="278" w:lineRule="auto" w:after="0"/>
            </w:pPr>
            <w:r/>
            <w:r>
              <w:rPr>
                <w:rFonts w:ascii="Calibri" w:hAnsi="Calibri"/>
                <w:b w:val="0"/>
                <w:color w:val="526068"/>
                <w:sz w:val="15"/>
              </w:rPr>
              <w:t>Backups sit on the same VPS as the database. A disk or host loss takes both</w:t>
            </w:r>
          </w:p>
        </w:tc>
      </w:tr>
      <w:tr>
        <w:tc>
          <w:tcPr>
            <w:tcW w:type="dxa" w:w="2160"/>
          </w:tcPr>
          <w:p>
            <w:pPr>
              <w:spacing w:line="278" w:lineRule="auto" w:after="0"/>
            </w:pPr>
            <w:r/>
            <w:r>
              <w:rPr>
                <w:rFonts w:ascii="Calibri" w:hAnsi="Calibri"/>
                <w:b/>
                <w:color w:val="172126"/>
                <w:sz w:val="15"/>
              </w:rPr>
              <w:t>No off-site copy</w:t>
            </w:r>
          </w:p>
        </w:tc>
        <w:tc>
          <w:tcPr>
            <w:tcW w:type="dxa" w:w="7776"/>
          </w:tcPr>
          <w:p>
            <w:pPr>
              <w:spacing w:line="278" w:lineRule="auto" w:after="0"/>
            </w:pPr>
            <w:r/>
            <w:r>
              <w:rPr>
                <w:rFonts w:ascii="Calibri" w:hAnsi="Calibri"/>
                <w:b w:val="0"/>
                <w:color w:val="526068"/>
                <w:sz w:val="15"/>
              </w:rPr>
              <w:t>Nothing is shipped anywhere else</w:t>
            </w:r>
          </w:p>
        </w:tc>
      </w:tr>
      <w:tr>
        <w:tc>
          <w:tcPr>
            <w:tcW w:type="dxa" w:w="2160"/>
          </w:tcPr>
          <w:p>
            <w:pPr>
              <w:spacing w:line="278" w:lineRule="auto" w:after="0"/>
            </w:pPr>
            <w:r/>
            <w:r>
              <w:rPr>
                <w:rFonts w:ascii="Calibri" w:hAnsi="Calibri"/>
                <w:b/>
                <w:color w:val="172126"/>
                <w:sz w:val="15"/>
              </w:rPr>
              <w:t>Host plane not covered</w:t>
            </w:r>
          </w:p>
        </w:tc>
        <w:tc>
          <w:tcPr>
            <w:tcW w:type="dxa" w:w="7776"/>
          </w:tcPr>
          <w:p>
            <w:pPr>
              <w:spacing w:line="278" w:lineRule="auto" w:after="0"/>
            </w:pPr>
            <w:r/>
            <w:r>
              <w:rPr>
                <w:rFonts w:ascii="Calibri" w:hAnsi="Calibri"/>
                <w:b w:val="0"/>
                <w:color w:val="526068"/>
                <w:sz w:val="15"/>
              </w:rPr>
              <w:t>This job backs up preckon_tenant. The host database - staff identity, entitlements, licensing - has no equivalent</w:t>
            </w:r>
          </w:p>
        </w:tc>
      </w:tr>
      <w:tr>
        <w:tc>
          <w:tcPr>
            <w:tcW w:type="dxa" w:w="2160"/>
          </w:tcPr>
          <w:p>
            <w:pPr>
              <w:spacing w:line="278" w:lineRule="auto" w:after="0"/>
            </w:pPr>
            <w:r/>
            <w:r>
              <w:rPr>
                <w:rFonts w:ascii="Calibri" w:hAnsi="Calibri"/>
                <w:b/>
                <w:color w:val="172126"/>
                <w:sz w:val="15"/>
              </w:rPr>
              <w:t>No agreed RTO/RPO</w:t>
            </w:r>
          </w:p>
        </w:tc>
        <w:tc>
          <w:tcPr>
            <w:tcW w:type="dxa" w:w="7776"/>
          </w:tcPr>
          <w:p>
            <w:pPr>
              <w:spacing w:line="278" w:lineRule="auto" w:after="0"/>
            </w:pPr>
            <w:r/>
            <w:r>
              <w:rPr>
                <w:rFonts w:ascii="Calibri" w:hAnsi="Calibri"/>
                <w:b w:val="0"/>
                <w:color w:val="526068"/>
                <w:sz w:val="15"/>
              </w:rPr>
              <w:t>Recovery is restore-the-latest-nightly, so up to 24 hours of loss. Nobody has agreed that is acceptable</w:t>
            </w:r>
          </w:p>
        </w:tc>
      </w:tr>
    </w:tbl>
    <w:p>
      <w:pPr>
        <w:spacing w:after="60"/>
      </w:pPr>
    </w:p>
    <w:p>
      <w:pPr>
        <w:spacing w:before="0" w:after="140" w:line="307" w:lineRule="auto"/>
      </w:pPr>
      <w:r>
        <w:rPr>
          <w:rFonts w:ascii="Georgia" w:hAnsi="Georgia"/>
          <w:b w:val="0"/>
          <w:color w:val="526068"/>
          <w:sz w:val="19"/>
        </w:rPr>
        <w:t>The verify step is unusually good and the operational posture around it is not. An off-site copy and an alert on a short dump are both small pieces of work.</w:t>
      </w:r>
    </w:p>
    <w:p>
      <w:r>
        <w:br w:type="page"/>
      </w:r>
    </w:p>
    <w:p>
      <w:pPr>
        <w:spacing w:before="0" w:after="60" w:line="307" w:lineRule="auto"/>
      </w:pPr>
      <w:r>
        <w:rPr>
          <w:rFonts w:ascii="Consolas" w:hAnsi="Consolas"/>
          <w:b/>
          <w:color w:val="087E75"/>
          <w:sz w:val="15"/>
        </w:rPr>
        <w:t>PART 10</w:t>
      </w:r>
    </w:p>
    <w:p>
      <w:pPr>
        <w:spacing w:before="0" w:after="160" w:line="252" w:lineRule="auto"/>
      </w:pPr>
      <w:r>
        <w:rPr>
          <w:rFonts w:ascii="Georgia" w:hAnsi="Georgia"/>
          <w:b/>
          <w:color w:val="172126"/>
          <w:sz w:val="38"/>
        </w:rPr>
        <w:t>Deployment, branching and rollback</w:t>
      </w:r>
    </w:p>
    <w:p>
      <w:pPr>
        <w:spacing w:before="260" w:after="80" w:line="307" w:lineRule="auto"/>
      </w:pPr>
      <w:r>
        <w:rPr>
          <w:rFonts w:ascii="Calibri" w:hAnsi="Calibri"/>
          <w:b/>
          <w:color w:val="172126"/>
          <w:sz w:val="22"/>
        </w:rPr>
        <w:t>9.1  Branching model</w:t>
      </w:r>
    </w:p>
    <w:p>
      <w:pPr>
        <w:spacing w:before="0" w:after="140" w:line="307" w:lineRule="auto"/>
      </w:pPr>
      <w:r>
        <w:rPr>
          <w:rFonts w:ascii="Georgia" w:hAnsi="Georgia"/>
          <w:b w:val="0"/>
          <w:color w:val="526068"/>
          <w:sz w:val="19"/>
        </w:rPr>
        <w:t>Trunk-based in practice. main is the only long-lived branch on each repository; feature work happens on short agent/* branches merged by pull request, which then linger. The Engineering Bible states the rule explicitly for specifications: main holds reviewed work, new work is prepared on feature branches.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2160"/>
            <w:shd w:val="clear" w:fill="F0F3F4"/>
          </w:tcPr>
          <w:p>
            <w:r/>
            <w:r>
              <w:rPr>
                <w:rFonts w:ascii="Calibri" w:hAnsi="Calibri"/>
                <w:b/>
                <w:color w:val="667279"/>
                <w:sz w:val="13"/>
              </w:rPr>
              <w:t>CONVENTION</w:t>
            </w:r>
          </w:p>
        </w:tc>
        <w:tc>
          <w:tcPr>
            <w:tcW w:type="dxa" w:w="7776"/>
            <w:shd w:val="clear" w:fill="F0F3F4"/>
          </w:tcPr>
          <w:p>
            <w:r/>
            <w:r>
              <w:rPr>
                <w:rFonts w:ascii="Calibri" w:hAnsi="Calibri"/>
                <w:b/>
                <w:color w:val="667279"/>
                <w:sz w:val="13"/>
              </w:rPr>
              <w:t>MEANING</w:t>
            </w:r>
          </w:p>
        </w:tc>
      </w:tr>
      <w:tr>
        <w:tc>
          <w:tcPr>
            <w:tcW w:type="dxa" w:w="2160"/>
          </w:tcPr>
          <w:p>
            <w:pPr>
              <w:spacing w:line="278" w:lineRule="auto" w:after="0"/>
            </w:pPr>
            <w:r/>
            <w:r>
              <w:rPr>
                <w:rFonts w:ascii="Consolas" w:hAnsi="Consolas"/>
                <w:b/>
                <w:color w:val="172126"/>
                <w:sz w:val="15"/>
              </w:rPr>
              <w:t>main</w:t>
            </w:r>
          </w:p>
        </w:tc>
        <w:tc>
          <w:tcPr>
            <w:tcW w:type="dxa" w:w="7776"/>
          </w:tcPr>
          <w:p>
            <w:pPr>
              <w:spacing w:line="278" w:lineRule="auto" w:after="0"/>
            </w:pPr>
            <w:r/>
            <w:r>
              <w:rPr>
                <w:rFonts w:ascii="Calibri" w:hAnsi="Calibri"/>
                <w:b w:val="0"/>
                <w:color w:val="526068"/>
                <w:sz w:val="15"/>
              </w:rPr>
              <w:t>Deployable. What the server pulls</w:t>
            </w:r>
          </w:p>
        </w:tc>
      </w:tr>
      <w:tr>
        <w:tc>
          <w:tcPr>
            <w:tcW w:type="dxa" w:w="2160"/>
          </w:tcPr>
          <w:p>
            <w:pPr>
              <w:spacing w:line="278" w:lineRule="auto" w:after="0"/>
            </w:pPr>
            <w:r/>
            <w:r>
              <w:rPr>
                <w:rFonts w:ascii="Consolas" w:hAnsi="Consolas"/>
                <w:b/>
                <w:color w:val="172126"/>
                <w:sz w:val="15"/>
              </w:rPr>
              <w:t>agent/&lt;id&gt;-&lt;topic&gt;</w:t>
            </w:r>
          </w:p>
        </w:tc>
        <w:tc>
          <w:tcPr>
            <w:tcW w:type="dxa" w:w="7776"/>
          </w:tcPr>
          <w:p>
            <w:pPr>
              <w:spacing w:line="278" w:lineRule="auto" w:after="0"/>
            </w:pPr>
            <w:r/>
            <w:r>
              <w:rPr>
                <w:rFonts w:ascii="Calibri" w:hAnsi="Calibri"/>
                <w:b w:val="0"/>
                <w:color w:val="526068"/>
                <w:sz w:val="15"/>
              </w:rPr>
              <w:t>A worked change, merged by pull request</w:t>
            </w:r>
          </w:p>
        </w:tc>
      </w:tr>
      <w:tr>
        <w:tc>
          <w:tcPr>
            <w:tcW w:type="dxa" w:w="2160"/>
          </w:tcPr>
          <w:p>
            <w:pPr>
              <w:spacing w:line="278" w:lineRule="auto" w:after="0"/>
            </w:pPr>
            <w:r/>
            <w:r>
              <w:rPr>
                <w:rFonts w:ascii="Consolas" w:hAnsi="Consolas"/>
                <w:b/>
                <w:color w:val="172126"/>
                <w:sz w:val="15"/>
              </w:rPr>
              <w:t>spec/&lt;topic&gt;</w:t>
            </w:r>
          </w:p>
        </w:tc>
        <w:tc>
          <w:tcPr>
            <w:tcW w:type="dxa" w:w="7776"/>
          </w:tcPr>
          <w:p>
            <w:pPr>
              <w:spacing w:line="278" w:lineRule="auto" w:after="0"/>
            </w:pPr>
            <w:r/>
            <w:r>
              <w:rPr>
                <w:rFonts w:ascii="Calibri" w:hAnsi="Calibri"/>
                <w:b w:val="0"/>
                <w:color w:val="526068"/>
                <w:sz w:val="15"/>
              </w:rPr>
              <w:t>Engineering Bible specification branches</w:t>
            </w:r>
          </w:p>
        </w:tc>
      </w:tr>
      <w:tr>
        <w:tc>
          <w:tcPr>
            <w:tcW w:type="dxa" w:w="2160"/>
          </w:tcPr>
          <w:p>
            <w:pPr>
              <w:spacing w:line="278" w:lineRule="auto" w:after="0"/>
            </w:pPr>
            <w:r/>
            <w:r>
              <w:rPr>
                <w:rFonts w:ascii="Consolas" w:hAnsi="Consolas"/>
                <w:b/>
                <w:color w:val="172126"/>
                <w:sz w:val="15"/>
              </w:rPr>
              <w:t>pre-sync-&lt;date&gt;</w:t>
            </w:r>
          </w:p>
        </w:tc>
        <w:tc>
          <w:tcPr>
            <w:tcW w:type="dxa" w:w="7776"/>
          </w:tcPr>
          <w:p>
            <w:pPr>
              <w:spacing w:line="278" w:lineRule="auto" w:after="0"/>
            </w:pPr>
            <w:r/>
            <w:r>
              <w:rPr>
                <w:rFonts w:ascii="Calibri" w:hAnsi="Calibri"/>
                <w:b w:val="0"/>
                <w:color w:val="526068"/>
                <w:sz w:val="15"/>
              </w:rPr>
              <w:t>A snapshot taken before a structural change</w:t>
            </w:r>
          </w:p>
        </w:tc>
      </w:tr>
    </w:tbl>
    <w:p>
      <w:pPr>
        <w:spacing w:after="60"/>
      </w:pPr>
    </w:p>
    <w:p>
      <w:pPr>
        <w:spacing w:before="260" w:after="80" w:line="307" w:lineRule="auto"/>
      </w:pPr>
      <w:r>
        <w:rPr>
          <w:rFonts w:ascii="Calibri" w:hAnsi="Calibri"/>
          <w:b/>
          <w:color w:val="172126"/>
          <w:sz w:val="22"/>
        </w:rPr>
        <w:t>9.2  Deployment - two paths, and which to use</w:t>
      </w:r>
    </w:p>
    <w:p>
      <w:pPr>
        <w:spacing w:before="200" w:after="60" w:line="307" w:lineRule="auto"/>
      </w:pPr>
      <w:r>
        <w:rPr>
          <w:rFonts w:ascii="Calibri" w:hAnsi="Calibri"/>
          <w:b/>
          <w:color w:val="087E75"/>
          <w:sz w:val="19"/>
        </w:rPr>
        <w:t>update-from-git.sh - the current process</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bash update-from-git.sh            both planes</w:t>
              <w:br/>
              <w:t>bash update-from-git.sh tenant     one plane</w:t>
            </w:r>
          </w:p>
        </w:tc>
      </w:tr>
    </w:tbl>
    <w:p>
      <w:pPr>
        <w:spacing w:after="40"/>
      </w:pPr>
    </w:p>
    <w:p>
      <w:pPr>
        <w:spacing w:before="0" w:after="140" w:line="307" w:lineRule="auto"/>
      </w:pPr>
      <w:r>
        <w:rPr>
          <w:rFonts w:ascii="Georgia" w:hAnsi="Georgia"/>
          <w:b w:val="0"/>
          <w:color w:val="526068"/>
          <w:sz w:val="19"/>
        </w:rPr>
        <w:t>Runs ON the server and PULLS from GitHub rather than receiving a copy, because the server reaching out behaves the same whichever shell you started from - no local-versus-remote path confusion. It deliberately does not touch .env or docker-compose.override.yml: those are not in the repository and hold the box's real secrets, auth origin and API key. An rsync --exclude keeps them even though the source has no such file.</w:t>
      </w:r>
    </w:p>
    <w:p>
      <w:pPr>
        <w:spacing w:before="0" w:after="140" w:line="307" w:lineRule="auto"/>
      </w:pPr>
      <w:r>
        <w:rPr>
          <w:rFonts w:ascii="Georgia" w:hAnsi="Georgia"/>
          <w:b w:val="0"/>
          <w:color w:val="526068"/>
          <w:sz w:val="19"/>
        </w:rPr>
        <w:t>This is the process to use. It follows from the repository, so what runs in production is what was reviewed in the organisation repository.</w:t>
      </w:r>
    </w:p>
    <w:p>
      <w:pPr>
        <w:spacing w:before="200" w:after="60" w:line="307" w:lineRule="auto"/>
      </w:pPr>
      <w:r>
        <w:rPr>
          <w:rFonts w:ascii="Calibri" w:hAnsi="Calibri"/>
          <w:b/>
          <w:color w:val="087E75"/>
          <w:sz w:val="19"/>
        </w:rPr>
        <w:t>deploy.ps1 - the push path</w:t>
      </w:r>
    </w:p>
    <w:p>
      <w:pPr>
        <w:spacing w:before="0" w:after="140" w:line="307" w:lineRule="auto"/>
      </w:pPr>
      <w:r>
        <w:rPr>
          <w:rFonts w:ascii="Georgia" w:hAnsi="Georgia"/>
          <w:b w:val="0"/>
          <w:color w:val="526068"/>
          <w:sz w:val="19"/>
        </w:rPr>
        <w:t>Packages the working tree on Windows, ships it by resumable sftp with a SHA-256 check, and rebuilds app, worker and cad. It exists because the link resets on bulk transfers, and it verifies by digest rather than exit code - sftp can exit 0 on a reset, and a resume onto a previous deploy's leftover yields a corrupt hybrid of exactly the expected length.</w:t>
      </w: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PREFER THE PULL PATH</w:t>
            </w:r>
          </w:p>
          <w:p>
            <w:pPr>
              <w:spacing w:before="60" w:line="302" w:lineRule="auto"/>
            </w:pPr>
            <w:r>
              <w:rPr>
                <w:rFonts w:ascii="Georgia" w:hAnsi="Georgia"/>
                <w:color w:val="172126"/>
                <w:sz w:val="17"/>
              </w:rPr>
              <w:t>deploy.ps1 ships the WORKING TREE, which can differ from what is committed and reviewed. update-from-git.sh cannot. Use the push path only when the repository is unreachable from the server, or when deliberately testing something unpushed.</w:t>
            </w:r>
          </w:p>
        </w:tc>
      </w:tr>
    </w:tbl>
    <w:p>
      <w:pPr>
        <w:spacing w:after="60"/>
      </w:pPr>
    </w:p>
    <w:p>
      <w:pPr>
        <w:spacing w:before="260" w:after="80" w:line="307" w:lineRule="auto"/>
      </w:pPr>
      <w:r>
        <w:rPr>
          <w:rFonts w:ascii="Calibri" w:hAnsi="Calibri"/>
          <w:b/>
          <w:color w:val="172126"/>
          <w:sz w:val="22"/>
        </w:rPr>
        <w:t>9.3  Rollback</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1728"/>
            <w:shd w:val="clear" w:fill="F0F3F4"/>
          </w:tcPr>
          <w:p>
            <w:r/>
            <w:r>
              <w:rPr>
                <w:rFonts w:ascii="Calibri" w:hAnsi="Calibri"/>
                <w:b/>
                <w:color w:val="667279"/>
                <w:sz w:val="13"/>
              </w:rPr>
              <w:t>LAYER</w:t>
            </w:r>
          </w:p>
        </w:tc>
        <w:tc>
          <w:tcPr>
            <w:tcW w:type="dxa" w:w="6336"/>
            <w:shd w:val="clear" w:fill="F0F3F4"/>
          </w:tcPr>
          <w:p>
            <w:r/>
            <w:r>
              <w:rPr>
                <w:rFonts w:ascii="Calibri" w:hAnsi="Calibri"/>
                <w:b/>
                <w:color w:val="667279"/>
                <w:sz w:val="13"/>
              </w:rPr>
              <w:t>HOW</w:t>
            </w:r>
          </w:p>
        </w:tc>
        <w:tc>
          <w:tcPr>
            <w:tcW w:type="dxa" w:w="1296"/>
            <w:shd w:val="clear" w:fill="F0F3F4"/>
          </w:tcPr>
          <w:p>
            <w:r/>
            <w:r>
              <w:rPr>
                <w:rFonts w:ascii="Calibri" w:hAnsi="Calibri"/>
                <w:b/>
                <w:color w:val="667279"/>
                <w:sz w:val="13"/>
              </w:rPr>
              <w:t>TIME</w:t>
            </w:r>
          </w:p>
        </w:tc>
      </w:tr>
      <w:tr>
        <w:tc>
          <w:tcPr>
            <w:tcW w:type="dxa" w:w="1728"/>
          </w:tcPr>
          <w:p>
            <w:pPr>
              <w:spacing w:line="278" w:lineRule="auto" w:after="0"/>
            </w:pPr>
            <w:r/>
            <w:r>
              <w:rPr>
                <w:rFonts w:ascii="Calibri" w:hAnsi="Calibri"/>
                <w:b/>
                <w:color w:val="172126"/>
                <w:sz w:val="15"/>
              </w:rPr>
              <w:t>Application code</w:t>
            </w:r>
          </w:p>
        </w:tc>
        <w:tc>
          <w:tcPr>
            <w:tcW w:type="dxa" w:w="6336"/>
          </w:tcPr>
          <w:p>
            <w:pPr>
              <w:spacing w:line="278" w:lineRule="auto" w:after="0"/>
            </w:pPr>
            <w:r/>
            <w:r>
              <w:rPr>
                <w:rFonts w:ascii="Calibri" w:hAnsi="Calibri"/>
                <w:b w:val="0"/>
                <w:color w:val="526068"/>
                <w:sz w:val="15"/>
              </w:rPr>
              <w:t>git checkout &lt;sha&gt; on the server, then docker compose up -d --build</w:t>
            </w:r>
          </w:p>
        </w:tc>
        <w:tc>
          <w:tcPr>
            <w:tcW w:type="dxa" w:w="1296"/>
          </w:tcPr>
          <w:p>
            <w:pPr>
              <w:spacing w:line="278" w:lineRule="auto" w:after="0"/>
            </w:pPr>
            <w:r/>
            <w:r>
              <w:rPr>
                <w:rFonts w:ascii="Calibri" w:hAnsi="Calibri"/>
                <w:b w:val="0"/>
                <w:color w:val="526068"/>
                <w:sz w:val="15"/>
              </w:rPr>
              <w:t>minutes</w:t>
            </w:r>
          </w:p>
        </w:tc>
      </w:tr>
      <w:tr>
        <w:tc>
          <w:tcPr>
            <w:tcW w:type="dxa" w:w="1728"/>
          </w:tcPr>
          <w:p>
            <w:pPr>
              <w:spacing w:line="278" w:lineRule="auto" w:after="0"/>
            </w:pPr>
            <w:r/>
            <w:r>
              <w:rPr>
                <w:rFonts w:ascii="Calibri" w:hAnsi="Calibri"/>
                <w:b/>
                <w:color w:val="172126"/>
                <w:sz w:val="15"/>
              </w:rPr>
              <w:t>Container only</w:t>
            </w:r>
          </w:p>
        </w:tc>
        <w:tc>
          <w:tcPr>
            <w:tcW w:type="dxa" w:w="6336"/>
          </w:tcPr>
          <w:p>
            <w:pPr>
              <w:spacing w:line="278" w:lineRule="auto" w:after="0"/>
            </w:pPr>
            <w:r/>
            <w:r>
              <w:rPr>
                <w:rFonts w:ascii="Calibri" w:hAnsi="Calibri"/>
                <w:b w:val="0"/>
                <w:color w:val="526068"/>
                <w:sz w:val="15"/>
              </w:rPr>
              <w:t>docker compose up -d --force-recreate &lt;service&gt; on the previous image, if still local</w:t>
            </w:r>
          </w:p>
        </w:tc>
        <w:tc>
          <w:tcPr>
            <w:tcW w:type="dxa" w:w="1296"/>
          </w:tcPr>
          <w:p>
            <w:pPr>
              <w:spacing w:line="278" w:lineRule="auto" w:after="0"/>
            </w:pPr>
            <w:r/>
            <w:r>
              <w:rPr>
                <w:rFonts w:ascii="Calibri" w:hAnsi="Calibri"/>
                <w:b w:val="0"/>
                <w:color w:val="526068"/>
                <w:sz w:val="15"/>
              </w:rPr>
              <w:t>seconds</w:t>
            </w:r>
          </w:p>
        </w:tc>
      </w:tr>
      <w:tr>
        <w:tc>
          <w:tcPr>
            <w:tcW w:type="dxa" w:w="1728"/>
          </w:tcPr>
          <w:p>
            <w:pPr>
              <w:spacing w:line="278" w:lineRule="auto" w:after="0"/>
            </w:pPr>
            <w:r/>
            <w:r>
              <w:rPr>
                <w:rFonts w:ascii="Calibri" w:hAnsi="Calibri"/>
                <w:b/>
                <w:color w:val="172126"/>
                <w:sz w:val="15"/>
              </w:rPr>
              <w:t>Migrations</w:t>
            </w:r>
          </w:p>
        </w:tc>
        <w:tc>
          <w:tcPr>
            <w:tcW w:type="dxa" w:w="6336"/>
          </w:tcPr>
          <w:p>
            <w:pPr>
              <w:spacing w:line="278" w:lineRule="auto" w:after="0"/>
            </w:pPr>
            <w:r/>
            <w:r>
              <w:rPr>
                <w:rFonts w:ascii="Calibri" w:hAnsi="Calibri"/>
                <w:b w:val="0"/>
                <w:color w:val="526068"/>
                <w:sz w:val="15"/>
              </w:rPr>
              <w:t>No down-migrations. Forward-fix only</w:t>
            </w:r>
          </w:p>
        </w:tc>
        <w:tc>
          <w:tcPr>
            <w:tcW w:type="dxa" w:w="1296"/>
          </w:tcPr>
          <w:p>
            <w:pPr>
              <w:spacing w:line="278" w:lineRule="auto" w:after="0"/>
            </w:pPr>
            <w:r/>
            <w:r>
              <w:rPr>
                <w:rFonts w:ascii="Calibri" w:hAnsi="Calibri"/>
                <w:b w:val="0"/>
                <w:color w:val="526068"/>
                <w:sz w:val="15"/>
              </w:rPr>
              <w:t>n/a</w:t>
            </w:r>
          </w:p>
        </w:tc>
      </w:tr>
      <w:tr>
        <w:tc>
          <w:tcPr>
            <w:tcW w:type="dxa" w:w="1728"/>
          </w:tcPr>
          <w:p>
            <w:pPr>
              <w:spacing w:line="278" w:lineRule="auto" w:after="0"/>
            </w:pPr>
            <w:r/>
            <w:r>
              <w:rPr>
                <w:rFonts w:ascii="Calibri" w:hAnsi="Calibri"/>
                <w:b/>
                <w:color w:val="172126"/>
                <w:sz w:val="15"/>
              </w:rPr>
              <w:t>Data</w:t>
            </w:r>
          </w:p>
        </w:tc>
        <w:tc>
          <w:tcPr>
            <w:tcW w:type="dxa" w:w="6336"/>
          </w:tcPr>
          <w:p>
            <w:pPr>
              <w:spacing w:line="278" w:lineRule="auto" w:after="0"/>
            </w:pPr>
            <w:r/>
            <w:r>
              <w:rPr>
                <w:rFonts w:ascii="Calibri" w:hAnsi="Calibri"/>
                <w:b w:val="0"/>
                <w:color w:val="526068"/>
                <w:sz w:val="15"/>
              </w:rPr>
              <w:t>Restore the latest nightly into a scratch database, move what is needed</w:t>
            </w:r>
          </w:p>
        </w:tc>
        <w:tc>
          <w:tcPr>
            <w:tcW w:type="dxa" w:w="1296"/>
          </w:tcPr>
          <w:p>
            <w:pPr>
              <w:spacing w:line="278" w:lineRule="auto" w:after="0"/>
            </w:pPr>
            <w:r/>
            <w:r>
              <w:rPr>
                <w:rFonts w:ascii="Calibri" w:hAnsi="Calibri"/>
                <w:b w:val="0"/>
                <w:color w:val="526068"/>
                <w:sz w:val="15"/>
              </w:rPr>
              <w:t>hours</w:t>
            </w:r>
          </w:p>
        </w:tc>
      </w:tr>
      <w:tr>
        <w:tc>
          <w:tcPr>
            <w:tcW w:type="dxa" w:w="1728"/>
          </w:tcPr>
          <w:p>
            <w:pPr>
              <w:spacing w:line="278" w:lineRule="auto" w:after="0"/>
            </w:pPr>
            <w:r/>
            <w:r>
              <w:rPr>
                <w:rFonts w:ascii="Calibri" w:hAnsi="Calibri"/>
                <w:b/>
                <w:color w:val="172126"/>
                <w:sz w:val="15"/>
              </w:rPr>
              <w:t>Configuration</w:t>
            </w:r>
          </w:p>
        </w:tc>
        <w:tc>
          <w:tcPr>
            <w:tcW w:type="dxa" w:w="6336"/>
          </w:tcPr>
          <w:p>
            <w:pPr>
              <w:spacing w:line="278" w:lineRule="auto" w:after="0"/>
            </w:pPr>
            <w:r/>
            <w:r>
              <w:rPr>
                <w:rFonts w:ascii="Calibri" w:hAnsi="Calibri"/>
                <w:b w:val="0"/>
                <w:color w:val="526068"/>
                <w:sz w:val="15"/>
              </w:rPr>
              <w:t>.env and the override are hand-edited; copy before change</w:t>
            </w:r>
          </w:p>
        </w:tc>
        <w:tc>
          <w:tcPr>
            <w:tcW w:type="dxa" w:w="1296"/>
          </w:tcPr>
          <w:p>
            <w:pPr>
              <w:spacing w:line="278" w:lineRule="auto" w:after="0"/>
            </w:pPr>
            <w:r/>
            <w:r>
              <w:rPr>
                <w:rFonts w:ascii="Calibri" w:hAnsi="Calibri"/>
                <w:b w:val="0"/>
                <w:color w:val="526068"/>
                <w:sz w:val="15"/>
              </w:rPr>
              <w:t>minutes</w:t>
            </w:r>
          </w:p>
        </w:tc>
      </w:tr>
    </w:tbl>
    <w:p>
      <w:pPr>
        <w:spacing w:after="60"/>
      </w:pP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THE HONEST GAP IN ROLLBACK</w:t>
            </w:r>
          </w:p>
          <w:p>
            <w:pPr>
              <w:spacing w:before="60" w:line="302" w:lineRule="auto"/>
            </w:pPr>
            <w:r>
              <w:rPr>
                <w:rFonts w:ascii="Georgia" w:hAnsi="Georgia"/>
                <w:color w:val="172126"/>
                <w:sz w:val="17"/>
              </w:rPr>
              <w:t>There are no release tags. Rolling back means finding the right sha by reading the log - fine at this size, and not at the next one. Migrations have no down path by design; forward-fix is defensible, but it means a bad migration is recovered from a backup rather than reversed, and the backup is nightly.</w:t>
            </w:r>
          </w:p>
        </w:tc>
      </w:tr>
    </w:tbl>
    <w:p>
      <w:pPr>
        <w:spacing w:after="60"/>
      </w:pPr>
    </w:p>
    <w:p>
      <w:pPr>
        <w:spacing w:before="260" w:after="80" w:line="307" w:lineRule="auto"/>
      </w:pPr>
      <w:r>
        <w:rPr>
          <w:rFonts w:ascii="Calibri" w:hAnsi="Calibri"/>
          <w:b/>
          <w:color w:val="172126"/>
          <w:sz w:val="22"/>
        </w:rPr>
        <w:t>9.4  What CI does before any of it</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1872"/>
            <w:shd w:val="clear" w:fill="F0F3F4"/>
          </w:tcPr>
          <w:p>
            <w:r/>
            <w:r>
              <w:rPr>
                <w:rFonts w:ascii="Calibri" w:hAnsi="Calibri"/>
                <w:b/>
                <w:color w:val="667279"/>
                <w:sz w:val="13"/>
              </w:rPr>
              <w:t>JOB</w:t>
            </w:r>
          </w:p>
        </w:tc>
        <w:tc>
          <w:tcPr>
            <w:tcW w:type="dxa" w:w="2880"/>
            <w:shd w:val="clear" w:fill="F0F3F4"/>
          </w:tcPr>
          <w:p>
            <w:r/>
            <w:r>
              <w:rPr>
                <w:rFonts w:ascii="Calibri" w:hAnsi="Calibri"/>
                <w:b/>
                <w:color w:val="667279"/>
                <w:sz w:val="13"/>
              </w:rPr>
              <w:t>RUNS</w:t>
            </w:r>
          </w:p>
        </w:tc>
        <w:tc>
          <w:tcPr>
            <w:tcW w:type="dxa" w:w="5184"/>
            <w:shd w:val="clear" w:fill="F0F3F4"/>
          </w:tcPr>
          <w:p>
            <w:r/>
            <w:r>
              <w:rPr>
                <w:rFonts w:ascii="Calibri" w:hAnsi="Calibri"/>
                <w:b/>
                <w:color w:val="667279"/>
                <w:sz w:val="13"/>
              </w:rPr>
              <w:t>STATE</w:t>
            </w:r>
          </w:p>
        </w:tc>
      </w:tr>
      <w:tr>
        <w:tc>
          <w:tcPr>
            <w:tcW w:type="dxa" w:w="1872"/>
          </w:tcPr>
          <w:p>
            <w:pPr>
              <w:spacing w:line="278" w:lineRule="auto" w:after="0"/>
            </w:pPr>
            <w:r/>
            <w:r>
              <w:rPr>
                <w:rFonts w:ascii="Calibri" w:hAnsi="Calibri"/>
                <w:b/>
                <w:color w:val="172126"/>
                <w:sz w:val="15"/>
              </w:rPr>
              <w:t>Types and lint</w:t>
            </w:r>
          </w:p>
        </w:tc>
        <w:tc>
          <w:tcPr>
            <w:tcW w:type="dxa" w:w="2880"/>
          </w:tcPr>
          <w:p>
            <w:pPr>
              <w:spacing w:line="278" w:lineRule="auto" w:after="0"/>
            </w:pPr>
            <w:r/>
            <w:r>
              <w:rPr>
                <w:rFonts w:ascii="Calibri" w:hAnsi="Calibri"/>
                <w:b w:val="0"/>
                <w:color w:val="526068"/>
                <w:sz w:val="15"/>
              </w:rPr>
              <w:t>npm run typecheck, npm run lint</w:t>
            </w:r>
          </w:p>
        </w:tc>
        <w:tc>
          <w:tcPr>
            <w:tcW w:type="dxa" w:w="5184"/>
          </w:tcPr>
          <w:p>
            <w:pPr>
              <w:spacing w:line="278" w:lineRule="auto" w:after="0"/>
            </w:pPr>
            <w:r/>
            <w:r>
              <w:rPr>
                <w:rFonts w:ascii="Calibri" w:hAnsi="Calibri"/>
                <w:b w:val="0"/>
                <w:color w:val="526068"/>
                <w:sz w:val="15"/>
              </w:rPr>
              <w:t>lint FAILS - no ESLint config, next lint prompts and exits 1</w:t>
            </w:r>
          </w:p>
        </w:tc>
      </w:tr>
      <w:tr>
        <w:tc>
          <w:tcPr>
            <w:tcW w:type="dxa" w:w="1872"/>
          </w:tcPr>
          <w:p>
            <w:pPr>
              <w:spacing w:line="278" w:lineRule="auto" w:after="0"/>
            </w:pPr>
            <w:r/>
            <w:r>
              <w:rPr>
                <w:rFonts w:ascii="Calibri" w:hAnsi="Calibri"/>
                <w:b/>
                <w:color w:val="172126"/>
                <w:sz w:val="15"/>
              </w:rPr>
              <w:t>Unit and integration</w:t>
            </w:r>
          </w:p>
        </w:tc>
        <w:tc>
          <w:tcPr>
            <w:tcW w:type="dxa" w:w="2880"/>
          </w:tcPr>
          <w:p>
            <w:pPr>
              <w:spacing w:line="278" w:lineRule="auto" w:after="0"/>
            </w:pPr>
            <w:r/>
            <w:r>
              <w:rPr>
                <w:rFonts w:ascii="Calibri" w:hAnsi="Calibri"/>
                <w:b w:val="0"/>
                <w:color w:val="526068"/>
                <w:sz w:val="15"/>
              </w:rPr>
              <w:t>schema + migrations + npm test</w:t>
            </w:r>
          </w:p>
        </w:tc>
        <w:tc>
          <w:tcPr>
            <w:tcW w:type="dxa" w:w="5184"/>
          </w:tcPr>
          <w:p>
            <w:pPr>
              <w:spacing w:line="278" w:lineRule="auto" w:after="0"/>
            </w:pPr>
            <w:r/>
            <w:r>
              <w:rPr>
                <w:rFonts w:ascii="Calibri" w:hAnsi="Calibri"/>
                <w:b w:val="0"/>
                <w:color w:val="526068"/>
                <w:sz w:val="15"/>
              </w:rPr>
              <w:t>1,569 tests</w:t>
            </w:r>
          </w:p>
        </w:tc>
      </w:tr>
      <w:tr>
        <w:tc>
          <w:tcPr>
            <w:tcW w:type="dxa" w:w="1872"/>
          </w:tcPr>
          <w:p>
            <w:pPr>
              <w:spacing w:line="278" w:lineRule="auto" w:after="0"/>
            </w:pPr>
            <w:r/>
            <w:r>
              <w:rPr>
                <w:rFonts w:ascii="Calibri" w:hAnsi="Calibri"/>
                <w:b/>
                <w:color w:val="172126"/>
                <w:sz w:val="15"/>
              </w:rPr>
              <w:t>AI evaluation</w:t>
            </w:r>
          </w:p>
        </w:tc>
        <w:tc>
          <w:tcPr>
            <w:tcW w:type="dxa" w:w="2880"/>
          </w:tcPr>
          <w:p>
            <w:pPr>
              <w:spacing w:line="278" w:lineRule="auto" w:after="0"/>
            </w:pPr>
            <w:r/>
            <w:r>
              <w:rPr>
                <w:rFonts w:ascii="Calibri" w:hAnsi="Calibri"/>
                <w:b w:val="0"/>
                <w:color w:val="526068"/>
                <w:sz w:val="15"/>
              </w:rPr>
              <w:t>npm run eval</w:t>
            </w:r>
          </w:p>
        </w:tc>
        <w:tc>
          <w:tcPr>
            <w:tcW w:type="dxa" w:w="5184"/>
          </w:tcPr>
          <w:p>
            <w:pPr>
              <w:spacing w:line="278" w:lineRule="auto" w:after="0"/>
            </w:pPr>
            <w:r/>
            <w:r>
              <w:rPr>
                <w:rFonts w:ascii="Calibri" w:hAnsi="Calibri"/>
                <w:b w:val="0"/>
                <w:color w:val="526068"/>
                <w:sz w:val="15"/>
              </w:rPr>
              <w:t>55 tests, no database, no API key</w:t>
            </w:r>
          </w:p>
        </w:tc>
      </w:tr>
      <w:tr>
        <w:tc>
          <w:tcPr>
            <w:tcW w:type="dxa" w:w="1872"/>
          </w:tcPr>
          <w:p>
            <w:pPr>
              <w:spacing w:line="278" w:lineRule="auto" w:after="0"/>
            </w:pPr>
            <w:r/>
            <w:r>
              <w:rPr>
                <w:rFonts w:ascii="Calibri" w:hAnsi="Calibri"/>
                <w:b/>
                <w:color w:val="172126"/>
                <w:sz w:val="15"/>
              </w:rPr>
              <w:t>Production build</w:t>
            </w:r>
          </w:p>
        </w:tc>
        <w:tc>
          <w:tcPr>
            <w:tcW w:type="dxa" w:w="2880"/>
          </w:tcPr>
          <w:p>
            <w:pPr>
              <w:spacing w:line="278" w:lineRule="auto" w:after="0"/>
            </w:pPr>
            <w:r/>
            <w:r>
              <w:rPr>
                <w:rFonts w:ascii="Calibri" w:hAnsi="Calibri"/>
                <w:b w:val="0"/>
                <w:color w:val="526068"/>
                <w:sz w:val="15"/>
              </w:rPr>
              <w:t>npm run build</w:t>
            </w:r>
          </w:p>
        </w:tc>
        <w:tc>
          <w:tcPr>
            <w:tcW w:type="dxa" w:w="5184"/>
          </w:tcPr>
          <w:p>
            <w:pPr>
              <w:spacing w:line="278" w:lineRule="auto" w:after="0"/>
            </w:pPr>
            <w:r/>
            <w:r>
              <w:rPr>
                <w:rFonts w:ascii="Calibri" w:hAnsi="Calibri"/>
                <w:b w:val="0"/>
                <w:color w:val="526068"/>
                <w:sz w:val="15"/>
              </w:rPr>
              <w:t>clean</w:t>
            </w:r>
          </w:p>
        </w:tc>
      </w:tr>
      <w:tr>
        <w:tc>
          <w:tcPr>
            <w:tcW w:type="dxa" w:w="1872"/>
          </w:tcPr>
          <w:p>
            <w:pPr>
              <w:spacing w:line="278" w:lineRule="auto" w:after="0"/>
            </w:pPr>
            <w:r/>
            <w:r>
              <w:rPr>
                <w:rFonts w:ascii="Calibri" w:hAnsi="Calibri"/>
                <w:b/>
                <w:color w:val="172126"/>
                <w:sz w:val="15"/>
              </w:rPr>
              <w:t>Secret scan</w:t>
            </w:r>
          </w:p>
        </w:tc>
        <w:tc>
          <w:tcPr>
            <w:tcW w:type="dxa" w:w="2880"/>
          </w:tcPr>
          <w:p>
            <w:pPr>
              <w:spacing w:line="278" w:lineRule="auto" w:after="0"/>
            </w:pPr>
            <w:r/>
            <w:r>
              <w:rPr>
                <w:rFonts w:ascii="Calibri" w:hAnsi="Calibri"/>
                <w:b w:val="0"/>
                <w:color w:val="526068"/>
                <w:sz w:val="15"/>
              </w:rPr>
              <w:t>gitleaks</w:t>
            </w:r>
          </w:p>
        </w:tc>
        <w:tc>
          <w:tcPr>
            <w:tcW w:type="dxa" w:w="5184"/>
          </w:tcPr>
          <w:p>
            <w:pPr>
              <w:spacing w:line="278" w:lineRule="auto" w:after="0"/>
            </w:pPr>
            <w:r/>
            <w:r>
              <w:rPr>
                <w:rFonts w:ascii="Calibri" w:hAnsi="Calibri"/>
                <w:b w:val="0"/>
                <w:color w:val="526068"/>
                <w:sz w:val="15"/>
              </w:rPr>
              <w:t>passing</w:t>
            </w:r>
          </w:p>
        </w:tc>
      </w:tr>
    </w:tbl>
    <w:p>
      <w:pPr>
        <w:spacing w:after="60"/>
      </w:pPr>
    </w:p>
    <w:p>
      <w:pPr>
        <w:spacing w:before="320" w:after="140" w:line="360" w:lineRule="auto"/>
      </w:pPr>
      <w:r>
        <w:rPr>
          <w:rFonts w:ascii="Consolas" w:hAnsi="Consolas"/>
          <w:b w:val="0"/>
          <w:color w:val="667279"/>
          <w:sz w:val="16"/>
        </w:rPr>
        <w:t>Read 4 September 2026 from the live tenant database, the production host, the four git remotes and the worker source. Table and column counts come from information_schema; branch divergence from git rev-list.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7" w:lineRule="auto"/>
    </w:pPr>
    <w:rPr>
      <w:rFonts w:ascii="Georgia" w:hAnsi="Georgia" w:eastAsia="Georgia"/>
      <w:color w:val="52606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