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160" w:line="312" w:lineRule="auto"/>
      </w:pPr>
      <w:r>
        <w:rPr>
          <w:rFonts w:ascii="Consolas" w:hAnsi="Consolas"/>
          <w:b/>
          <w:i w:val="0"/>
          <w:color w:val="087E75"/>
          <w:sz w:val="16"/>
        </w:rPr>
        <w:t>PRECKON  ·  ENGINEERING REFERENCE  ·  2 SEPTEMBER 2026</w:t>
      </w:r>
    </w:p>
    <w:p>
      <w:pPr>
        <w:spacing w:before="0" w:after="200" w:line="245" w:lineRule="auto"/>
      </w:pPr>
      <w:r>
        <w:rPr>
          <w:rFonts w:ascii="Georgia" w:hAnsi="Georgia"/>
          <w:b/>
          <w:i w:val="0"/>
          <w:color w:val="172126"/>
          <w:sz w:val="54"/>
        </w:rPr>
        <w:t>System Architecture and Workflow Reference</w:t>
      </w:r>
    </w:p>
    <w:p>
      <w:pPr>
        <w:spacing w:before="0" w:after="280" w:line="312" w:lineRule="auto"/>
      </w:pPr>
      <w:r>
        <w:rPr>
          <w:rFonts w:ascii="Georgia" w:hAnsi="Georgia"/>
          <w:b w:val="0"/>
          <w:i w:val="0"/>
          <w:color w:val="526068"/>
          <w:sz w:val="23"/>
        </w:rPr>
        <w:t>Every plane, every workflow, every agent, every state machine and the whole API surface of the Preckon construction intelligence platform. Compiled from the running system — schema, workflow definitions, agent registry and route tree — not from intent.</w:t>
      </w:r>
    </w:p>
    <w:tbl>
      <w:tblPr>
        <w:tblW w:type="auto" w:w="0"/>
        <w:tblLook w:firstColumn="1" w:firstRow="1" w:lastColumn="0" w:lastRow="0" w:noHBand="0" w:noVBand="1" w:val="04A0"/>
        <w:tblBorders>
          <w:top w:val="single" w:sz="2" w:space="0" w:color="D8DEE2"/>
          <w:left w:val="single" w:sz="2" w:space="0" w:color="D8DEE2"/>
          <w:bottom w:val="single" w:sz="2" w:space="0" w:color="D8DEE2"/>
          <w:right w:val="single" w:sz="2" w:space="0" w:color="D8DEE2"/>
          <w:insideH w:val="single" w:sz="2" w:space="0" w:color="D8DEE2"/>
          <w:insideV w:val="single" w:sz="2" w:space="0" w:color="D8DEE2"/>
        </w:tblBorders>
      </w:tblPr>
      <w:tblGrid>
        <w:gridCol w:w="2448"/>
        <w:gridCol w:w="2448"/>
        <w:gridCol w:w="2448"/>
        <w:gridCol w:w="2448"/>
      </w:tblGrid>
      <w:tr>
        <w:tc>
          <w:tcPr>
            <w:tcW w:type="dxa" w:w="2448"/>
            <w:shd w:val="clear" w:fill="F0F3F4"/>
          </w:tcPr>
          <w:p>
            <w:pPr>
              <w:jc w:val="center"/>
            </w:pPr>
            <w:r/>
            <w:r>
              <w:rPr>
                <w:rFonts w:ascii="Calibri" w:hAnsi="Calibri"/>
                <w:b/>
                <w:color w:val="667279"/>
                <w:sz w:val="13"/>
              </w:rPr>
              <w:t>PLANES</w:t>
              <w:br/>
            </w:r>
            <w:r>
              <w:rPr>
                <w:rFonts w:ascii="Consolas" w:hAnsi="Consolas"/>
                <w:color w:val="172126"/>
                <w:sz w:val="26"/>
              </w:rPr>
              <w:t>5</w:t>
            </w:r>
          </w:p>
        </w:tc>
        <w:tc>
          <w:tcPr>
            <w:tcW w:type="dxa" w:w="2448"/>
            <w:shd w:val="clear" w:fill="F0F3F4"/>
          </w:tcPr>
          <w:p>
            <w:pPr>
              <w:jc w:val="center"/>
            </w:pPr>
            <w:r/>
            <w:r>
              <w:rPr>
                <w:rFonts w:ascii="Calibri" w:hAnsi="Calibri"/>
                <w:b/>
                <w:color w:val="667279"/>
                <w:sz w:val="13"/>
              </w:rPr>
              <w:t>TABLES</w:t>
              <w:br/>
            </w:r>
            <w:r>
              <w:rPr>
                <w:rFonts w:ascii="Consolas" w:hAnsi="Consolas"/>
                <w:color w:val="172126"/>
                <w:sz w:val="26"/>
              </w:rPr>
              <w:t>83</w:t>
            </w:r>
          </w:p>
        </w:tc>
        <w:tc>
          <w:tcPr>
            <w:tcW w:type="dxa" w:w="2448"/>
            <w:shd w:val="clear" w:fill="F0F3F4"/>
          </w:tcPr>
          <w:p>
            <w:pPr>
              <w:jc w:val="center"/>
            </w:pPr>
            <w:r/>
            <w:r>
              <w:rPr>
                <w:rFonts w:ascii="Calibri" w:hAnsi="Calibri"/>
                <w:b/>
                <w:color w:val="667279"/>
                <w:sz w:val="13"/>
              </w:rPr>
              <w:t>API ROUTES</w:t>
              <w:br/>
            </w:r>
            <w:r>
              <w:rPr>
                <w:rFonts w:ascii="Consolas" w:hAnsi="Consolas"/>
                <w:color w:val="172126"/>
                <w:sz w:val="26"/>
              </w:rPr>
              <w:t>91</w:t>
            </w:r>
          </w:p>
        </w:tc>
        <w:tc>
          <w:tcPr>
            <w:tcW w:type="dxa" w:w="2448"/>
            <w:shd w:val="clear" w:fill="F0F3F4"/>
          </w:tcPr>
          <w:p>
            <w:pPr>
              <w:jc w:val="center"/>
            </w:pPr>
            <w:r/>
            <w:r>
              <w:rPr>
                <w:rFonts w:ascii="Calibri" w:hAnsi="Calibri"/>
                <w:b/>
                <w:color w:val="667279"/>
                <w:sz w:val="13"/>
              </w:rPr>
              <w:t>MODULES</w:t>
              <w:br/>
            </w:r>
            <w:r>
              <w:rPr>
                <w:rFonts w:ascii="Consolas" w:hAnsi="Consolas"/>
                <w:color w:val="172126"/>
                <w:sz w:val="26"/>
              </w:rPr>
              <w:t>188</w:t>
            </w:r>
          </w:p>
        </w:tc>
      </w:tr>
      <w:tr>
        <w:tc>
          <w:tcPr>
            <w:tcW w:type="dxa" w:w="2448"/>
            <w:shd w:val="clear" w:fill="F0F3F4"/>
          </w:tcPr>
          <w:p>
            <w:pPr>
              <w:jc w:val="center"/>
            </w:pPr>
            <w:r/>
            <w:r>
              <w:rPr>
                <w:rFonts w:ascii="Calibri" w:hAnsi="Calibri"/>
                <w:b/>
                <w:color w:val="667279"/>
                <w:sz w:val="13"/>
              </w:rPr>
              <w:t>WORKFLOWS</w:t>
              <w:br/>
            </w:r>
            <w:r>
              <w:rPr>
                <w:rFonts w:ascii="Consolas" w:hAnsi="Consolas"/>
                <w:color w:val="172126"/>
                <w:sz w:val="26"/>
              </w:rPr>
              <w:t>12</w:t>
            </w:r>
          </w:p>
        </w:tc>
        <w:tc>
          <w:tcPr>
            <w:tcW w:type="dxa" w:w="2448"/>
            <w:shd w:val="clear" w:fill="F0F3F4"/>
          </w:tcPr>
          <w:p>
            <w:pPr>
              <w:jc w:val="center"/>
            </w:pPr>
            <w:r/>
            <w:r>
              <w:rPr>
                <w:rFonts w:ascii="Calibri" w:hAnsi="Calibri"/>
                <w:b/>
                <w:color w:val="667279"/>
                <w:sz w:val="13"/>
              </w:rPr>
              <w:t>AGENTS</w:t>
              <w:br/>
            </w:r>
            <w:r>
              <w:rPr>
                <w:rFonts w:ascii="Consolas" w:hAnsi="Consolas"/>
                <w:color w:val="172126"/>
                <w:sz w:val="26"/>
              </w:rPr>
              <w:t>23 task types</w:t>
            </w:r>
          </w:p>
        </w:tc>
        <w:tc>
          <w:tcPr>
            <w:tcW w:type="dxa" w:w="2448"/>
            <w:shd w:val="clear" w:fill="F0F3F4"/>
          </w:tcPr>
          <w:p>
            <w:pPr>
              <w:jc w:val="center"/>
            </w:pPr>
            <w:r/>
            <w:r>
              <w:rPr>
                <w:rFonts w:ascii="Calibri" w:hAnsi="Calibri"/>
                <w:b/>
                <w:color w:val="667279"/>
                <w:sz w:val="13"/>
              </w:rPr>
              <w:t>TEST FILES</w:t>
              <w:br/>
            </w:r>
            <w:r>
              <w:rPr>
                <w:rFonts w:ascii="Consolas" w:hAnsi="Consolas"/>
                <w:color w:val="172126"/>
                <w:sz w:val="26"/>
              </w:rPr>
              <w:t>77</w:t>
            </w:r>
          </w:p>
        </w:tc>
        <w:tc>
          <w:tcPr>
            <w:tcW w:type="dxa" w:w="2448"/>
            <w:shd w:val="clear" w:fill="F0F3F4"/>
          </w:tcPr>
          <w:p>
            <w:pPr>
              <w:jc w:val="center"/>
            </w:pPr>
            <w:r/>
            <w:r>
              <w:rPr>
                <w:rFonts w:ascii="Calibri" w:hAnsi="Calibri"/>
                <w:b/>
                <w:color w:val="667279"/>
                <w:sz w:val="13"/>
              </w:rPr>
              <w:t>MIGRATIONS</w:t>
              <w:br/>
            </w:r>
            <w:r>
              <w:rPr>
                <w:rFonts w:ascii="Consolas" w:hAnsi="Consolas"/>
                <w:color w:val="172126"/>
                <w:sz w:val="26"/>
              </w:rPr>
              <w:t>28</w:t>
            </w:r>
          </w:p>
        </w:tc>
      </w:tr>
    </w:tbl>
    <w:p>
      <w:pPr>
        <w:spacing w:after="200"/>
      </w:pPr>
    </w:p>
    <w:p>
      <w:pPr>
        <w:spacing w:after="40"/>
        <w:ind w:left="0"/>
      </w:pPr>
      <w:r>
        <w:rPr>
          <w:rFonts w:ascii="Calibri" w:hAnsi="Calibri"/>
          <w:b/>
          <w:color w:val="172126"/>
          <w:sz w:val="19"/>
        </w:rPr>
        <w:t>12.  Known gaps</w:t>
      </w:r>
    </w:p>
    <w:p>
      <w:pPr>
        <w:spacing w:after="40"/>
        <w:ind w:left="403"/>
      </w:pPr>
      <w:r>
        <w:rPr>
          <w:rFonts w:ascii="Calibri" w:hAnsi="Calibri"/>
          <w:b w:val="0"/>
          <w:color w:val="667279"/>
          <w:sz w:val="17"/>
        </w:rPr>
        <w:t>11.4  Test surface</w:t>
      </w:r>
    </w:p>
    <w:p>
      <w:pPr>
        <w:spacing w:after="40"/>
        <w:ind w:left="403"/>
      </w:pPr>
      <w:r>
        <w:rPr>
          <w:rFonts w:ascii="Calibri" w:hAnsi="Calibri"/>
          <w:b w:val="0"/>
          <w:color w:val="667279"/>
          <w:sz w:val="17"/>
        </w:rPr>
        <w:t>11.3  Migrations</w:t>
      </w:r>
    </w:p>
    <w:p>
      <w:pPr>
        <w:spacing w:after="40"/>
        <w:ind w:left="403"/>
      </w:pPr>
      <w:r>
        <w:rPr>
          <w:rFonts w:ascii="Calibri" w:hAnsi="Calibri"/>
          <w:b w:val="0"/>
          <w:color w:val="667279"/>
          <w:sz w:val="17"/>
        </w:rPr>
        <w:t>11.2  Deploy</w:t>
      </w:r>
    </w:p>
    <w:p>
      <w:pPr>
        <w:spacing w:after="40"/>
        <w:ind w:left="403"/>
      </w:pPr>
      <w:r>
        <w:rPr>
          <w:rFonts w:ascii="Calibri" w:hAnsi="Calibri"/>
          <w:b w:val="0"/>
          <w:color w:val="667279"/>
          <w:sz w:val="17"/>
        </w:rPr>
        <w:t>11.1  Transport and exposure</w:t>
      </w:r>
    </w:p>
    <w:p>
      <w:pPr>
        <w:spacing w:after="40"/>
        <w:ind w:left="0"/>
      </w:pPr>
      <w:r>
        <w:rPr>
          <w:rFonts w:ascii="Calibri" w:hAnsi="Calibri"/>
          <w:b/>
          <w:color w:val="172126"/>
          <w:sz w:val="19"/>
        </w:rPr>
        <w:t>11.  Operations</w:t>
      </w:r>
    </w:p>
    <w:p>
      <w:pPr>
        <w:spacing w:after="40"/>
        <w:ind w:left="403"/>
      </w:pPr>
      <w:r>
        <w:rPr>
          <w:rFonts w:ascii="Calibri" w:hAnsi="Calibri"/>
          <w:b w:val="0"/>
          <w:color w:val="667279"/>
          <w:sz w:val="17"/>
        </w:rPr>
        <w:t>10.5  Authentication controls</w:t>
      </w:r>
    </w:p>
    <w:p>
      <w:pPr>
        <w:spacing w:after="40"/>
        <w:ind w:left="403"/>
      </w:pPr>
      <w:r>
        <w:rPr>
          <w:rFonts w:ascii="Calibri" w:hAnsi="Calibri"/>
          <w:b w:val="0"/>
          <w:color w:val="667279"/>
          <w:sz w:val="17"/>
        </w:rPr>
        <w:t>10.4  Tenant isolation</w:t>
      </w:r>
    </w:p>
    <w:p>
      <w:pPr>
        <w:spacing w:after="40"/>
        <w:ind w:left="403"/>
      </w:pPr>
      <w:r>
        <w:rPr>
          <w:rFonts w:ascii="Calibri" w:hAnsi="Calibri"/>
          <w:b w:val="0"/>
          <w:color w:val="667279"/>
          <w:sz w:val="17"/>
        </w:rPr>
        <w:t>10.3  Six system roles, four tiers</w:t>
      </w:r>
    </w:p>
    <w:p>
      <w:pPr>
        <w:spacing w:after="40"/>
        <w:ind w:left="403"/>
      </w:pPr>
      <w:r>
        <w:rPr>
          <w:rFonts w:ascii="Calibri" w:hAnsi="Calibri"/>
          <w:b w:val="0"/>
          <w:color w:val="667279"/>
          <w:sz w:val="17"/>
        </w:rPr>
        <w:t>10.2  Nineteen permissions across eight domains</w:t>
      </w:r>
    </w:p>
    <w:p>
      <w:pPr>
        <w:spacing w:after="40"/>
        <w:ind w:left="403"/>
      </w:pPr>
      <w:r>
        <w:rPr>
          <w:rFonts w:ascii="Calibri" w:hAnsi="Calibri"/>
          <w:b w:val="0"/>
          <w:color w:val="667279"/>
          <w:sz w:val="17"/>
        </w:rPr>
        <w:t>10.1  Two identity pools</w:t>
      </w:r>
    </w:p>
    <w:p>
      <w:pPr>
        <w:spacing w:after="40"/>
        <w:ind w:left="0"/>
      </w:pPr>
      <w:r>
        <w:rPr>
          <w:rFonts w:ascii="Calibri" w:hAnsi="Calibri"/>
          <w:b/>
          <w:color w:val="172126"/>
          <w:sz w:val="19"/>
        </w:rPr>
        <w:t>10.  Identity, permissions and tenancy</w:t>
      </w:r>
    </w:p>
    <w:p>
      <w:pPr>
        <w:spacing w:after="40"/>
        <w:ind w:left="403"/>
      </w:pPr>
      <w:r>
        <w:rPr>
          <w:rFonts w:ascii="Calibri" w:hAnsi="Calibri"/>
          <w:b w:val="0"/>
          <w:color w:val="667279"/>
          <w:sz w:val="17"/>
        </w:rPr>
        <w:t>9.3  Parametric Construction Model</w:t>
      </w:r>
    </w:p>
    <w:p>
      <w:pPr>
        <w:spacing w:after="40"/>
        <w:ind w:left="403"/>
      </w:pPr>
      <w:r>
        <w:rPr>
          <w:rFonts w:ascii="Calibri" w:hAnsi="Calibri"/>
          <w:b w:val="0"/>
          <w:color w:val="667279"/>
          <w:sz w:val="17"/>
        </w:rPr>
        <w:t>9.2  Authoring: propose, then apply</w:t>
      </w:r>
    </w:p>
    <w:p>
      <w:pPr>
        <w:spacing w:after="40"/>
        <w:ind w:left="403"/>
      </w:pPr>
      <w:r>
        <w:rPr>
          <w:rFonts w:ascii="Calibri" w:hAnsi="Calibri"/>
          <w:b w:val="0"/>
          <w:color w:val="667279"/>
          <w:sz w:val="17"/>
        </w:rPr>
        <w:t>9.1  The read-only tool set</w:t>
      </w:r>
    </w:p>
    <w:p>
      <w:pPr>
        <w:spacing w:after="40"/>
        <w:ind w:left="0"/>
      </w:pPr>
      <w:r>
        <w:rPr>
          <w:rFonts w:ascii="Calibri" w:hAnsi="Calibri"/>
          <w:b/>
          <w:color w:val="172126"/>
          <w:sz w:val="19"/>
        </w:rPr>
        <w:t>9.  Drawings, BIM and the PCM</w:t>
      </w:r>
    </w:p>
    <w:p>
      <w:pPr>
        <w:spacing w:after="40"/>
        <w:ind w:left="403"/>
      </w:pPr>
      <w:r>
        <w:rPr>
          <w:rFonts w:ascii="Calibri" w:hAnsi="Calibri"/>
          <w:b w:val="0"/>
          <w:color w:val="667279"/>
          <w:sz w:val="17"/>
        </w:rPr>
        <w:t>8.2  Ingestion</w:t>
      </w:r>
    </w:p>
    <w:p>
      <w:pPr>
        <w:spacing w:after="40"/>
        <w:ind w:left="403"/>
      </w:pPr>
      <w:r>
        <w:rPr>
          <w:rFonts w:ascii="Calibri" w:hAnsi="Calibri"/>
          <w:b w:val="0"/>
          <w:color w:val="667279"/>
          <w:sz w:val="17"/>
        </w:rPr>
        <w:t>8.1  Revision discipline</w:t>
      </w:r>
    </w:p>
    <w:p>
      <w:pPr>
        <w:spacing w:after="40"/>
        <w:ind w:left="0"/>
      </w:pPr>
      <w:r>
        <w:rPr>
          <w:rFonts w:ascii="Calibri" w:hAnsi="Calibri"/>
          <w:b/>
          <w:color w:val="172126"/>
          <w:sz w:val="19"/>
        </w:rPr>
        <w:t>8.  Document control</w:t>
      </w:r>
    </w:p>
    <w:p>
      <w:pPr>
        <w:spacing w:after="40"/>
        <w:ind w:left="403"/>
      </w:pPr>
      <w:r>
        <w:rPr>
          <w:rFonts w:ascii="Calibri" w:hAnsi="Calibri"/>
          <w:b w:val="0"/>
          <w:color w:val="667279"/>
          <w:sz w:val="17"/>
        </w:rPr>
        <w:t>7.4  Retrieval</w:t>
      </w:r>
    </w:p>
    <w:p>
      <w:pPr>
        <w:spacing w:after="40"/>
        <w:ind w:left="403"/>
      </w:pPr>
      <w:r>
        <w:rPr>
          <w:rFonts w:ascii="Calibri" w:hAnsi="Calibri"/>
          <w:b w:val="0"/>
          <w:color w:val="667279"/>
          <w:sz w:val="17"/>
        </w:rPr>
        <w:t>7.3  Stub policy</w:t>
      </w:r>
    </w:p>
    <w:p>
      <w:pPr>
        <w:spacing w:after="40"/>
        <w:ind w:left="403"/>
      </w:pPr>
      <w:r>
        <w:rPr>
          <w:rFonts w:ascii="Calibri" w:hAnsi="Calibri"/>
          <w:b w:val="0"/>
          <w:color w:val="667279"/>
          <w:sz w:val="17"/>
        </w:rPr>
        <w:t>7.2  One row per attempt</w:t>
      </w:r>
    </w:p>
    <w:p>
      <w:pPr>
        <w:spacing w:after="40"/>
        <w:ind w:left="403"/>
      </w:pPr>
      <w:r>
        <w:rPr>
          <w:rFonts w:ascii="Calibri" w:hAnsi="Calibri"/>
          <w:b w:val="0"/>
          <w:color w:val="667279"/>
          <w:sz w:val="17"/>
        </w:rPr>
        <w:t>7.1  Execution classes</w:t>
      </w:r>
    </w:p>
    <w:p>
      <w:pPr>
        <w:spacing w:after="40"/>
        <w:ind w:left="0"/>
      </w:pPr>
      <w:r>
        <w:rPr>
          <w:rFonts w:ascii="Calibri" w:hAnsi="Calibri"/>
          <w:b/>
          <w:color w:val="172126"/>
          <w:sz w:val="19"/>
        </w:rPr>
        <w:t>7.  The AI fabric</w:t>
      </w:r>
    </w:p>
    <w:p>
      <w:pPr>
        <w:spacing w:after="40"/>
        <w:ind w:left="403"/>
      </w:pPr>
      <w:r>
        <w:rPr>
          <w:rFonts w:ascii="Calibri" w:hAnsi="Calibri"/>
          <w:b w:val="0"/>
          <w:color w:val="667279"/>
          <w:sz w:val="17"/>
        </w:rPr>
        <w:t>6.2  Audit chain</w:t>
      </w:r>
    </w:p>
    <w:p>
      <w:pPr>
        <w:spacing w:after="40"/>
        <w:ind w:left="403"/>
      </w:pPr>
      <w:r>
        <w:rPr>
          <w:rFonts w:ascii="Calibri" w:hAnsi="Calibri"/>
          <w:b w:val="0"/>
          <w:color w:val="667279"/>
          <w:sz w:val="17"/>
        </w:rPr>
        <w:t>6.1  Provenance and the stale cascade</w:t>
      </w:r>
    </w:p>
    <w:p>
      <w:pPr>
        <w:spacing w:after="40"/>
        <w:ind w:left="0"/>
      </w:pPr>
      <w:r>
        <w:rPr>
          <w:rFonts w:ascii="Calibri" w:hAnsi="Calibri"/>
          <w:b/>
          <w:color w:val="172126"/>
          <w:sz w:val="19"/>
        </w:rPr>
        <w:t>6.  The artifact lifecycle</w:t>
      </w:r>
    </w:p>
    <w:p>
      <w:pPr>
        <w:spacing w:after="40"/>
        <w:ind w:left="403"/>
      </w:pPr>
      <w:r>
        <w:rPr>
          <w:rFonts w:ascii="Calibri" w:hAnsi="Calibri"/>
          <w:b w:val="0"/>
          <w:color w:val="667279"/>
          <w:sz w:val="17"/>
        </w:rPr>
        <w:t>5.4  Tiers and model resolution</w:t>
      </w:r>
    </w:p>
    <w:p>
      <w:pPr>
        <w:spacing w:after="40"/>
        <w:ind w:left="403"/>
      </w:pPr>
      <w:r>
        <w:rPr>
          <w:rFonts w:ascii="Calibri" w:hAnsi="Calibri"/>
          <w:b w:val="0"/>
          <w:color w:val="667279"/>
          <w:sz w:val="17"/>
        </w:rPr>
        <w:t>5.3  The BOQ roster</w:t>
      </w:r>
    </w:p>
    <w:p>
      <w:pPr>
        <w:spacing w:after="40"/>
        <w:ind w:left="403"/>
      </w:pPr>
      <w:r>
        <w:rPr>
          <w:rFonts w:ascii="Calibri" w:hAnsi="Calibri"/>
          <w:b w:val="0"/>
          <w:color w:val="667279"/>
          <w:sz w:val="17"/>
        </w:rPr>
        <w:t>5.2  Service and supervisor agents</w:t>
      </w:r>
    </w:p>
    <w:p>
      <w:pPr>
        <w:spacing w:after="40"/>
        <w:ind w:left="403"/>
      </w:pPr>
      <w:r>
        <w:rPr>
          <w:rFonts w:ascii="Calibri" w:hAnsi="Calibri"/>
          <w:b w:val="0"/>
          <w:color w:val="667279"/>
          <w:sz w:val="17"/>
        </w:rPr>
        <w:t>5.1  Worker agents — they produce artifacts</w:t>
      </w:r>
    </w:p>
    <w:p>
      <w:pPr>
        <w:spacing w:after="40"/>
        <w:ind w:left="0"/>
      </w:pPr>
      <w:r>
        <w:rPr>
          <w:rFonts w:ascii="Calibri" w:hAnsi="Calibri"/>
          <w:b/>
          <w:color w:val="172126"/>
          <w:sz w:val="19"/>
        </w:rPr>
        <w:t>5.  The agent registry</w:t>
      </w:r>
    </w:p>
    <w:p>
      <w:pPr>
        <w:spacing w:after="40"/>
        <w:ind w:left="403"/>
      </w:pPr>
      <w:r>
        <w:rPr>
          <w:rFonts w:ascii="Calibri" w:hAnsi="Calibri"/>
          <w:b w:val="0"/>
          <w:color w:val="667279"/>
          <w:sz w:val="17"/>
        </w:rPr>
        <w:t>4.4  Job dispatch and recovery</w:t>
      </w:r>
    </w:p>
    <w:p>
      <w:pPr>
        <w:spacing w:after="40"/>
        <w:ind w:left="403"/>
      </w:pPr>
      <w:r>
        <w:rPr>
          <w:rFonts w:ascii="Calibri" w:hAnsi="Calibri"/>
          <w:b w:val="0"/>
          <w:color w:val="667279"/>
          <w:sz w:val="17"/>
        </w:rPr>
        <w:t>4.3  Run and step state machines</w:t>
      </w:r>
    </w:p>
    <w:p>
      <w:pPr>
        <w:spacing w:after="40"/>
        <w:ind w:left="403"/>
      </w:pPr>
      <w:r>
        <w:rPr>
          <w:rFonts w:ascii="Calibri" w:hAnsi="Calibri"/>
          <w:b w:val="0"/>
          <w:color w:val="667279"/>
          <w:sz w:val="17"/>
        </w:rPr>
        <w:t>4.2  Node graphs</w:t>
      </w:r>
    </w:p>
    <w:p>
      <w:pPr>
        <w:spacing w:after="40"/>
        <w:ind w:left="403"/>
      </w:pPr>
      <w:r>
        <w:rPr>
          <w:rFonts w:ascii="Calibri" w:hAnsi="Calibri"/>
          <w:b w:val="0"/>
          <w:color w:val="667279"/>
          <w:sz w:val="17"/>
        </w:rPr>
        <w:t>4.1  The registry</w:t>
      </w:r>
    </w:p>
    <w:p>
      <w:pPr>
        <w:spacing w:after="40"/>
        <w:ind w:left="0"/>
      </w:pPr>
      <w:r>
        <w:rPr>
          <w:rFonts w:ascii="Calibri" w:hAnsi="Calibri"/>
          <w:b/>
          <w:color w:val="172126"/>
          <w:sz w:val="19"/>
        </w:rPr>
        <w:t>4.  Workflows</w:t>
      </w:r>
    </w:p>
    <w:p>
      <w:pPr>
        <w:spacing w:after="40"/>
        <w:ind w:left="403"/>
      </w:pPr>
      <w:r>
        <w:rPr>
          <w:rFonts w:ascii="Calibri" w:hAnsi="Calibri"/>
          <w:b w:val="0"/>
          <w:color w:val="667279"/>
          <w:sz w:val="17"/>
        </w:rPr>
        <w:t>3.1  The seventeen artifact types</w:t>
      </w:r>
    </w:p>
    <w:p>
      <w:pPr>
        <w:spacing w:after="40"/>
        <w:ind w:left="0"/>
      </w:pPr>
      <w:r>
        <w:rPr>
          <w:rFonts w:ascii="Calibri" w:hAnsi="Calibri"/>
          <w:b/>
          <w:color w:val="172126"/>
          <w:sz w:val="19"/>
        </w:rPr>
        <w:t>3.  The preconstruction chain</w:t>
      </w:r>
    </w:p>
    <w:p>
      <w:pPr>
        <w:spacing w:after="40"/>
        <w:ind w:left="403"/>
      </w:pPr>
      <w:r>
        <w:rPr>
          <w:rFonts w:ascii="Calibri" w:hAnsi="Calibri"/>
          <w:b w:val="0"/>
          <w:color w:val="667279"/>
          <w:sz w:val="17"/>
        </w:rPr>
        <w:t>2.2  CAD service endpoints</w:t>
      </w:r>
    </w:p>
    <w:p>
      <w:pPr>
        <w:spacing w:after="40"/>
        <w:ind w:left="403"/>
      </w:pPr>
      <w:r>
        <w:rPr>
          <w:rFonts w:ascii="Calibri" w:hAnsi="Calibri"/>
          <w:b w:val="0"/>
          <w:color w:val="667279"/>
          <w:sz w:val="17"/>
        </w:rPr>
        <w:t>2.1  Why the worker has nothing</w:t>
      </w:r>
    </w:p>
    <w:p>
      <w:pPr>
        <w:spacing w:after="40"/>
        <w:ind w:left="0"/>
      </w:pPr>
      <w:r>
        <w:rPr>
          <w:rFonts w:ascii="Calibri" w:hAnsi="Calibri"/>
          <w:b/>
          <w:color w:val="172126"/>
          <w:sz w:val="19"/>
        </w:rPr>
        <w:t>2.  Deployment planes</w:t>
      </w:r>
    </w:p>
    <w:p>
      <w:pPr>
        <w:spacing w:after="40"/>
        <w:ind w:left="403"/>
      </w:pPr>
      <w:r>
        <w:rPr>
          <w:rFonts w:ascii="Calibri" w:hAnsi="Calibri"/>
          <w:b w:val="0"/>
          <w:color w:val="667279"/>
          <w:sz w:val="17"/>
        </w:rPr>
        <w:t>1.3  Vocabulary</w:t>
      </w:r>
    </w:p>
    <w:p>
      <w:pPr>
        <w:spacing w:after="40"/>
        <w:ind w:left="403"/>
      </w:pPr>
      <w:r>
        <w:rPr>
          <w:rFonts w:ascii="Calibri" w:hAnsi="Calibri"/>
          <w:b w:val="0"/>
          <w:color w:val="667279"/>
          <w:sz w:val="17"/>
        </w:rPr>
        <w:t>1.2  A model never writes production state.</w:t>
      </w:r>
    </w:p>
    <w:p>
      <w:pPr>
        <w:spacing w:after="40"/>
        <w:ind w:left="403"/>
      </w:pPr>
      <w:r>
        <w:rPr>
          <w:rFonts w:ascii="Calibri" w:hAnsi="Calibri"/>
          <w:b w:val="0"/>
          <w:color w:val="667279"/>
          <w:sz w:val="17"/>
        </w:rPr>
        <w:t>1.1  A model proposes. Arithmetic decides.</w:t>
      </w:r>
    </w:p>
    <w:p>
      <w:pPr>
        <w:spacing w:after="40"/>
        <w:ind w:left="0"/>
      </w:pPr>
      <w:r>
        <w:rPr>
          <w:rFonts w:ascii="Calibri" w:hAnsi="Calibri"/>
          <w:b/>
          <w:color w:val="172126"/>
          <w:sz w:val="19"/>
        </w:rPr>
        <w:t>1.  Foundations</w:t>
      </w:r>
    </w:p>
    <w:p>
      <w:pPr>
        <w:spacing w:before="240" w:after="120" w:line="312" w:lineRule="auto"/>
      </w:pPr>
      <w:r>
        <w:rPr>
          <w:rFonts w:ascii="Calibri" w:hAnsi="Calibri"/>
          <w:b/>
          <w:i w:val="0"/>
          <w:color w:val="172126"/>
          <w:sz w:val="26"/>
        </w:rPr>
        <w:t>Contents</w:t>
      </w:r>
    </w:p>
    <w:p>
      <w:r>
        <w:br w:type="page"/>
      </w:r>
    </w:p>
    <w:p>
      <w:pPr>
        <w:spacing w:before="0" w:after="60" w:line="312" w:lineRule="auto"/>
      </w:pPr>
      <w:r>
        <w:rPr>
          <w:rFonts w:ascii="Consolas" w:hAnsi="Consolas"/>
          <w:b/>
          <w:i w:val="0"/>
          <w:color w:val="087E75"/>
          <w:sz w:val="15"/>
        </w:rPr>
        <w:t>CHAPTER 1</w:t>
      </w:r>
    </w:p>
    <w:p>
      <w:pPr>
        <w:spacing w:before="0" w:after="160" w:line="252" w:lineRule="auto"/>
      </w:pPr>
      <w:r>
        <w:rPr>
          <w:rFonts w:ascii="Georgia" w:hAnsi="Georgia"/>
          <w:b/>
          <w:i w:val="0"/>
          <w:color w:val="172126"/>
          <w:sz w:val="40"/>
        </w:rPr>
        <w:t>Foundations</w:t>
      </w:r>
    </w:p>
    <w:p>
      <w:pPr>
        <w:spacing w:before="0" w:after="160" w:line="312" w:lineRule="auto"/>
      </w:pPr>
      <w:r>
        <w:rPr>
          <w:rFonts w:ascii="Georgia" w:hAnsi="Georgia"/>
          <w:b w:val="0"/>
          <w:i w:val="0"/>
          <w:color w:val="526068"/>
          <w:sz w:val="20"/>
        </w:rPr>
        <w:t>Two rules decide the shape of everything that follows. They are not slogans: each one is enforced in code, and the places where enforcement is incomplete are named in Chapter 12.</w:t>
      </w:r>
    </w:p>
    <w:p>
      <w:pPr>
        <w:spacing w:before="280" w:after="100" w:line="312" w:lineRule="auto"/>
      </w:pPr>
      <w:r>
        <w:rPr>
          <w:rFonts w:ascii="Calibri" w:hAnsi="Calibri"/>
          <w:b/>
          <w:i w:val="0"/>
          <w:color w:val="172126"/>
          <w:sz w:val="24"/>
        </w:rPr>
        <w:t>1.1  A model proposes. Arithmetic decides.</w:t>
      </w:r>
    </w:p>
    <w:p>
      <w:pPr>
        <w:spacing w:before="0" w:after="160" w:line="312" w:lineRule="auto"/>
      </w:pPr>
      <w:r>
        <w:rPr>
          <w:rFonts w:ascii="Georgia" w:hAnsi="Georgia"/>
          <w:b w:val="0"/>
          <w:i w:val="0"/>
          <w:color w:val="526068"/>
          <w:sz w:val="20"/>
        </w:rPr>
        <w:t>Anything a quantity surveyor could be asked to defend in a meeting — a critical path, a priced total, a measured area — is computed by deterministic code from stated inputs. The model reads documents and drafts structure. It never nominates the answer to a question that has a calculable one.</w:t>
      </w:r>
    </w:p>
    <w:p>
      <w:pPr>
        <w:spacing w:before="0" w:after="160" w:line="312" w:lineRule="auto"/>
      </w:pPr>
      <w:r>
        <w:rPr>
          <w:rFonts w:ascii="Georgia" w:hAnsi="Georgia"/>
          <w:b w:val="0"/>
          <w:i w:val="0"/>
          <w:color w:val="526068"/>
          <w:sz w:val="20"/>
        </w:rPr>
        <w:t>Concretely: CPM computes the critical path from four link types with lead and lag; quantities come from DXF geometry through ten read-only tools; every estimate total is extension and roll-up. Asking a model to nominate a critical path produces a label nobody can check, and computing it from the stated logic produces one a planner can argue with.</w:t>
      </w:r>
    </w:p>
    <w:p>
      <w:pPr>
        <w:spacing w:before="280" w:after="100" w:line="312" w:lineRule="auto"/>
      </w:pPr>
      <w:r>
        <w:rPr>
          <w:rFonts w:ascii="Calibri" w:hAnsi="Calibri"/>
          <w:b/>
          <w:i w:val="0"/>
          <w:color w:val="172126"/>
          <w:sz w:val="24"/>
        </w:rPr>
        <w:t>1.2  A model never writes production state.</w:t>
      </w:r>
    </w:p>
    <w:p>
      <w:pPr>
        <w:spacing w:before="0" w:after="160" w:line="312" w:lineRule="auto"/>
      </w:pPr>
      <w:r>
        <w:rPr>
          <w:rFonts w:ascii="Georgia" w:hAnsi="Georgia"/>
          <w:b w:val="0"/>
          <w:i w:val="0"/>
          <w:color w:val="526068"/>
          <w:sz w:val="20"/>
        </w:rPr>
        <w:t>AI output lands as a proposal — its own row, its own status, its own confidence. Only a human action moves it into project data. Undo is not the same as consent. The drawing assistant emits a proposal that is stored separately and applied on an explicit action; the ten CAD tools a model may call are all read-only.</w:t>
      </w:r>
    </w:p>
    <w:p>
      <w:pPr>
        <w:spacing w:before="280" w:after="100" w:line="312" w:lineRule="auto"/>
      </w:pPr>
      <w:r>
        <w:rPr>
          <w:rFonts w:ascii="Calibri" w:hAnsi="Calibri"/>
          <w:b/>
          <w:i w:val="0"/>
          <w:color w:val="172126"/>
          <w:sz w:val="24"/>
        </w:rPr>
        <w:t>1.3  Vocabulary</w:t>
      </w:r>
    </w:p>
    <w:tbl>
      <w:tblPr>
        <w:tblW w:type="auto" w:w="0"/>
        <w:jc w:val="left"/>
        <w:tblLook w:firstColumn="1" w:firstRow="1" w:lastColumn="0" w:lastRow="0" w:noHBand="0" w:noVBand="1" w:val="04A0"/>
        <w:tblBorders>
          <w:top w:val="single" w:sz="4" w:space="0" w:color="D8DEE2"/>
          <w:left w:val="single" w:sz="4" w:space="0" w:color="D8DEE2"/>
          <w:bottom w:val="single" w:sz="4" w:space="0" w:color="D8DEE2"/>
          <w:right w:val="single" w:sz="4" w:space="0" w:color="D8DEE2"/>
          <w:insideH w:val="single" w:sz="4" w:space="0" w:color="D8DEE2"/>
          <w:insideV w:val="single" w:sz="4" w:space="0" w:color="D8DEE2"/>
        </w:tblBorders>
      </w:tblPr>
      <w:tblGrid>
        <w:gridCol w:w="4896"/>
        <w:gridCol w:w="4896"/>
      </w:tblGrid>
      <w:tr>
        <w:tc>
          <w:tcPr>
            <w:tcW w:type="dxa" w:w="1440"/>
            <w:shd w:val="clear" w:fill="F0F3F4"/>
          </w:tcPr>
          <w:p>
            <w:r/>
            <w:r>
              <w:rPr>
                <w:rFonts w:ascii="Calibri" w:hAnsi="Calibri"/>
                <w:b/>
                <w:color w:val="667279"/>
                <w:sz w:val="14"/>
              </w:rPr>
              <w:t>TERM</w:t>
            </w:r>
          </w:p>
        </w:tc>
        <w:tc>
          <w:tcPr>
            <w:tcW w:type="dxa" w:w="8064"/>
            <w:shd w:val="clear" w:fill="F0F3F4"/>
          </w:tcPr>
          <w:p>
            <w:r/>
            <w:r>
              <w:rPr>
                <w:rFonts w:ascii="Calibri" w:hAnsi="Calibri"/>
                <w:b/>
                <w:color w:val="667279"/>
                <w:sz w:val="14"/>
              </w:rPr>
              <w:t>MEANING</w:t>
            </w:r>
          </w:p>
        </w:tc>
      </w:tr>
      <w:tr>
        <w:tc>
          <w:tcPr>
            <w:tcW w:type="dxa" w:w="1440"/>
          </w:tcPr>
          <w:p>
            <w:pPr>
              <w:spacing w:line="288" w:lineRule="auto" w:after="20"/>
            </w:pPr>
            <w:r/>
            <w:r>
              <w:rPr>
                <w:rFonts w:ascii="Calibri" w:hAnsi="Calibri"/>
                <w:b/>
                <w:color w:val="172126"/>
                <w:sz w:val="17"/>
              </w:rPr>
              <w:t>Plane</w:t>
            </w:r>
          </w:p>
        </w:tc>
        <w:tc>
          <w:tcPr>
            <w:tcW w:type="dxa" w:w="8064"/>
          </w:tcPr>
          <w:p>
            <w:pPr>
              <w:spacing w:line="288" w:lineRule="auto" w:after="20"/>
            </w:pPr>
            <w:r/>
            <w:r>
              <w:rPr>
                <w:rFonts w:ascii="Calibri" w:hAnsi="Calibri"/>
                <w:b w:val="0"/>
                <w:color w:val="526068"/>
                <w:sz w:val="17"/>
              </w:rPr>
              <w:t>A separately deployable process: host, tenant, worker, cad, desktop.</w:t>
            </w:r>
          </w:p>
        </w:tc>
      </w:tr>
      <w:tr>
        <w:tc>
          <w:tcPr>
            <w:tcW w:type="dxa" w:w="1440"/>
          </w:tcPr>
          <w:p>
            <w:pPr>
              <w:spacing w:line="288" w:lineRule="auto" w:after="20"/>
            </w:pPr>
            <w:r/>
            <w:r>
              <w:rPr>
                <w:rFonts w:ascii="Calibri" w:hAnsi="Calibri"/>
                <w:b/>
                <w:color w:val="172126"/>
                <w:sz w:val="17"/>
              </w:rPr>
              <w:t>Artifact</w:t>
            </w:r>
          </w:p>
        </w:tc>
        <w:tc>
          <w:tcPr>
            <w:tcW w:type="dxa" w:w="8064"/>
          </w:tcPr>
          <w:p>
            <w:pPr>
              <w:spacing w:line="288" w:lineRule="auto" w:after="20"/>
            </w:pPr>
            <w:r/>
            <w:r>
              <w:rPr>
                <w:rFonts w:ascii="Calibri" w:hAnsi="Calibri"/>
                <w:b w:val="0"/>
                <w:color w:val="526068"/>
                <w:sz w:val="17"/>
              </w:rPr>
              <w:t>The universal unit of project data. One table, 17 types, uniform lifecycle.</w:t>
            </w:r>
          </w:p>
        </w:tc>
      </w:tr>
      <w:tr>
        <w:tc>
          <w:tcPr>
            <w:tcW w:type="dxa" w:w="1440"/>
          </w:tcPr>
          <w:p>
            <w:pPr>
              <w:spacing w:line="288" w:lineRule="auto" w:after="20"/>
            </w:pPr>
            <w:r/>
            <w:r>
              <w:rPr>
                <w:rFonts w:ascii="Calibri" w:hAnsi="Calibri"/>
                <w:b/>
                <w:color w:val="172126"/>
                <w:sz w:val="17"/>
              </w:rPr>
              <w:t>Workflow</w:t>
            </w:r>
          </w:p>
        </w:tc>
        <w:tc>
          <w:tcPr>
            <w:tcW w:type="dxa" w:w="8064"/>
          </w:tcPr>
          <w:p>
            <w:pPr>
              <w:spacing w:line="288" w:lineRule="auto" w:after="20"/>
            </w:pPr>
            <w:r/>
            <w:r>
              <w:rPr>
                <w:rFonts w:ascii="Calibri" w:hAnsi="Calibri"/>
                <w:b w:val="0"/>
                <w:color w:val="526068"/>
                <w:sz w:val="17"/>
              </w:rPr>
              <w:t>A named directed graph of agent and gate nodes, versioned, per module.</w:t>
            </w:r>
          </w:p>
        </w:tc>
      </w:tr>
      <w:tr>
        <w:tc>
          <w:tcPr>
            <w:tcW w:type="dxa" w:w="1440"/>
          </w:tcPr>
          <w:p>
            <w:pPr>
              <w:spacing w:line="288" w:lineRule="auto" w:after="20"/>
            </w:pPr>
            <w:r/>
            <w:r>
              <w:rPr>
                <w:rFonts w:ascii="Calibri" w:hAnsi="Calibri"/>
                <w:b/>
                <w:color w:val="172126"/>
                <w:sz w:val="17"/>
              </w:rPr>
              <w:t>Run</w:t>
            </w:r>
          </w:p>
        </w:tc>
        <w:tc>
          <w:tcPr>
            <w:tcW w:type="dxa" w:w="8064"/>
          </w:tcPr>
          <w:p>
            <w:pPr>
              <w:spacing w:line="288" w:lineRule="auto" w:after="20"/>
            </w:pPr>
            <w:r/>
            <w:r>
              <w:rPr>
                <w:rFonts w:ascii="Calibri" w:hAnsi="Calibri"/>
                <w:b w:val="0"/>
                <w:color w:val="526068"/>
                <w:sz w:val="17"/>
              </w:rPr>
              <w:t>One execution of a workflow against one project.</w:t>
            </w:r>
          </w:p>
        </w:tc>
      </w:tr>
      <w:tr>
        <w:tc>
          <w:tcPr>
            <w:tcW w:type="dxa" w:w="1440"/>
          </w:tcPr>
          <w:p>
            <w:pPr>
              <w:spacing w:line="288" w:lineRule="auto" w:after="20"/>
            </w:pPr>
            <w:r/>
            <w:r>
              <w:rPr>
                <w:rFonts w:ascii="Calibri" w:hAnsi="Calibri"/>
                <w:b/>
                <w:color w:val="172126"/>
                <w:sz w:val="17"/>
              </w:rPr>
              <w:t>Step</w:t>
            </w:r>
          </w:p>
        </w:tc>
        <w:tc>
          <w:tcPr>
            <w:tcW w:type="dxa" w:w="8064"/>
          </w:tcPr>
          <w:p>
            <w:pPr>
              <w:spacing w:line="288" w:lineRule="auto" w:after="20"/>
            </w:pPr>
            <w:r/>
            <w:r>
              <w:rPr>
                <w:rFonts w:ascii="Calibri" w:hAnsi="Calibri"/>
                <w:b w:val="0"/>
                <w:color w:val="526068"/>
                <w:sz w:val="17"/>
              </w:rPr>
              <w:t>One node of a run: an agent call, a gate, or a map fan-out.</w:t>
            </w:r>
          </w:p>
        </w:tc>
      </w:tr>
      <w:tr>
        <w:tc>
          <w:tcPr>
            <w:tcW w:type="dxa" w:w="1440"/>
          </w:tcPr>
          <w:p>
            <w:pPr>
              <w:spacing w:line="288" w:lineRule="auto" w:after="20"/>
            </w:pPr>
            <w:r/>
            <w:r>
              <w:rPr>
                <w:rFonts w:ascii="Calibri" w:hAnsi="Calibri"/>
                <w:b/>
                <w:color w:val="172126"/>
                <w:sz w:val="17"/>
              </w:rPr>
              <w:t>Job</w:t>
            </w:r>
          </w:p>
        </w:tc>
        <w:tc>
          <w:tcPr>
            <w:tcW w:type="dxa" w:w="8064"/>
          </w:tcPr>
          <w:p>
            <w:pPr>
              <w:spacing w:line="288" w:lineRule="auto" w:after="20"/>
            </w:pPr>
            <w:r/>
            <w:r>
              <w:rPr>
                <w:rFonts w:ascii="Calibri" w:hAnsi="Calibri"/>
                <w:b w:val="0"/>
                <w:color w:val="526068"/>
                <w:sz w:val="17"/>
              </w:rPr>
              <w:t>One queued unit of AI work dispatched to the worker, with retries and a lease.</w:t>
            </w:r>
          </w:p>
        </w:tc>
      </w:tr>
      <w:tr>
        <w:tc>
          <w:tcPr>
            <w:tcW w:type="dxa" w:w="1440"/>
          </w:tcPr>
          <w:p>
            <w:pPr>
              <w:spacing w:line="288" w:lineRule="auto" w:after="20"/>
            </w:pPr>
            <w:r/>
            <w:r>
              <w:rPr>
                <w:rFonts w:ascii="Calibri" w:hAnsi="Calibri"/>
                <w:b/>
                <w:color w:val="172126"/>
                <w:sz w:val="17"/>
              </w:rPr>
              <w:t>Gate</w:t>
            </w:r>
          </w:p>
        </w:tc>
        <w:tc>
          <w:tcPr>
            <w:tcW w:type="dxa" w:w="8064"/>
          </w:tcPr>
          <w:p>
            <w:pPr>
              <w:spacing w:line="288" w:lineRule="auto" w:after="20"/>
            </w:pPr>
            <w:r/>
            <w:r>
              <w:rPr>
                <w:rFonts w:ascii="Calibri" w:hAnsi="Calibri"/>
                <w:b w:val="0"/>
                <w:color w:val="526068"/>
                <w:sz w:val="17"/>
              </w:rPr>
              <w:t>A step that holds until a human has dispositioned the artifacts before it.</w:t>
            </w:r>
          </w:p>
        </w:tc>
      </w:tr>
      <w:tr>
        <w:tc>
          <w:tcPr>
            <w:tcW w:type="dxa" w:w="1440"/>
          </w:tcPr>
          <w:p>
            <w:pPr>
              <w:spacing w:line="288" w:lineRule="auto" w:after="20"/>
            </w:pPr>
            <w:r/>
            <w:r>
              <w:rPr>
                <w:rFonts w:ascii="Calibri" w:hAnsi="Calibri"/>
                <w:b/>
                <w:color w:val="172126"/>
                <w:sz w:val="17"/>
              </w:rPr>
              <w:t>Agent</w:t>
            </w:r>
          </w:p>
        </w:tc>
        <w:tc>
          <w:tcPr>
            <w:tcW w:type="dxa" w:w="8064"/>
          </w:tcPr>
          <w:p>
            <w:pPr>
              <w:spacing w:line="288" w:lineRule="auto" w:after="20"/>
            </w:pPr>
            <w:r/>
            <w:r>
              <w:rPr>
                <w:rFonts w:ascii="Calibri" w:hAnsi="Calibri"/>
                <w:b w:val="0"/>
                <w:color w:val="526068"/>
                <w:sz w:val="17"/>
              </w:rPr>
              <w:t>A registered capability with declared consumes/produces and a model tier.</w:t>
            </w:r>
          </w:p>
        </w:tc>
      </w:tr>
    </w:tbl>
    <w:p>
      <w:pPr>
        <w:spacing w:after="60"/>
      </w:pPr>
    </w:p>
    <w:p>
      <w:r>
        <w:br w:type="page"/>
      </w:r>
    </w:p>
    <w:p>
      <w:pPr>
        <w:spacing w:before="0" w:after="60" w:line="312" w:lineRule="auto"/>
      </w:pPr>
      <w:r>
        <w:rPr>
          <w:rFonts w:ascii="Consolas" w:hAnsi="Consolas"/>
          <w:b/>
          <w:i w:val="0"/>
          <w:color w:val="087E75"/>
          <w:sz w:val="15"/>
        </w:rPr>
        <w:t>CHAPTER 2</w:t>
      </w:r>
    </w:p>
    <w:p>
      <w:pPr>
        <w:spacing w:before="0" w:after="160" w:line="252" w:lineRule="auto"/>
      </w:pPr>
      <w:r>
        <w:rPr>
          <w:rFonts w:ascii="Georgia" w:hAnsi="Georgia"/>
          <w:b/>
          <w:i w:val="0"/>
          <w:color w:val="172126"/>
          <w:sz w:val="40"/>
        </w:rPr>
        <w:t>Deployment planes</w:t>
      </w:r>
    </w:p>
    <w:p>
      <w:pPr>
        <w:spacing w:before="0" w:after="200" w:line="312" w:lineRule="auto"/>
      </w:pPr>
      <w:r>
        <w:rPr>
          <w:rFonts w:ascii="Georgia" w:hAnsi="Georgia"/>
          <w:b w:val="0"/>
          <w:i w:val="0"/>
          <w:color w:val="526068"/>
          <w:sz w:val="22"/>
        </w:rPr>
        <w:t>Five deployable pieces. Four are ordinary; the fifth is deliberately starved.</w:t>
      </w:r>
    </w:p>
    <w:p>
      <w:pPr>
        <w:spacing w:before="160" w:after="100"/>
        <w:jc w:val="center"/>
      </w:pPr>
      <w:r>
        <w:drawing>
          <wp:inline xmlns:a="http://schemas.openxmlformats.org/drawingml/2006/main" xmlns:pic="http://schemas.openxmlformats.org/drawingml/2006/picture">
            <wp:extent cx="5943600" cy="2592421"/>
            <wp:docPr id="1" name="Picture 1"/>
            <wp:cNvGraphicFramePr>
              <a:graphicFrameLocks noChangeAspect="1"/>
            </wp:cNvGraphicFramePr>
            <a:graphic>
              <a:graphicData uri="http://schemas.openxmlformats.org/drawingml/2006/picture">
                <pic:pic>
                  <pic:nvPicPr>
                    <pic:cNvPr id="0" name="diagram1.png"/>
                    <pic:cNvPicPr/>
                  </pic:nvPicPr>
                  <pic:blipFill>
                    <a:blip r:embed="rId9"/>
                    <a:stretch>
                      <a:fillRect/>
                    </a:stretch>
                  </pic:blipFill>
                  <pic:spPr>
                    <a:xfrm>
                      <a:off x="0" y="0"/>
                      <a:ext cx="5943600" cy="2592421"/>
                    </a:xfrm>
                    <a:prstGeom prst="rect"/>
                  </pic:spPr>
                </pic:pic>
              </a:graphicData>
            </a:graphic>
          </wp:inline>
        </w:drawing>
      </w:r>
    </w:p>
    <w:p>
      <w:pPr>
        <w:spacing w:after="240" w:line="302" w:lineRule="auto"/>
      </w:pPr>
      <w:r>
        <w:rPr>
          <w:rFonts w:ascii="Calibri" w:hAnsi="Calibri"/>
          <w:b/>
          <w:color w:val="172126"/>
          <w:sz w:val="16"/>
        </w:rPr>
        <w:t xml:space="preserve">The crossed-out edge is the point. </w:t>
      </w:r>
      <w:r>
        <w:rPr>
          <w:rFonts w:ascii="Calibri" w:hAnsi="Calibri"/>
          <w:color w:val="667279"/>
          <w:sz w:val="16"/>
        </w:rPr>
        <w:t>The worker holds the provider credential and reaches Anthropic; it has no route to either database, so a compromise there yields an API key and nothing else. Results return to Core in the job envelope, and Core — which owns the tenant, the project and the rate card — writes them down.</w:t>
      </w:r>
    </w:p>
    <w:tbl>
      <w:tblPr>
        <w:tblW w:type="auto" w:w="0"/>
        <w:jc w:val="left"/>
        <w:tblLook w:firstColumn="1" w:firstRow="1" w:lastColumn="0" w:lastRow="0" w:noHBand="0" w:noVBand="1" w:val="04A0"/>
        <w:tblBorders>
          <w:top w:val="single" w:sz="4" w:space="0" w:color="D8DEE2"/>
          <w:left w:val="single" w:sz="4" w:space="0" w:color="D8DEE2"/>
          <w:bottom w:val="single" w:sz="4" w:space="0" w:color="D8DEE2"/>
          <w:right w:val="single" w:sz="4" w:space="0" w:color="D8DEE2"/>
          <w:insideH w:val="single" w:sz="4" w:space="0" w:color="D8DEE2"/>
          <w:insideV w:val="single" w:sz="4" w:space="0" w:color="D8DEE2"/>
        </w:tblBorders>
      </w:tblPr>
      <w:tblGrid>
        <w:gridCol w:w="1958"/>
        <w:gridCol w:w="1958"/>
        <w:gridCol w:w="1958"/>
        <w:gridCol w:w="1958"/>
        <w:gridCol w:w="1958"/>
      </w:tblGrid>
      <w:tr>
        <w:tc>
          <w:tcPr>
            <w:tcW w:type="dxa" w:w="1224"/>
            <w:shd w:val="clear" w:fill="F0F3F4"/>
          </w:tcPr>
          <w:p>
            <w:r/>
            <w:r>
              <w:rPr>
                <w:rFonts w:ascii="Calibri" w:hAnsi="Calibri"/>
                <w:b/>
                <w:color w:val="667279"/>
                <w:sz w:val="14"/>
              </w:rPr>
              <w:t>PLANE</w:t>
            </w:r>
          </w:p>
        </w:tc>
        <w:tc>
          <w:tcPr>
            <w:tcW w:type="dxa" w:w="1872"/>
            <w:shd w:val="clear" w:fill="F0F3F4"/>
          </w:tcPr>
          <w:p>
            <w:r/>
            <w:r>
              <w:rPr>
                <w:rFonts w:ascii="Calibri" w:hAnsi="Calibri"/>
                <w:b/>
                <w:color w:val="667279"/>
                <w:sz w:val="14"/>
              </w:rPr>
              <w:t>STACK</w:t>
            </w:r>
          </w:p>
        </w:tc>
        <w:tc>
          <w:tcPr>
            <w:tcW w:type="dxa" w:w="3312"/>
            <w:shd w:val="clear" w:fill="F0F3F4"/>
          </w:tcPr>
          <w:p>
            <w:r/>
            <w:r>
              <w:rPr>
                <w:rFonts w:ascii="Calibri" w:hAnsi="Calibri"/>
                <w:b/>
                <w:color w:val="667279"/>
                <w:sz w:val="14"/>
              </w:rPr>
              <w:t>RESPONSIBILITY</w:t>
            </w:r>
          </w:p>
        </w:tc>
        <w:tc>
          <w:tcPr>
            <w:tcW w:type="dxa" w:w="1440"/>
            <w:shd w:val="clear" w:fill="F0F3F4"/>
          </w:tcPr>
          <w:p>
            <w:r/>
            <w:r>
              <w:rPr>
                <w:rFonts w:ascii="Calibri" w:hAnsi="Calibri"/>
                <w:b/>
                <w:color w:val="667279"/>
                <w:sz w:val="14"/>
              </w:rPr>
              <w:t>REACHES</w:t>
            </w:r>
          </w:p>
        </w:tc>
        <w:tc>
          <w:tcPr>
            <w:tcW w:type="dxa" w:w="1584"/>
            <w:shd w:val="clear" w:fill="F0F3F4"/>
          </w:tcPr>
          <w:p>
            <w:r/>
            <w:r>
              <w:rPr>
                <w:rFonts w:ascii="Calibri" w:hAnsi="Calibri"/>
                <w:b/>
                <w:color w:val="667279"/>
                <w:sz w:val="14"/>
              </w:rPr>
              <w:t>PORT</w:t>
            </w:r>
          </w:p>
        </w:tc>
      </w:tr>
      <w:tr>
        <w:tc>
          <w:tcPr>
            <w:tcW w:type="dxa" w:w="1224"/>
          </w:tcPr>
          <w:p>
            <w:pPr>
              <w:spacing w:line="288" w:lineRule="auto" w:after="20"/>
            </w:pPr>
            <w:r/>
            <w:r>
              <w:rPr>
                <w:rFonts w:ascii="Calibri" w:hAnsi="Calibri"/>
                <w:b/>
                <w:color w:val="172126"/>
                <w:sz w:val="17"/>
              </w:rPr>
              <w:t>Tenant app</w:t>
            </w:r>
          </w:p>
        </w:tc>
        <w:tc>
          <w:tcPr>
            <w:tcW w:type="dxa" w:w="1872"/>
          </w:tcPr>
          <w:p>
            <w:pPr>
              <w:spacing w:line="288" w:lineRule="auto" w:after="20"/>
            </w:pPr>
            <w:r/>
            <w:r>
              <w:rPr>
                <w:rFonts w:ascii="Calibri" w:hAnsi="Calibri"/>
                <w:b w:val="0"/>
                <w:color w:val="526068"/>
                <w:sz w:val="17"/>
              </w:rPr>
              <w:t>Next.js 15.5 · React 19</w:t>
            </w:r>
          </w:p>
        </w:tc>
        <w:tc>
          <w:tcPr>
            <w:tcW w:type="dxa" w:w="3312"/>
          </w:tcPr>
          <w:p>
            <w:pPr>
              <w:spacing w:line="288" w:lineRule="auto" w:after="20"/>
            </w:pPr>
            <w:r/>
            <w:r>
              <w:rPr>
                <w:rFonts w:ascii="Calibri" w:hAnsi="Calibri"/>
                <w:b w:val="0"/>
                <w:color w:val="526068"/>
                <w:sz w:val="17"/>
              </w:rPr>
              <w:t>The product. All surfaces, all API routes, all governance.</w:t>
            </w:r>
          </w:p>
        </w:tc>
        <w:tc>
          <w:tcPr>
            <w:tcW w:type="dxa" w:w="1440"/>
          </w:tcPr>
          <w:p>
            <w:pPr>
              <w:spacing w:line="288" w:lineRule="auto" w:after="20"/>
            </w:pPr>
            <w:r/>
            <w:r>
              <w:rPr>
                <w:rFonts w:ascii="Calibri" w:hAnsi="Calibri"/>
                <w:b w:val="0"/>
                <w:color w:val="526068"/>
                <w:sz w:val="17"/>
              </w:rPr>
              <w:t>MySQL, worker, cad</w:t>
            </w:r>
          </w:p>
        </w:tc>
        <w:tc>
          <w:tcPr>
            <w:tcW w:type="dxa" w:w="1584"/>
          </w:tcPr>
          <w:p>
            <w:pPr>
              <w:spacing w:line="288" w:lineRule="auto" w:after="20"/>
            </w:pPr>
            <w:r/>
            <w:r>
              <w:rPr>
                <w:rFonts w:ascii="Consolas" w:hAnsi="Consolas"/>
                <w:b w:val="0"/>
                <w:color w:val="526068"/>
                <w:sz w:val="17"/>
              </w:rPr>
              <w:t>127.0.0.1:3100</w:t>
            </w:r>
          </w:p>
        </w:tc>
      </w:tr>
      <w:tr>
        <w:tc>
          <w:tcPr>
            <w:tcW w:type="dxa" w:w="1224"/>
          </w:tcPr>
          <w:p>
            <w:pPr>
              <w:spacing w:line="288" w:lineRule="auto" w:after="20"/>
            </w:pPr>
            <w:r/>
            <w:r>
              <w:rPr>
                <w:rFonts w:ascii="Calibri" w:hAnsi="Calibri"/>
                <w:b/>
                <w:color w:val="172126"/>
                <w:sz w:val="17"/>
              </w:rPr>
              <w:t>Host console</w:t>
            </w:r>
          </w:p>
        </w:tc>
        <w:tc>
          <w:tcPr>
            <w:tcW w:type="dxa" w:w="1872"/>
          </w:tcPr>
          <w:p>
            <w:pPr>
              <w:spacing w:line="288" w:lineRule="auto" w:after="20"/>
            </w:pPr>
            <w:r/>
            <w:r>
              <w:rPr>
                <w:rFonts w:ascii="Calibri" w:hAnsi="Calibri"/>
                <w:b w:val="0"/>
                <w:color w:val="526068"/>
                <w:sz w:val="17"/>
              </w:rPr>
              <w:t>Next.js 15.5 · React 19</w:t>
            </w:r>
          </w:p>
        </w:tc>
        <w:tc>
          <w:tcPr>
            <w:tcW w:type="dxa" w:w="3312"/>
          </w:tcPr>
          <w:p>
            <w:pPr>
              <w:spacing w:line="288" w:lineRule="auto" w:after="20"/>
            </w:pPr>
            <w:r/>
            <w:r>
              <w:rPr>
                <w:rFonts w:ascii="Calibri" w:hAnsi="Calibri"/>
                <w:b w:val="0"/>
                <w:color w:val="526068"/>
                <w:sz w:val="17"/>
              </w:rPr>
              <w:t>Tenant provisioning, entitlements, licensing, staff identity.</w:t>
            </w:r>
          </w:p>
        </w:tc>
        <w:tc>
          <w:tcPr>
            <w:tcW w:type="dxa" w:w="1440"/>
          </w:tcPr>
          <w:p>
            <w:pPr>
              <w:spacing w:line="288" w:lineRule="auto" w:after="20"/>
            </w:pPr>
            <w:r/>
            <w:r>
              <w:rPr>
                <w:rFonts w:ascii="Calibri" w:hAnsi="Calibri"/>
                <w:b w:val="0"/>
                <w:color w:val="526068"/>
                <w:sz w:val="17"/>
              </w:rPr>
              <w:t>MySQL (host)</w:t>
            </w:r>
          </w:p>
        </w:tc>
        <w:tc>
          <w:tcPr>
            <w:tcW w:type="dxa" w:w="1584"/>
          </w:tcPr>
          <w:p>
            <w:pPr>
              <w:spacing w:line="288" w:lineRule="auto" w:after="20"/>
            </w:pPr>
            <w:r/>
            <w:r>
              <w:rPr>
                <w:rFonts w:ascii="Consolas" w:hAnsi="Consolas"/>
                <w:b w:val="0"/>
                <w:color w:val="526068"/>
                <w:sz w:val="17"/>
              </w:rPr>
              <w:t>127.0.0.1:3000</w:t>
            </w:r>
          </w:p>
        </w:tc>
      </w:tr>
      <w:tr>
        <w:tc>
          <w:tcPr>
            <w:tcW w:type="dxa" w:w="1224"/>
          </w:tcPr>
          <w:p>
            <w:pPr>
              <w:spacing w:line="288" w:lineRule="auto" w:after="20"/>
            </w:pPr>
            <w:r/>
            <w:r>
              <w:rPr>
                <w:rFonts w:ascii="Calibri" w:hAnsi="Calibri"/>
                <w:b/>
                <w:color w:val="172126"/>
                <w:sz w:val="17"/>
              </w:rPr>
              <w:t>AI worker</w:t>
            </w:r>
          </w:p>
        </w:tc>
        <w:tc>
          <w:tcPr>
            <w:tcW w:type="dxa" w:w="1872"/>
          </w:tcPr>
          <w:p>
            <w:pPr>
              <w:spacing w:line="288" w:lineRule="auto" w:after="20"/>
            </w:pPr>
            <w:r/>
            <w:r>
              <w:rPr>
                <w:rFonts w:ascii="Calibri" w:hAnsi="Calibri"/>
                <w:b w:val="0"/>
                <w:color w:val="526068"/>
                <w:sz w:val="17"/>
              </w:rPr>
              <w:t>Node 20 · zero deps</w:t>
            </w:r>
          </w:p>
        </w:tc>
        <w:tc>
          <w:tcPr>
            <w:tcW w:type="dxa" w:w="3312"/>
          </w:tcPr>
          <w:p>
            <w:pPr>
              <w:spacing w:line="288" w:lineRule="auto" w:after="20"/>
            </w:pPr>
            <w:r/>
            <w:r>
              <w:rPr>
                <w:rFonts w:ascii="Calibri" w:hAnsi="Calibri"/>
                <w:b w:val="0"/>
                <w:color w:val="526068"/>
                <w:sz w:val="17"/>
              </w:rPr>
              <w:t>Runs agents. Holds the provider key and nothing else.</w:t>
            </w:r>
          </w:p>
        </w:tc>
        <w:tc>
          <w:tcPr>
            <w:tcW w:type="dxa" w:w="1440"/>
          </w:tcPr>
          <w:p>
            <w:pPr>
              <w:spacing w:line="288" w:lineRule="auto" w:after="20"/>
            </w:pPr>
            <w:r/>
            <w:r>
              <w:rPr>
                <w:rFonts w:ascii="Calibri" w:hAnsi="Calibri"/>
                <w:b w:val="0"/>
                <w:color w:val="526068"/>
                <w:sz w:val="17"/>
              </w:rPr>
              <w:t>Anthropic only</w:t>
            </w:r>
          </w:p>
        </w:tc>
        <w:tc>
          <w:tcPr>
            <w:tcW w:type="dxa" w:w="1584"/>
          </w:tcPr>
          <w:p>
            <w:pPr>
              <w:spacing w:line="288" w:lineRule="auto" w:after="20"/>
            </w:pPr>
            <w:r/>
            <w:r>
              <w:rPr>
                <w:rFonts w:ascii="Consolas" w:hAnsi="Consolas"/>
                <w:b w:val="0"/>
                <w:color w:val="526068"/>
                <w:sz w:val="17"/>
              </w:rPr>
              <w:t>127.0.0.1:4000</w:t>
            </w:r>
          </w:p>
        </w:tc>
      </w:tr>
      <w:tr>
        <w:tc>
          <w:tcPr>
            <w:tcW w:type="dxa" w:w="1224"/>
          </w:tcPr>
          <w:p>
            <w:pPr>
              <w:spacing w:line="288" w:lineRule="auto" w:after="20"/>
            </w:pPr>
            <w:r/>
            <w:r>
              <w:rPr>
                <w:rFonts w:ascii="Calibri" w:hAnsi="Calibri"/>
                <w:b/>
                <w:color w:val="172126"/>
                <w:sz w:val="17"/>
              </w:rPr>
              <w:t>CAD service</w:t>
            </w:r>
          </w:p>
        </w:tc>
        <w:tc>
          <w:tcPr>
            <w:tcW w:type="dxa" w:w="1872"/>
          </w:tcPr>
          <w:p>
            <w:pPr>
              <w:spacing w:line="288" w:lineRule="auto" w:after="20"/>
            </w:pPr>
            <w:r/>
            <w:r>
              <w:rPr>
                <w:rFonts w:ascii="Calibri" w:hAnsi="Calibri"/>
                <w:b w:val="0"/>
                <w:color w:val="526068"/>
                <w:sz w:val="17"/>
              </w:rPr>
              <w:t>Python · FastAPI · ezdxf</w:t>
            </w:r>
          </w:p>
        </w:tc>
        <w:tc>
          <w:tcPr>
            <w:tcW w:type="dxa" w:w="3312"/>
          </w:tcPr>
          <w:p>
            <w:pPr>
              <w:spacing w:line="288" w:lineRule="auto" w:after="20"/>
            </w:pPr>
            <w:r/>
            <w:r>
              <w:rPr>
                <w:rFonts w:ascii="Calibri" w:hAnsi="Calibri"/>
                <w:b w:val="0"/>
                <w:color w:val="526068"/>
                <w:sz w:val="17"/>
              </w:rPr>
              <w:t>Reads and renders drawings; rasterises PDF sheets.</w:t>
            </w:r>
          </w:p>
        </w:tc>
        <w:tc>
          <w:tcPr>
            <w:tcW w:type="dxa" w:w="1440"/>
          </w:tcPr>
          <w:p>
            <w:pPr>
              <w:spacing w:line="288" w:lineRule="auto" w:after="20"/>
            </w:pPr>
            <w:r/>
            <w:r>
              <w:rPr>
                <w:rFonts w:ascii="Calibri" w:hAnsi="Calibri"/>
                <w:b w:val="0"/>
                <w:color w:val="526068"/>
                <w:sz w:val="17"/>
              </w:rPr>
              <w:t>Nothing outbound</w:t>
            </w:r>
          </w:p>
        </w:tc>
        <w:tc>
          <w:tcPr>
            <w:tcW w:type="dxa" w:w="1584"/>
          </w:tcPr>
          <w:p>
            <w:pPr>
              <w:spacing w:line="288" w:lineRule="auto" w:after="20"/>
            </w:pPr>
            <w:r/>
            <w:r>
              <w:rPr>
                <w:rFonts w:ascii="Consolas" w:hAnsi="Consolas"/>
                <w:b w:val="0"/>
                <w:color w:val="526068"/>
                <w:sz w:val="17"/>
              </w:rPr>
              <w:t>internal 7400</w:t>
            </w:r>
          </w:p>
        </w:tc>
      </w:tr>
      <w:tr>
        <w:tc>
          <w:tcPr>
            <w:tcW w:type="dxa" w:w="1224"/>
          </w:tcPr>
          <w:p>
            <w:pPr>
              <w:spacing w:line="288" w:lineRule="auto" w:after="20"/>
            </w:pPr>
            <w:r/>
            <w:r>
              <w:rPr>
                <w:rFonts w:ascii="Calibri" w:hAnsi="Calibri"/>
                <w:b/>
                <w:color w:val="172126"/>
                <w:sz w:val="17"/>
              </w:rPr>
              <w:t>Desktop</w:t>
            </w:r>
          </w:p>
        </w:tc>
        <w:tc>
          <w:tcPr>
            <w:tcW w:type="dxa" w:w="1872"/>
          </w:tcPr>
          <w:p>
            <w:pPr>
              <w:spacing w:line="288" w:lineRule="auto" w:after="20"/>
            </w:pPr>
            <w:r/>
            <w:r>
              <w:rPr>
                <w:rFonts w:ascii="Calibri" w:hAnsi="Calibri"/>
                <w:b w:val="0"/>
                <w:color w:val="526068"/>
                <w:sz w:val="17"/>
              </w:rPr>
              <w:t>Electron 33</w:t>
            </w:r>
          </w:p>
        </w:tc>
        <w:tc>
          <w:tcPr>
            <w:tcW w:type="dxa" w:w="3312"/>
          </w:tcPr>
          <w:p>
            <w:pPr>
              <w:spacing w:line="288" w:lineRule="auto" w:after="20"/>
            </w:pPr>
            <w:r/>
            <w:r>
              <w:rPr>
                <w:rFonts w:ascii="Calibri" w:hAnsi="Calibri"/>
                <w:b w:val="0"/>
                <w:color w:val="526068"/>
                <w:sz w:val="17"/>
              </w:rPr>
              <w:t>Drawing studio for full-time CAD users.</w:t>
            </w:r>
          </w:p>
        </w:tc>
        <w:tc>
          <w:tcPr>
            <w:tcW w:type="dxa" w:w="1440"/>
          </w:tcPr>
          <w:p>
            <w:pPr>
              <w:spacing w:line="288" w:lineRule="auto" w:after="20"/>
            </w:pPr>
            <w:r/>
            <w:r>
              <w:rPr>
                <w:rFonts w:ascii="Calibri" w:hAnsi="Calibri"/>
                <w:b w:val="0"/>
                <w:color w:val="526068"/>
                <w:sz w:val="17"/>
              </w:rPr>
              <w:t>Tenant app</w:t>
            </w:r>
          </w:p>
        </w:tc>
        <w:tc>
          <w:tcPr>
            <w:tcW w:type="dxa" w:w="1584"/>
          </w:tcPr>
          <w:p>
            <w:pPr>
              <w:spacing w:line="288" w:lineRule="auto" w:after="20"/>
            </w:pPr>
            <w:r/>
            <w:r>
              <w:rPr>
                <w:rFonts w:ascii="Consolas" w:hAnsi="Consolas"/>
                <w:b w:val="0"/>
                <w:color w:val="526068"/>
                <w:sz w:val="17"/>
              </w:rPr>
              <w:t>n/a</w:t>
            </w:r>
          </w:p>
        </w:tc>
      </w:tr>
    </w:tbl>
    <w:p>
      <w:pPr>
        <w:spacing w:after="60"/>
      </w:pPr>
    </w:p>
    <w:p>
      <w:pPr>
        <w:spacing w:before="280" w:after="100" w:line="312" w:lineRule="auto"/>
      </w:pPr>
      <w:r>
        <w:rPr>
          <w:rFonts w:ascii="Calibri" w:hAnsi="Calibri"/>
          <w:b/>
          <w:i w:val="0"/>
          <w:color w:val="172126"/>
          <w:sz w:val="24"/>
        </w:rPr>
        <w:t>2.1  Why the worker has nothing</w:t>
      </w:r>
    </w:p>
    <w:p>
      <w:pPr>
        <w:spacing w:before="0" w:after="160" w:line="312" w:lineRule="auto"/>
      </w:pPr>
      <w:r>
        <w:rPr>
          <w:rFonts w:ascii="Georgia" w:hAnsi="Georgia"/>
          <w:b w:val="0"/>
          <w:i w:val="0"/>
          <w:color w:val="526068"/>
          <w:sz w:val="20"/>
        </w:rPr>
        <w:t>The worker is the process that talks to an external model provider, so it carries the largest supply-chain surface and is the one you least want holding a database credential. It has no npm dependencies, no database handle and no filesystem state. Giving it nothing to compromise is cheaper than auditing the alternative.</w:t>
      </w:r>
    </w:p>
    <w:p>
      <w:pPr>
        <w:spacing w:before="0" w:after="160" w:line="312" w:lineRule="auto"/>
      </w:pPr>
      <w:r>
        <w:rPr>
          <w:rFonts w:ascii="Georgia" w:hAnsi="Georgia"/>
          <w:b w:val="0"/>
          <w:i w:val="0"/>
          <w:color w:val="526068"/>
          <w:sz w:val="20"/>
        </w:rPr>
        <w:t>A consequence worth stating: the worker cannot write a usage ledger row, because a process with no database cannot append to one. Metering therefore happens on the calling side. That is not an oversight — it is the same boundary, seen from the other direction.</w:t>
      </w:r>
    </w:p>
    <w:p>
      <w:pPr>
        <w:spacing w:before="280" w:after="100" w:line="312" w:lineRule="auto"/>
      </w:pPr>
      <w:r>
        <w:rPr>
          <w:rFonts w:ascii="Calibri" w:hAnsi="Calibri"/>
          <w:b/>
          <w:i w:val="0"/>
          <w:color w:val="172126"/>
          <w:sz w:val="24"/>
        </w:rPr>
        <w:t>2.2  CAD service endpoints</w:t>
      </w:r>
    </w:p>
    <w:tbl>
      <w:tblPr>
        <w:tblW w:type="auto" w:w="0"/>
        <w:jc w:val="left"/>
        <w:tblLook w:firstColumn="1" w:firstRow="1" w:lastColumn="0" w:lastRow="0" w:noHBand="0" w:noVBand="1" w:val="04A0"/>
        <w:tblBorders>
          <w:top w:val="single" w:sz="4" w:space="0" w:color="D8DEE2"/>
          <w:left w:val="single" w:sz="4" w:space="0" w:color="D8DEE2"/>
          <w:bottom w:val="single" w:sz="4" w:space="0" w:color="D8DEE2"/>
          <w:right w:val="single" w:sz="4" w:space="0" w:color="D8DEE2"/>
          <w:insideH w:val="single" w:sz="4" w:space="0" w:color="D8DEE2"/>
          <w:insideV w:val="single" w:sz="4" w:space="0" w:color="D8DEE2"/>
        </w:tblBorders>
      </w:tblPr>
      <w:tblGrid>
        <w:gridCol w:w="4896"/>
        <w:gridCol w:w="4896"/>
      </w:tblGrid>
      <w:tr>
        <w:tc>
          <w:tcPr>
            <w:tcW w:type="dxa" w:w="2160"/>
            <w:shd w:val="clear" w:fill="F0F3F4"/>
          </w:tcPr>
          <w:p>
            <w:r/>
            <w:r>
              <w:rPr>
                <w:rFonts w:ascii="Calibri" w:hAnsi="Calibri"/>
                <w:b/>
                <w:color w:val="667279"/>
                <w:sz w:val="14"/>
              </w:rPr>
              <w:t>ENDPOINT</w:t>
            </w:r>
          </w:p>
        </w:tc>
        <w:tc>
          <w:tcPr>
            <w:tcW w:type="dxa" w:w="7344"/>
            <w:shd w:val="clear" w:fill="F0F3F4"/>
          </w:tcPr>
          <w:p>
            <w:r/>
            <w:r>
              <w:rPr>
                <w:rFonts w:ascii="Calibri" w:hAnsi="Calibri"/>
                <w:b/>
                <w:color w:val="667279"/>
                <w:sz w:val="14"/>
              </w:rPr>
              <w:t>PURPOSE</w:t>
            </w:r>
          </w:p>
        </w:tc>
      </w:tr>
      <w:tr>
        <w:tc>
          <w:tcPr>
            <w:tcW w:type="dxa" w:w="2160"/>
          </w:tcPr>
          <w:p>
            <w:pPr>
              <w:spacing w:line="288" w:lineRule="auto" w:after="20"/>
            </w:pPr>
            <w:r/>
            <w:r>
              <w:rPr>
                <w:rFonts w:ascii="Consolas" w:hAnsi="Consolas"/>
                <w:b/>
                <w:color w:val="172126"/>
                <w:sz w:val="17"/>
              </w:rPr>
              <w:t>POST /extract</w:t>
            </w:r>
          </w:p>
        </w:tc>
        <w:tc>
          <w:tcPr>
            <w:tcW w:type="dxa" w:w="7344"/>
          </w:tcPr>
          <w:p>
            <w:pPr>
              <w:spacing w:line="288" w:lineRule="auto" w:after="20"/>
            </w:pPr>
            <w:r/>
            <w:r>
              <w:rPr>
                <w:rFonts w:ascii="Calibri" w:hAnsi="Calibri"/>
                <w:b w:val="0"/>
                <w:color w:val="526068"/>
                <w:sz w:val="17"/>
              </w:rPr>
              <w:t>Parse a DXF/DWG: layers, blocks, entities, dimensions, sheets.</w:t>
            </w:r>
          </w:p>
        </w:tc>
      </w:tr>
      <w:tr>
        <w:tc>
          <w:tcPr>
            <w:tcW w:type="dxa" w:w="2160"/>
          </w:tcPr>
          <w:p>
            <w:pPr>
              <w:spacing w:line="288" w:lineRule="auto" w:after="20"/>
            </w:pPr>
            <w:r/>
            <w:r>
              <w:rPr>
                <w:rFonts w:ascii="Consolas" w:hAnsi="Consolas"/>
                <w:b/>
                <w:color w:val="172126"/>
                <w:sz w:val="17"/>
              </w:rPr>
              <w:t>POST /render</w:t>
            </w:r>
          </w:p>
        </w:tc>
        <w:tc>
          <w:tcPr>
            <w:tcW w:type="dxa" w:w="7344"/>
          </w:tcPr>
          <w:p>
            <w:pPr>
              <w:spacing w:line="288" w:lineRule="auto" w:after="20"/>
            </w:pPr>
            <w:r/>
            <w:r>
              <w:rPr>
                <w:rFonts w:ascii="Calibri" w:hAnsi="Calibri"/>
                <w:b w:val="0"/>
                <w:color w:val="526068"/>
                <w:sz w:val="17"/>
              </w:rPr>
              <w:t>Rasterise a drawing to SVG for the web viewer.</w:t>
            </w:r>
          </w:p>
        </w:tc>
      </w:tr>
      <w:tr>
        <w:tc>
          <w:tcPr>
            <w:tcW w:type="dxa" w:w="2160"/>
          </w:tcPr>
          <w:p>
            <w:pPr>
              <w:spacing w:line="288" w:lineRule="auto" w:after="20"/>
            </w:pPr>
            <w:r/>
            <w:r>
              <w:rPr>
                <w:rFonts w:ascii="Consolas" w:hAnsi="Consolas"/>
                <w:b/>
                <w:color w:val="172126"/>
                <w:sz w:val="17"/>
              </w:rPr>
              <w:t>POST /render-pages</w:t>
            </w:r>
          </w:p>
        </w:tc>
        <w:tc>
          <w:tcPr>
            <w:tcW w:type="dxa" w:w="7344"/>
          </w:tcPr>
          <w:p>
            <w:pPr>
              <w:spacing w:line="288" w:lineRule="auto" w:after="20"/>
            </w:pPr>
            <w:r/>
            <w:r>
              <w:rPr>
                <w:rFonts w:ascii="Calibri" w:hAnsi="Calibri"/>
                <w:b w:val="0"/>
                <w:color w:val="526068"/>
                <w:sz w:val="17"/>
              </w:rPr>
              <w:t>Rasterise PDF drawing sheets to PNG for the vision pre-pass.</w:t>
            </w:r>
          </w:p>
        </w:tc>
      </w:tr>
      <w:tr>
        <w:tc>
          <w:tcPr>
            <w:tcW w:type="dxa" w:w="2160"/>
          </w:tcPr>
          <w:p>
            <w:pPr>
              <w:spacing w:line="288" w:lineRule="auto" w:after="20"/>
            </w:pPr>
            <w:r/>
            <w:r>
              <w:rPr>
                <w:rFonts w:ascii="Consolas" w:hAnsi="Consolas"/>
                <w:b/>
                <w:color w:val="172126"/>
                <w:sz w:val="17"/>
              </w:rPr>
              <w:t>POST /dxf</w:t>
            </w:r>
          </w:p>
        </w:tc>
        <w:tc>
          <w:tcPr>
            <w:tcW w:type="dxa" w:w="7344"/>
          </w:tcPr>
          <w:p>
            <w:pPr>
              <w:spacing w:line="288" w:lineRule="auto" w:after="20"/>
            </w:pPr>
            <w:r/>
            <w:r>
              <w:rPr>
                <w:rFonts w:ascii="Calibri" w:hAnsi="Calibri"/>
                <w:b w:val="0"/>
                <w:color w:val="526068"/>
                <w:sz w:val="17"/>
              </w:rPr>
              <w:t>Return the drawing as DXF text, converting DWG on the way through.</w:t>
            </w:r>
          </w:p>
        </w:tc>
      </w:tr>
      <w:tr>
        <w:tc>
          <w:tcPr>
            <w:tcW w:type="dxa" w:w="2160"/>
          </w:tcPr>
          <w:p>
            <w:pPr>
              <w:spacing w:line="288" w:lineRule="auto" w:after="20"/>
            </w:pPr>
            <w:r/>
            <w:r>
              <w:rPr>
                <w:rFonts w:ascii="Consolas" w:hAnsi="Consolas"/>
                <w:b/>
                <w:color w:val="172126"/>
                <w:sz w:val="17"/>
              </w:rPr>
              <w:t>GET  /health</w:t>
            </w:r>
          </w:p>
        </w:tc>
        <w:tc>
          <w:tcPr>
            <w:tcW w:type="dxa" w:w="7344"/>
          </w:tcPr>
          <w:p>
            <w:pPr>
              <w:spacing w:line="288" w:lineRule="auto" w:after="20"/>
            </w:pPr>
            <w:r/>
            <w:r>
              <w:rPr>
                <w:rFonts w:ascii="Calibri" w:hAnsi="Calibri"/>
                <w:b w:val="0"/>
                <w:color w:val="526068"/>
                <w:sz w:val="17"/>
              </w:rPr>
              <w:t>Liveness.</w:t>
            </w:r>
          </w:p>
        </w:tc>
      </w:tr>
    </w:tbl>
    <w:p>
      <w:pPr>
        <w:spacing w:after="60"/>
      </w:pPr>
    </w:p>
    <w:tbl>
      <w:tblPr>
        <w:tblW w:type="auto" w:w="0"/>
        <w:tblLook w:firstColumn="1" w:firstRow="1" w:lastColumn="0" w:lastRow="0" w:noHBand="0" w:noVBand="1" w:val="04A0"/>
        <w:tblBorders>
          <w:top w:val="single" w:sz="2" w:space="0" w:color="E6F3F1"/>
          <w:left w:val="single" w:sz="2" w:space="0" w:color="E6F3F1"/>
          <w:bottom w:val="single" w:sz="2" w:space="0" w:color="E6F3F1"/>
          <w:right w:val="single" w:sz="2" w:space="0" w:color="E6F3F1"/>
          <w:insideH w:val="single" w:sz="2" w:space="0" w:color="E6F3F1"/>
          <w:insideV w:val="single" w:sz="2" w:space="0" w:color="E6F3F1"/>
        </w:tblBorders>
      </w:tblPr>
      <w:tblGrid>
        <w:gridCol w:w="9792"/>
      </w:tblGrid>
      <w:tr>
        <w:tc>
          <w:tcPr>
            <w:tcW w:type="dxa" w:w="9792"/>
            <w:shd w:val="clear" w:fill="E6F3F1"/>
          </w:tcPr>
          <w:p>
            <w:r/>
            <w:r>
              <w:rPr>
                <w:rFonts w:ascii="Calibri" w:hAnsi="Calibri"/>
                <w:b/>
                <w:color w:val="087E75"/>
                <w:sz w:val="14"/>
              </w:rPr>
              <w:t>WHY /RENDER-PAGES EXISTS</w:t>
            </w:r>
          </w:p>
          <w:p>
            <w:pPr>
              <w:spacing w:before="60" w:line="307" w:lineRule="auto"/>
            </w:pPr>
            <w:r>
              <w:rPr>
                <w:rFonts w:ascii="Georgia" w:hAnsi="Georgia"/>
                <w:color w:val="172126"/>
                <w:sz w:val="19"/>
              </w:rPr>
              <w:t>The DXF toolbox is blind to PDFs: a sheet exported to PDF carries no layers, no blocks and no queryable geometry, so a tender pack of PDF drawings gives the estimating agents nothing to measure. Looking at the sheet is then the only route to a quantity.</w:t>
            </w:r>
          </w:p>
        </w:tc>
      </w:tr>
    </w:tbl>
    <w:p>
      <w:pPr>
        <w:spacing w:after="60"/>
      </w:pPr>
    </w:p>
    <w:p>
      <w:r>
        <w:br w:type="page"/>
      </w:r>
    </w:p>
    <w:p>
      <w:pPr>
        <w:spacing w:before="0" w:after="60" w:line="312" w:lineRule="auto"/>
      </w:pPr>
      <w:r>
        <w:rPr>
          <w:rFonts w:ascii="Consolas" w:hAnsi="Consolas"/>
          <w:b/>
          <w:i w:val="0"/>
          <w:color w:val="087E75"/>
          <w:sz w:val="15"/>
        </w:rPr>
        <w:t>CHAPTER 3</w:t>
      </w:r>
    </w:p>
    <w:p>
      <w:pPr>
        <w:spacing w:before="0" w:after="160" w:line="252" w:lineRule="auto"/>
      </w:pPr>
      <w:r>
        <w:rPr>
          <w:rFonts w:ascii="Georgia" w:hAnsi="Georgia"/>
          <w:b/>
          <w:i w:val="0"/>
          <w:color w:val="172126"/>
          <w:sz w:val="40"/>
        </w:rPr>
        <w:t>The preconstruction chain</w:t>
      </w:r>
    </w:p>
    <w:p>
      <w:pPr>
        <w:spacing w:before="0" w:after="200" w:line="312" w:lineRule="auto"/>
      </w:pPr>
      <w:r>
        <w:rPr>
          <w:rFonts w:ascii="Georgia" w:hAnsi="Georgia"/>
          <w:b w:val="0"/>
          <w:i w:val="0"/>
          <w:color w:val="526068"/>
          <w:sz w:val="22"/>
        </w:rPr>
        <w:t>Nine stages. A project's tab bar is the chain, derived from entitlements rather than a hardcoded list — an edition without CostLogix simply has no Estimate stage.</w:t>
      </w:r>
    </w:p>
    <w:tbl>
      <w:tblPr>
        <w:tblW w:type="auto" w:w="0"/>
        <w:jc w:val="left"/>
        <w:tblLook w:firstColumn="1" w:firstRow="1" w:lastColumn="0" w:lastRow="0" w:noHBand="0" w:noVBand="1" w:val="04A0"/>
        <w:tblBorders>
          <w:top w:val="single" w:sz="4" w:space="0" w:color="D8DEE2"/>
          <w:left w:val="single" w:sz="4" w:space="0" w:color="D8DEE2"/>
          <w:bottom w:val="single" w:sz="4" w:space="0" w:color="D8DEE2"/>
          <w:right w:val="single" w:sz="4" w:space="0" w:color="D8DEE2"/>
          <w:insideH w:val="single" w:sz="4" w:space="0" w:color="D8DEE2"/>
          <w:insideV w:val="single" w:sz="4" w:space="0" w:color="D8DEE2"/>
        </w:tblBorders>
      </w:tblPr>
      <w:tblGrid>
        <w:gridCol w:w="2448"/>
        <w:gridCol w:w="2448"/>
        <w:gridCol w:w="2448"/>
        <w:gridCol w:w="2448"/>
      </w:tblGrid>
      <w:tr>
        <w:tc>
          <w:tcPr>
            <w:tcW w:type="dxa" w:w="1512"/>
            <w:shd w:val="clear" w:fill="F0F3F4"/>
          </w:tcPr>
          <w:p>
            <w:r/>
            <w:r>
              <w:rPr>
                <w:rFonts w:ascii="Calibri" w:hAnsi="Calibri"/>
                <w:b/>
                <w:color w:val="667279"/>
                <w:sz w:val="14"/>
              </w:rPr>
              <w:t>STAGE</w:t>
            </w:r>
          </w:p>
        </w:tc>
        <w:tc>
          <w:tcPr>
            <w:tcW w:type="dxa" w:w="1440"/>
            <w:shd w:val="clear" w:fill="F0F3F4"/>
          </w:tcPr>
          <w:p>
            <w:r/>
            <w:r>
              <w:rPr>
                <w:rFonts w:ascii="Calibri" w:hAnsi="Calibri"/>
                <w:b/>
                <w:color w:val="667279"/>
                <w:sz w:val="14"/>
              </w:rPr>
              <w:t>MODULE KEY</w:t>
            </w:r>
          </w:p>
        </w:tc>
        <w:tc>
          <w:tcPr>
            <w:tcW w:type="dxa" w:w="3312"/>
            <w:shd w:val="clear" w:fill="F0F3F4"/>
          </w:tcPr>
          <w:p>
            <w:r/>
            <w:r>
              <w:rPr>
                <w:rFonts w:ascii="Calibri" w:hAnsi="Calibri"/>
                <w:b/>
                <w:color w:val="667279"/>
                <w:sz w:val="14"/>
              </w:rPr>
              <w:t>WHAT THE MODEL DRAFTS</w:t>
            </w:r>
          </w:p>
        </w:tc>
        <w:tc>
          <w:tcPr>
            <w:tcW w:type="dxa" w:w="3240"/>
            <w:shd w:val="clear" w:fill="F0F3F4"/>
          </w:tcPr>
          <w:p>
            <w:r/>
            <w:r>
              <w:rPr>
                <w:rFonts w:ascii="Calibri" w:hAnsi="Calibri"/>
                <w:b/>
                <w:color w:val="667279"/>
                <w:sz w:val="14"/>
              </w:rPr>
              <w:t>WHAT ARITHMETIC DECIDES</w:t>
            </w:r>
          </w:p>
        </w:tc>
      </w:tr>
      <w:tr>
        <w:tc>
          <w:tcPr>
            <w:tcW w:type="dxa" w:w="1512"/>
          </w:tcPr>
          <w:p>
            <w:pPr>
              <w:spacing w:line="288" w:lineRule="auto" w:after="20"/>
            </w:pPr>
            <w:r/>
            <w:r>
              <w:rPr>
                <w:rFonts w:ascii="Calibri" w:hAnsi="Calibri"/>
                <w:b/>
                <w:color w:val="172126"/>
                <w:sz w:val="17"/>
              </w:rPr>
              <w:t>Tender</w:t>
            </w:r>
          </w:p>
        </w:tc>
        <w:tc>
          <w:tcPr>
            <w:tcW w:type="dxa" w:w="1440"/>
          </w:tcPr>
          <w:p>
            <w:pPr>
              <w:spacing w:line="288" w:lineRule="auto" w:after="20"/>
            </w:pPr>
            <w:r/>
            <w:r>
              <w:rPr>
                <w:rFonts w:ascii="Consolas" w:hAnsi="Consolas"/>
                <w:b w:val="0"/>
                <w:color w:val="526068"/>
                <w:sz w:val="17"/>
              </w:rPr>
              <w:t>tenderlogix</w:t>
            </w:r>
          </w:p>
        </w:tc>
        <w:tc>
          <w:tcPr>
            <w:tcW w:type="dxa" w:w="3312"/>
          </w:tcPr>
          <w:p>
            <w:pPr>
              <w:spacing w:line="288" w:lineRule="auto" w:after="20"/>
            </w:pPr>
            <w:r/>
            <w:r>
              <w:rPr>
                <w:rFonts w:ascii="Calibri" w:hAnsi="Calibri"/>
                <w:b w:val="0"/>
                <w:color w:val="526068"/>
                <w:sz w:val="17"/>
              </w:rPr>
              <w:t>Requirement register traced to clause; qualification; clarifications</w:t>
            </w:r>
          </w:p>
        </w:tc>
        <w:tc>
          <w:tcPr>
            <w:tcW w:type="dxa" w:w="3240"/>
          </w:tcPr>
          <w:p>
            <w:pPr>
              <w:spacing w:line="288" w:lineRule="auto" w:after="20"/>
            </w:pPr>
            <w:r/>
            <w:r>
              <w:rPr>
                <w:rFonts w:ascii="Calibri" w:hAnsi="Calibri"/>
                <w:b w:val="0"/>
                <w:color w:val="526068"/>
                <w:sz w:val="17"/>
              </w:rPr>
              <w:t>Deadline arithmetic; completeness against the register</w:t>
            </w:r>
          </w:p>
        </w:tc>
      </w:tr>
      <w:tr>
        <w:tc>
          <w:tcPr>
            <w:tcW w:type="dxa" w:w="1512"/>
          </w:tcPr>
          <w:p>
            <w:pPr>
              <w:spacing w:line="288" w:lineRule="auto" w:after="20"/>
            </w:pPr>
            <w:r/>
            <w:r>
              <w:rPr>
                <w:rFonts w:ascii="Calibri" w:hAnsi="Calibri"/>
                <w:b/>
                <w:color w:val="172126"/>
                <w:sz w:val="17"/>
              </w:rPr>
              <w:t>Drawings</w:t>
            </w:r>
          </w:p>
        </w:tc>
        <w:tc>
          <w:tcPr>
            <w:tcW w:type="dxa" w:w="1440"/>
          </w:tcPr>
          <w:p>
            <w:pPr>
              <w:spacing w:line="288" w:lineRule="auto" w:after="20"/>
            </w:pPr>
            <w:r/>
            <w:r>
              <w:rPr>
                <w:rFonts w:ascii="Consolas" w:hAnsi="Consolas"/>
                <w:b w:val="0"/>
                <w:color w:val="526068"/>
                <w:sz w:val="17"/>
              </w:rPr>
              <w:t>drawlogix</w:t>
            </w:r>
          </w:p>
        </w:tc>
        <w:tc>
          <w:tcPr>
            <w:tcW w:type="dxa" w:w="3312"/>
          </w:tcPr>
          <w:p>
            <w:pPr>
              <w:spacing w:line="288" w:lineRule="auto" w:after="20"/>
            </w:pPr>
            <w:r/>
            <w:r>
              <w:rPr>
                <w:rFonts w:ascii="Calibri" w:hAnsi="Calibri"/>
                <w:b w:val="0"/>
                <w:color w:val="526068"/>
                <w:sz w:val="17"/>
              </w:rPr>
              <w:t>Sheet index; takeoff proposals per element</w:t>
            </w:r>
          </w:p>
        </w:tc>
        <w:tc>
          <w:tcPr>
            <w:tcW w:type="dxa" w:w="3240"/>
          </w:tcPr>
          <w:p>
            <w:pPr>
              <w:spacing w:line="288" w:lineRule="auto" w:after="20"/>
            </w:pPr>
            <w:r/>
            <w:r>
              <w:rPr>
                <w:rFonts w:ascii="Calibri" w:hAnsi="Calibri"/>
                <w:b w:val="0"/>
                <w:color w:val="526068"/>
                <w:sz w:val="17"/>
              </w:rPr>
              <w:t>All geometry — areas, lengths, block counts, dimensions</w:t>
            </w:r>
          </w:p>
        </w:tc>
      </w:tr>
      <w:tr>
        <w:tc>
          <w:tcPr>
            <w:tcW w:type="dxa" w:w="1512"/>
          </w:tcPr>
          <w:p>
            <w:pPr>
              <w:spacing w:line="288" w:lineRule="auto" w:after="20"/>
            </w:pPr>
            <w:r/>
            <w:r>
              <w:rPr>
                <w:rFonts w:ascii="Calibri" w:hAnsi="Calibri"/>
                <w:b/>
                <w:color w:val="172126"/>
                <w:sz w:val="17"/>
              </w:rPr>
              <w:t>Specs</w:t>
            </w:r>
          </w:p>
        </w:tc>
        <w:tc>
          <w:tcPr>
            <w:tcW w:type="dxa" w:w="1440"/>
          </w:tcPr>
          <w:p>
            <w:pPr>
              <w:spacing w:line="288" w:lineRule="auto" w:after="20"/>
            </w:pPr>
            <w:r/>
            <w:r>
              <w:rPr>
                <w:rFonts w:ascii="Consolas" w:hAnsi="Consolas"/>
                <w:b w:val="0"/>
                <w:color w:val="526068"/>
                <w:sz w:val="17"/>
              </w:rPr>
              <w:t>doclogix</w:t>
            </w:r>
          </w:p>
        </w:tc>
        <w:tc>
          <w:tcPr>
            <w:tcW w:type="dxa" w:w="3312"/>
          </w:tcPr>
          <w:p>
            <w:pPr>
              <w:spacing w:line="288" w:lineRule="auto" w:after="20"/>
            </w:pPr>
            <w:r/>
            <w:r>
              <w:rPr>
                <w:rFonts w:ascii="Calibri" w:hAnsi="Calibri"/>
                <w:b w:val="0"/>
                <w:color w:val="526068"/>
                <w:sz w:val="17"/>
              </w:rPr>
              <w:t>Pack classification; specification clauses with citations</w:t>
            </w:r>
          </w:p>
        </w:tc>
        <w:tc>
          <w:tcPr>
            <w:tcW w:type="dxa" w:w="3240"/>
          </w:tcPr>
          <w:p>
            <w:pPr>
              <w:spacing w:line="288" w:lineRule="auto" w:after="20"/>
            </w:pPr>
            <w:r/>
            <w:r>
              <w:rPr>
                <w:rFonts w:ascii="Calibri" w:hAnsi="Calibri"/>
                <w:b w:val="0"/>
                <w:color w:val="526068"/>
                <w:sz w:val="17"/>
              </w:rPr>
              <w:t>Revision supersession; retention; transmittal numbering</w:t>
            </w:r>
          </w:p>
        </w:tc>
      </w:tr>
      <w:tr>
        <w:tc>
          <w:tcPr>
            <w:tcW w:type="dxa" w:w="1512"/>
          </w:tcPr>
          <w:p>
            <w:pPr>
              <w:spacing w:line="288" w:lineRule="auto" w:after="20"/>
            </w:pPr>
            <w:r/>
            <w:r>
              <w:rPr>
                <w:rFonts w:ascii="Calibri" w:hAnsi="Calibri"/>
                <w:b/>
                <w:color w:val="172126"/>
                <w:sz w:val="17"/>
              </w:rPr>
              <w:t>BOQ</w:t>
            </w:r>
          </w:p>
        </w:tc>
        <w:tc>
          <w:tcPr>
            <w:tcW w:type="dxa" w:w="1440"/>
          </w:tcPr>
          <w:p>
            <w:pPr>
              <w:spacing w:line="288" w:lineRule="auto" w:after="20"/>
            </w:pPr>
            <w:r/>
            <w:r>
              <w:rPr>
                <w:rFonts w:ascii="Consolas" w:hAnsi="Consolas"/>
                <w:b w:val="0"/>
                <w:color w:val="526068"/>
                <w:sz w:val="17"/>
              </w:rPr>
              <w:t>quantlogix</w:t>
            </w:r>
          </w:p>
        </w:tc>
        <w:tc>
          <w:tcPr>
            <w:tcW w:type="dxa" w:w="3312"/>
          </w:tcPr>
          <w:p>
            <w:pPr>
              <w:spacing w:line="288" w:lineRule="auto" w:after="20"/>
            </w:pPr>
            <w:r/>
            <w:r>
              <w:rPr>
                <w:rFonts w:ascii="Calibri" w:hAnsi="Calibri"/>
                <w:b w:val="0"/>
                <w:color w:val="526068"/>
                <w:sz w:val="17"/>
              </w:rPr>
              <w:t>Line descriptions, trade grouping, unit selection</w:t>
            </w:r>
          </w:p>
        </w:tc>
        <w:tc>
          <w:tcPr>
            <w:tcW w:type="dxa" w:w="3240"/>
          </w:tcPr>
          <w:p>
            <w:pPr>
              <w:spacing w:line="288" w:lineRule="auto" w:after="20"/>
            </w:pPr>
            <w:r/>
            <w:r>
              <w:rPr>
                <w:rFonts w:ascii="Calibri" w:hAnsi="Calibri"/>
                <w:b w:val="0"/>
                <w:color w:val="526068"/>
                <w:sz w:val="17"/>
              </w:rPr>
              <w:t>Quantities; nine canonical units</w:t>
            </w:r>
          </w:p>
        </w:tc>
      </w:tr>
      <w:tr>
        <w:tc>
          <w:tcPr>
            <w:tcW w:type="dxa" w:w="1512"/>
          </w:tcPr>
          <w:p>
            <w:pPr>
              <w:spacing w:line="288" w:lineRule="auto" w:after="20"/>
            </w:pPr>
            <w:r/>
            <w:r>
              <w:rPr>
                <w:rFonts w:ascii="Calibri" w:hAnsi="Calibri"/>
                <w:b/>
                <w:color w:val="172126"/>
                <w:sz w:val="17"/>
              </w:rPr>
              <w:t>Estimate</w:t>
            </w:r>
          </w:p>
        </w:tc>
        <w:tc>
          <w:tcPr>
            <w:tcW w:type="dxa" w:w="1440"/>
          </w:tcPr>
          <w:p>
            <w:pPr>
              <w:spacing w:line="288" w:lineRule="auto" w:after="20"/>
            </w:pPr>
            <w:r/>
            <w:r>
              <w:rPr>
                <w:rFonts w:ascii="Consolas" w:hAnsi="Consolas"/>
                <w:b w:val="0"/>
                <w:color w:val="526068"/>
                <w:sz w:val="17"/>
              </w:rPr>
              <w:t>costlogix</w:t>
            </w:r>
          </w:p>
        </w:tc>
        <w:tc>
          <w:tcPr>
            <w:tcW w:type="dxa" w:w="3312"/>
          </w:tcPr>
          <w:p>
            <w:pPr>
              <w:spacing w:line="288" w:lineRule="auto" w:after="20"/>
            </w:pPr>
            <w:r/>
            <w:r>
              <w:rPr>
                <w:rFonts w:ascii="Calibri" w:hAnsi="Calibri"/>
                <w:b w:val="0"/>
                <w:color w:val="526068"/>
                <w:sz w:val="17"/>
              </w:rPr>
              <w:t>Rate reasoning and assembly selection</w:t>
            </w:r>
          </w:p>
        </w:tc>
        <w:tc>
          <w:tcPr>
            <w:tcW w:type="dxa" w:w="3240"/>
          </w:tcPr>
          <w:p>
            <w:pPr>
              <w:spacing w:line="288" w:lineRule="auto" w:after="20"/>
            </w:pPr>
            <w:r/>
            <w:r>
              <w:rPr>
                <w:rFonts w:ascii="Calibri" w:hAnsi="Calibri"/>
                <w:b w:val="0"/>
                <w:color w:val="526068"/>
                <w:sz w:val="17"/>
              </w:rPr>
              <w:t>Every total — extension, roll-up, margin</w:t>
            </w:r>
          </w:p>
        </w:tc>
      </w:tr>
      <w:tr>
        <w:tc>
          <w:tcPr>
            <w:tcW w:type="dxa" w:w="1512"/>
          </w:tcPr>
          <w:p>
            <w:pPr>
              <w:spacing w:line="288" w:lineRule="auto" w:after="20"/>
            </w:pPr>
            <w:r/>
            <w:r>
              <w:rPr>
                <w:rFonts w:ascii="Calibri" w:hAnsi="Calibri"/>
                <w:b/>
                <w:color w:val="172126"/>
                <w:sz w:val="17"/>
              </w:rPr>
              <w:t>Schedule</w:t>
            </w:r>
          </w:p>
        </w:tc>
        <w:tc>
          <w:tcPr>
            <w:tcW w:type="dxa" w:w="1440"/>
          </w:tcPr>
          <w:p>
            <w:pPr>
              <w:spacing w:line="288" w:lineRule="auto" w:after="20"/>
            </w:pPr>
            <w:r/>
            <w:r>
              <w:rPr>
                <w:rFonts w:ascii="Consolas" w:hAnsi="Consolas"/>
                <w:b w:val="0"/>
                <w:color w:val="526068"/>
                <w:sz w:val="17"/>
              </w:rPr>
              <w:t>schedulelogix</w:t>
            </w:r>
          </w:p>
        </w:tc>
        <w:tc>
          <w:tcPr>
            <w:tcW w:type="dxa" w:w="3312"/>
          </w:tcPr>
          <w:p>
            <w:pPr>
              <w:spacing w:line="288" w:lineRule="auto" w:after="20"/>
            </w:pPr>
            <w:r/>
            <w:r>
              <w:rPr>
                <w:rFonts w:ascii="Calibri" w:hAnsi="Calibri"/>
                <w:b w:val="0"/>
                <w:color w:val="526068"/>
                <w:sz w:val="17"/>
              </w:rPr>
              <w:t>Activity breakdown, sequencing logic, durations</w:t>
            </w:r>
          </w:p>
        </w:tc>
        <w:tc>
          <w:tcPr>
            <w:tcW w:type="dxa" w:w="3240"/>
          </w:tcPr>
          <w:p>
            <w:pPr>
              <w:spacing w:line="288" w:lineRule="auto" w:after="20"/>
            </w:pPr>
            <w:r/>
            <w:r>
              <w:rPr>
                <w:rFonts w:ascii="Calibri" w:hAnsi="Calibri"/>
                <w:b w:val="0"/>
                <w:color w:val="526068"/>
                <w:sz w:val="17"/>
              </w:rPr>
              <w:t>The critical path; four link types with lead and lag</w:t>
            </w:r>
          </w:p>
        </w:tc>
      </w:tr>
      <w:tr>
        <w:tc>
          <w:tcPr>
            <w:tcW w:type="dxa" w:w="1512"/>
          </w:tcPr>
          <w:p>
            <w:pPr>
              <w:spacing w:line="288" w:lineRule="auto" w:after="20"/>
            </w:pPr>
            <w:r/>
            <w:r>
              <w:rPr>
                <w:rFonts w:ascii="Calibri" w:hAnsi="Calibri"/>
                <w:b/>
                <w:color w:val="172126"/>
                <w:sz w:val="17"/>
              </w:rPr>
              <w:t>Technical Narrative</w:t>
            </w:r>
          </w:p>
        </w:tc>
        <w:tc>
          <w:tcPr>
            <w:tcW w:type="dxa" w:w="1440"/>
          </w:tcPr>
          <w:p>
            <w:pPr>
              <w:spacing w:line="288" w:lineRule="auto" w:after="20"/>
            </w:pPr>
            <w:r/>
            <w:r>
              <w:rPr>
                <w:rFonts w:ascii="Consolas" w:hAnsi="Consolas"/>
                <w:b w:val="0"/>
                <w:color w:val="526068"/>
                <w:sz w:val="17"/>
              </w:rPr>
              <w:t>narrativelogix</w:t>
            </w:r>
          </w:p>
        </w:tc>
        <w:tc>
          <w:tcPr>
            <w:tcW w:type="dxa" w:w="3312"/>
          </w:tcPr>
          <w:p>
            <w:pPr>
              <w:spacing w:line="288" w:lineRule="auto" w:after="20"/>
            </w:pPr>
            <w:r/>
            <w:r>
              <w:rPr>
                <w:rFonts w:ascii="Calibri" w:hAnsi="Calibri"/>
                <w:b w:val="0"/>
                <w:color w:val="526068"/>
                <w:sz w:val="17"/>
              </w:rPr>
              <w:t>Narrative and proposal assembly</w:t>
            </w:r>
          </w:p>
        </w:tc>
        <w:tc>
          <w:tcPr>
            <w:tcW w:type="dxa" w:w="3240"/>
          </w:tcPr>
          <w:p>
            <w:pPr>
              <w:spacing w:line="288" w:lineRule="auto" w:after="20"/>
            </w:pPr>
            <w:r/>
            <w:r>
              <w:rPr>
                <w:rFonts w:ascii="Calibri" w:hAnsi="Calibri"/>
                <w:b w:val="0"/>
                <w:color w:val="526068"/>
                <w:sz w:val="17"/>
              </w:rPr>
              <w:t>Citations; figures from approved artifacts only</w:t>
            </w:r>
          </w:p>
        </w:tc>
      </w:tr>
      <w:tr>
        <w:tc>
          <w:tcPr>
            <w:tcW w:type="dxa" w:w="1512"/>
          </w:tcPr>
          <w:p>
            <w:pPr>
              <w:spacing w:line="288" w:lineRule="auto" w:after="20"/>
            </w:pPr>
            <w:r/>
            <w:r>
              <w:rPr>
                <w:rFonts w:ascii="Calibri" w:hAnsi="Calibri"/>
                <w:b/>
                <w:color w:val="172126"/>
                <w:sz w:val="17"/>
              </w:rPr>
              <w:t>Procurement</w:t>
            </w:r>
          </w:p>
        </w:tc>
        <w:tc>
          <w:tcPr>
            <w:tcW w:type="dxa" w:w="1440"/>
          </w:tcPr>
          <w:p>
            <w:pPr>
              <w:spacing w:line="288" w:lineRule="auto" w:after="20"/>
            </w:pPr>
            <w:r/>
            <w:r>
              <w:rPr>
                <w:rFonts w:ascii="Consolas" w:hAnsi="Consolas"/>
                <w:b w:val="0"/>
                <w:color w:val="526068"/>
                <w:sz w:val="17"/>
              </w:rPr>
              <w:t>procurelogix</w:t>
            </w:r>
          </w:p>
        </w:tc>
        <w:tc>
          <w:tcPr>
            <w:tcW w:type="dxa" w:w="3312"/>
          </w:tcPr>
          <w:p>
            <w:pPr>
              <w:spacing w:line="288" w:lineRule="auto" w:after="20"/>
            </w:pPr>
            <w:r/>
            <w:r>
              <w:rPr>
                <w:rFonts w:ascii="Calibri" w:hAnsi="Calibri"/>
                <w:b w:val="0"/>
                <w:color w:val="526068"/>
                <w:sz w:val="17"/>
              </w:rPr>
              <w:t>Package boundaries and scope splits</w:t>
            </w:r>
          </w:p>
        </w:tc>
        <w:tc>
          <w:tcPr>
            <w:tcW w:type="dxa" w:w="3240"/>
          </w:tcPr>
          <w:p>
            <w:pPr>
              <w:spacing w:line="288" w:lineRule="auto" w:after="20"/>
            </w:pPr>
            <w:r/>
            <w:r>
              <w:rPr>
                <w:rFonts w:ascii="Calibri" w:hAnsi="Calibri"/>
                <w:b w:val="0"/>
                <w:color w:val="526068"/>
                <w:sz w:val="17"/>
              </w:rPr>
              <w:t>Commitment arithmetic; coverage against the bill</w:t>
            </w:r>
          </w:p>
        </w:tc>
      </w:tr>
      <w:tr>
        <w:tc>
          <w:tcPr>
            <w:tcW w:type="dxa" w:w="1512"/>
          </w:tcPr>
          <w:p>
            <w:pPr>
              <w:spacing w:line="288" w:lineRule="auto" w:after="20"/>
            </w:pPr>
            <w:r/>
            <w:r>
              <w:rPr>
                <w:rFonts w:ascii="Calibri" w:hAnsi="Calibri"/>
                <w:b/>
                <w:color w:val="172126"/>
                <w:sz w:val="17"/>
              </w:rPr>
              <w:t>Underwriting</w:t>
            </w:r>
          </w:p>
        </w:tc>
        <w:tc>
          <w:tcPr>
            <w:tcW w:type="dxa" w:w="1440"/>
          </w:tcPr>
          <w:p>
            <w:pPr>
              <w:spacing w:line="288" w:lineRule="auto" w:after="20"/>
            </w:pPr>
            <w:r/>
            <w:r>
              <w:rPr>
                <w:rFonts w:ascii="Consolas" w:hAnsi="Consolas"/>
                <w:b w:val="0"/>
                <w:color w:val="526068"/>
                <w:sz w:val="17"/>
              </w:rPr>
              <w:t>underwriting</w:t>
            </w:r>
          </w:p>
        </w:tc>
        <w:tc>
          <w:tcPr>
            <w:tcW w:type="dxa" w:w="3312"/>
          </w:tcPr>
          <w:p>
            <w:pPr>
              <w:spacing w:line="288" w:lineRule="auto" w:after="20"/>
            </w:pPr>
            <w:r/>
            <w:r>
              <w:rPr>
                <w:rFonts w:ascii="Calibri" w:hAnsi="Calibri"/>
                <w:b w:val="0"/>
                <w:color w:val="526068"/>
                <w:sz w:val="17"/>
              </w:rPr>
              <w:t>Exposure and risk narrative</w:t>
            </w:r>
          </w:p>
        </w:tc>
        <w:tc>
          <w:tcPr>
            <w:tcW w:type="dxa" w:w="3240"/>
          </w:tcPr>
          <w:p>
            <w:pPr>
              <w:spacing w:line="288" w:lineRule="auto" w:after="20"/>
            </w:pPr>
            <w:r/>
            <w:r>
              <w:rPr>
                <w:rFonts w:ascii="Calibri" w:hAnsi="Calibri"/>
                <w:b w:val="0"/>
                <w:color w:val="526068"/>
                <w:sz w:val="17"/>
              </w:rPr>
              <w:t>Pricing, limits, referral thresholds</w:t>
            </w:r>
          </w:p>
        </w:tc>
      </w:tr>
    </w:tbl>
    <w:p>
      <w:pPr>
        <w:spacing w:after="60"/>
      </w:pPr>
    </w:p>
    <w:p>
      <w:pPr>
        <w:spacing w:before="280" w:after="100" w:line="312" w:lineRule="auto"/>
      </w:pPr>
      <w:r>
        <w:rPr>
          <w:rFonts w:ascii="Calibri" w:hAnsi="Calibri"/>
          <w:b/>
          <w:i w:val="0"/>
          <w:color w:val="172126"/>
          <w:sz w:val="24"/>
        </w:rPr>
        <w:t>3.1  The seventeen artifact types</w:t>
      </w:r>
    </w:p>
    <w:p>
      <w:pPr>
        <w:spacing w:before="40" w:after="160" w:line="300" w:lineRule="auto"/>
        <w:ind w:left="259"/>
      </w:pPr>
      <w:r>
        <w:rPr>
          <w:rFonts w:ascii="Consolas" w:hAnsi="Consolas"/>
          <w:color w:val="526068"/>
          <w:sz w:val="17"/>
        </w:rPr>
        <w:t>bid_approval        bid_decision        boq_line            client_query</w:t>
        <w:br/>
        <w:t>compliance_item     cost_line           document            drawing_index</w:t>
        <w:br/>
        <w:t>drawing_measurement procurement_package proposal_doc        rfi</w:t>
        <w:br/>
        <w:t>risk                schedule_activity   spec_clause         standard_violation</w:t>
        <w:br/>
        <w:t>tender_summary</w:t>
      </w:r>
    </w:p>
    <w:p>
      <w:pPr>
        <w:spacing w:before="0" w:after="160" w:line="312" w:lineRule="auto"/>
      </w:pPr>
      <w:r>
        <w:rPr>
          <w:rFonts w:ascii="Georgia" w:hAnsi="Georgia"/>
          <w:b w:val="0"/>
          <w:i w:val="0"/>
          <w:color w:val="526068"/>
          <w:sz w:val="20"/>
        </w:rPr>
        <w:t>Every one of these is a row in the same artifact table with the same lifecycle. That uniformity is what lets one review interaction serve nine modules, and what makes provenance a property of the system rather than a feature of a module.</w:t>
      </w:r>
    </w:p>
    <w:p>
      <w:r>
        <w:br w:type="page"/>
      </w:r>
    </w:p>
    <w:p>
      <w:pPr>
        <w:spacing w:before="0" w:after="60" w:line="312" w:lineRule="auto"/>
      </w:pPr>
      <w:r>
        <w:rPr>
          <w:rFonts w:ascii="Consolas" w:hAnsi="Consolas"/>
          <w:b/>
          <w:i w:val="0"/>
          <w:color w:val="087E75"/>
          <w:sz w:val="15"/>
        </w:rPr>
        <w:t>CHAPTER 4</w:t>
      </w:r>
    </w:p>
    <w:p>
      <w:pPr>
        <w:spacing w:before="0" w:after="160" w:line="252" w:lineRule="auto"/>
      </w:pPr>
      <w:r>
        <w:rPr>
          <w:rFonts w:ascii="Georgia" w:hAnsi="Georgia"/>
          <w:b/>
          <w:i w:val="0"/>
          <w:color w:val="172126"/>
          <w:sz w:val="40"/>
        </w:rPr>
        <w:t>Workflows</w:t>
      </w:r>
    </w:p>
    <w:p>
      <w:pPr>
        <w:spacing w:before="0" w:after="200" w:line="312" w:lineRule="auto"/>
      </w:pPr>
      <w:r>
        <w:rPr>
          <w:rFonts w:ascii="Georgia" w:hAnsi="Georgia"/>
          <w:b w:val="0"/>
          <w:i w:val="0"/>
          <w:color w:val="526068"/>
          <w:sz w:val="22"/>
        </w:rPr>
        <w:t>Twelve registered workflows. Each is a versioned directed graph of agent, gate and map nodes, stored as JSON against a module key.</w:t>
      </w:r>
    </w:p>
    <w:p>
      <w:pPr>
        <w:spacing w:before="280" w:after="100" w:line="312" w:lineRule="auto"/>
      </w:pPr>
      <w:r>
        <w:rPr>
          <w:rFonts w:ascii="Calibri" w:hAnsi="Calibri"/>
          <w:b/>
          <w:i w:val="0"/>
          <w:color w:val="172126"/>
          <w:sz w:val="24"/>
        </w:rPr>
        <w:t>4.1  The registry</w:t>
      </w:r>
    </w:p>
    <w:tbl>
      <w:tblPr>
        <w:tblW w:type="auto" w:w="0"/>
        <w:jc w:val="left"/>
        <w:tblLook w:firstColumn="1" w:firstRow="1" w:lastColumn="0" w:lastRow="0" w:noHBand="0" w:noVBand="1" w:val="04A0"/>
        <w:tblBorders>
          <w:top w:val="single" w:sz="4" w:space="0" w:color="D8DEE2"/>
          <w:left w:val="single" w:sz="4" w:space="0" w:color="D8DEE2"/>
          <w:bottom w:val="single" w:sz="4" w:space="0" w:color="D8DEE2"/>
          <w:right w:val="single" w:sz="4" w:space="0" w:color="D8DEE2"/>
          <w:insideH w:val="single" w:sz="4" w:space="0" w:color="D8DEE2"/>
          <w:insideV w:val="single" w:sz="4" w:space="0" w:color="D8DEE2"/>
        </w:tblBorders>
      </w:tblPr>
      <w:tblGrid>
        <w:gridCol w:w="3264"/>
        <w:gridCol w:w="3264"/>
        <w:gridCol w:w="3264"/>
      </w:tblGrid>
      <w:tr>
        <w:tc>
          <w:tcPr>
            <w:tcW w:type="dxa" w:w="3312"/>
            <w:shd w:val="clear" w:fill="F0F3F4"/>
          </w:tcPr>
          <w:p>
            <w:r/>
            <w:r>
              <w:rPr>
                <w:rFonts w:ascii="Calibri" w:hAnsi="Calibri"/>
                <w:b/>
                <w:color w:val="667279"/>
                <w:sz w:val="14"/>
              </w:rPr>
              <w:t>WORKFLOW KEY</w:t>
            </w:r>
          </w:p>
        </w:tc>
        <w:tc>
          <w:tcPr>
            <w:tcW w:type="dxa" w:w="3456"/>
            <w:shd w:val="clear" w:fill="F0F3F4"/>
          </w:tcPr>
          <w:p>
            <w:r/>
            <w:r>
              <w:rPr>
                <w:rFonts w:ascii="Calibri" w:hAnsi="Calibri"/>
                <w:b/>
                <w:color w:val="667279"/>
                <w:sz w:val="14"/>
              </w:rPr>
              <w:t>NAME</w:t>
            </w:r>
          </w:p>
        </w:tc>
        <w:tc>
          <w:tcPr>
            <w:tcW w:type="dxa" w:w="2736"/>
            <w:shd w:val="clear" w:fill="F0F3F4"/>
          </w:tcPr>
          <w:p>
            <w:r/>
            <w:r>
              <w:rPr>
                <w:rFonts w:ascii="Calibri" w:hAnsi="Calibri"/>
                <w:b/>
                <w:color w:val="667279"/>
                <w:sz w:val="14"/>
              </w:rPr>
              <w:t>MODULE</w:t>
            </w:r>
          </w:p>
        </w:tc>
      </w:tr>
      <w:tr>
        <w:tc>
          <w:tcPr>
            <w:tcW w:type="dxa" w:w="3312"/>
          </w:tcPr>
          <w:p>
            <w:pPr>
              <w:spacing w:line="288" w:lineRule="auto" w:after="20"/>
            </w:pPr>
            <w:r/>
            <w:r>
              <w:rPr>
                <w:rFonts w:ascii="Consolas" w:hAnsi="Consolas"/>
                <w:b/>
                <w:color w:val="172126"/>
                <w:sz w:val="17"/>
              </w:rPr>
              <w:t>workflow.tenderlogix</w:t>
            </w:r>
          </w:p>
        </w:tc>
        <w:tc>
          <w:tcPr>
            <w:tcW w:type="dxa" w:w="3456"/>
          </w:tcPr>
          <w:p>
            <w:pPr>
              <w:spacing w:line="288" w:lineRule="auto" w:after="20"/>
            </w:pPr>
            <w:r/>
            <w:r>
              <w:rPr>
                <w:rFonts w:ascii="Calibri" w:hAnsi="Calibri"/>
                <w:b w:val="0"/>
                <w:color w:val="526068"/>
                <w:sz w:val="17"/>
              </w:rPr>
              <w:t>TenderLogix</w:t>
            </w:r>
          </w:p>
        </w:tc>
        <w:tc>
          <w:tcPr>
            <w:tcW w:type="dxa" w:w="2736"/>
          </w:tcPr>
          <w:p>
            <w:pPr>
              <w:spacing w:line="288" w:lineRule="auto" w:after="20"/>
            </w:pPr>
            <w:r/>
            <w:r>
              <w:rPr>
                <w:rFonts w:ascii="Consolas" w:hAnsi="Consolas"/>
                <w:b w:val="0"/>
                <w:color w:val="526068"/>
                <w:sz w:val="17"/>
              </w:rPr>
              <w:t>tenderlogix</w:t>
            </w:r>
          </w:p>
        </w:tc>
      </w:tr>
      <w:tr>
        <w:tc>
          <w:tcPr>
            <w:tcW w:type="dxa" w:w="3312"/>
          </w:tcPr>
          <w:p>
            <w:pPr>
              <w:spacing w:line="288" w:lineRule="auto" w:after="20"/>
            </w:pPr>
            <w:r/>
            <w:r>
              <w:rPr>
                <w:rFonts w:ascii="Consolas" w:hAnsi="Consolas"/>
                <w:b/>
                <w:color w:val="172126"/>
                <w:sz w:val="17"/>
              </w:rPr>
              <w:t>workflow.tenderlogix.skeleton</w:t>
            </w:r>
          </w:p>
        </w:tc>
        <w:tc>
          <w:tcPr>
            <w:tcW w:type="dxa" w:w="3456"/>
          </w:tcPr>
          <w:p>
            <w:pPr>
              <w:spacing w:line="288" w:lineRule="auto" w:after="20"/>
            </w:pPr>
            <w:r/>
            <w:r>
              <w:rPr>
                <w:rFonts w:ascii="Calibri" w:hAnsi="Calibri"/>
                <w:b w:val="0"/>
                <w:color w:val="526068"/>
                <w:sz w:val="17"/>
              </w:rPr>
              <w:t>TenderLogix (walking skeleton)</w:t>
            </w:r>
          </w:p>
        </w:tc>
        <w:tc>
          <w:tcPr>
            <w:tcW w:type="dxa" w:w="2736"/>
          </w:tcPr>
          <w:p>
            <w:pPr>
              <w:spacing w:line="288" w:lineRule="auto" w:after="20"/>
            </w:pPr>
            <w:r/>
            <w:r>
              <w:rPr>
                <w:rFonts w:ascii="Consolas" w:hAnsi="Consolas"/>
                <w:b w:val="0"/>
                <w:color w:val="526068"/>
                <w:sz w:val="17"/>
              </w:rPr>
              <w:t>tenderlogix</w:t>
            </w:r>
          </w:p>
        </w:tc>
      </w:tr>
      <w:tr>
        <w:tc>
          <w:tcPr>
            <w:tcW w:type="dxa" w:w="3312"/>
          </w:tcPr>
          <w:p>
            <w:pPr>
              <w:spacing w:line="288" w:lineRule="auto" w:after="20"/>
            </w:pPr>
            <w:r/>
            <w:r>
              <w:rPr>
                <w:rFonts w:ascii="Consolas" w:hAnsi="Consolas"/>
                <w:b/>
                <w:color w:val="172126"/>
                <w:sz w:val="17"/>
              </w:rPr>
              <w:t>workflow.bidassembly</w:t>
            </w:r>
          </w:p>
        </w:tc>
        <w:tc>
          <w:tcPr>
            <w:tcW w:type="dxa" w:w="3456"/>
          </w:tcPr>
          <w:p>
            <w:pPr>
              <w:spacing w:line="288" w:lineRule="auto" w:after="20"/>
            </w:pPr>
            <w:r/>
            <w:r>
              <w:rPr>
                <w:rFonts w:ascii="Calibri" w:hAnsi="Calibri"/>
                <w:b w:val="0"/>
                <w:color w:val="526068"/>
                <w:sz w:val="17"/>
              </w:rPr>
              <w:t>BidAssembly</w:t>
            </w:r>
          </w:p>
        </w:tc>
        <w:tc>
          <w:tcPr>
            <w:tcW w:type="dxa" w:w="2736"/>
          </w:tcPr>
          <w:p>
            <w:pPr>
              <w:spacing w:line="288" w:lineRule="auto" w:after="20"/>
            </w:pPr>
            <w:r/>
            <w:r>
              <w:rPr>
                <w:rFonts w:ascii="Consolas" w:hAnsi="Consolas"/>
                <w:b w:val="0"/>
                <w:color w:val="526068"/>
                <w:sz w:val="17"/>
              </w:rPr>
              <w:t>tenderlogix</w:t>
            </w:r>
          </w:p>
        </w:tc>
      </w:tr>
      <w:tr>
        <w:tc>
          <w:tcPr>
            <w:tcW w:type="dxa" w:w="3312"/>
          </w:tcPr>
          <w:p>
            <w:pPr>
              <w:spacing w:line="288" w:lineRule="auto" w:after="20"/>
            </w:pPr>
            <w:r/>
            <w:r>
              <w:rPr>
                <w:rFonts w:ascii="Consolas" w:hAnsi="Consolas"/>
                <w:b/>
                <w:color w:val="172126"/>
                <w:sz w:val="17"/>
              </w:rPr>
              <w:t>workflow.bidqualification</w:t>
            </w:r>
          </w:p>
        </w:tc>
        <w:tc>
          <w:tcPr>
            <w:tcW w:type="dxa" w:w="3456"/>
          </w:tcPr>
          <w:p>
            <w:pPr>
              <w:spacing w:line="288" w:lineRule="auto" w:after="20"/>
            </w:pPr>
            <w:r/>
            <w:r>
              <w:rPr>
                <w:rFonts w:ascii="Calibri" w:hAnsi="Calibri"/>
                <w:b w:val="0"/>
                <w:color w:val="526068"/>
                <w:sz w:val="17"/>
              </w:rPr>
              <w:t>BidQualification</w:t>
            </w:r>
          </w:p>
        </w:tc>
        <w:tc>
          <w:tcPr>
            <w:tcW w:type="dxa" w:w="2736"/>
          </w:tcPr>
          <w:p>
            <w:pPr>
              <w:spacing w:line="288" w:lineRule="auto" w:after="20"/>
            </w:pPr>
            <w:r/>
            <w:r>
              <w:rPr>
                <w:rFonts w:ascii="Consolas" w:hAnsi="Consolas"/>
                <w:b w:val="0"/>
                <w:color w:val="526068"/>
                <w:sz w:val="17"/>
              </w:rPr>
              <w:t>tenderlogix</w:t>
            </w:r>
          </w:p>
        </w:tc>
      </w:tr>
      <w:tr>
        <w:tc>
          <w:tcPr>
            <w:tcW w:type="dxa" w:w="3312"/>
          </w:tcPr>
          <w:p>
            <w:pPr>
              <w:spacing w:line="288" w:lineRule="auto" w:after="20"/>
            </w:pPr>
            <w:r/>
            <w:r>
              <w:rPr>
                <w:rFonts w:ascii="Consolas" w:hAnsi="Consolas"/>
                <w:b/>
                <w:color w:val="172126"/>
                <w:sz w:val="17"/>
              </w:rPr>
              <w:t>workflow.clarificationloop</w:t>
            </w:r>
          </w:p>
        </w:tc>
        <w:tc>
          <w:tcPr>
            <w:tcW w:type="dxa" w:w="3456"/>
          </w:tcPr>
          <w:p>
            <w:pPr>
              <w:spacing w:line="288" w:lineRule="auto" w:after="20"/>
            </w:pPr>
            <w:r/>
            <w:r>
              <w:rPr>
                <w:rFonts w:ascii="Calibri" w:hAnsi="Calibri"/>
                <w:b w:val="0"/>
                <w:color w:val="526068"/>
                <w:sz w:val="17"/>
              </w:rPr>
              <w:t>ClarificationLoop</w:t>
            </w:r>
          </w:p>
        </w:tc>
        <w:tc>
          <w:tcPr>
            <w:tcW w:type="dxa" w:w="2736"/>
          </w:tcPr>
          <w:p>
            <w:pPr>
              <w:spacing w:line="288" w:lineRule="auto" w:after="20"/>
            </w:pPr>
            <w:r/>
            <w:r>
              <w:rPr>
                <w:rFonts w:ascii="Consolas" w:hAnsi="Consolas"/>
                <w:b w:val="0"/>
                <w:color w:val="526068"/>
                <w:sz w:val="17"/>
              </w:rPr>
              <w:t>tenderlogix</w:t>
            </w:r>
          </w:p>
        </w:tc>
      </w:tr>
      <w:tr>
        <w:tc>
          <w:tcPr>
            <w:tcW w:type="dxa" w:w="3312"/>
          </w:tcPr>
          <w:p>
            <w:pPr>
              <w:spacing w:line="288" w:lineRule="auto" w:after="20"/>
            </w:pPr>
            <w:r/>
            <w:r>
              <w:rPr>
                <w:rFonts w:ascii="Consolas" w:hAnsi="Consolas"/>
                <w:b/>
                <w:color w:val="172126"/>
                <w:sz w:val="17"/>
              </w:rPr>
              <w:t>workflow.riskreview</w:t>
            </w:r>
          </w:p>
        </w:tc>
        <w:tc>
          <w:tcPr>
            <w:tcW w:type="dxa" w:w="3456"/>
          </w:tcPr>
          <w:p>
            <w:pPr>
              <w:spacing w:line="288" w:lineRule="auto" w:after="20"/>
            </w:pPr>
            <w:r/>
            <w:r>
              <w:rPr>
                <w:rFonts w:ascii="Calibri" w:hAnsi="Calibri"/>
                <w:b w:val="0"/>
                <w:color w:val="526068"/>
                <w:sz w:val="17"/>
              </w:rPr>
              <w:t>RiskReview</w:t>
            </w:r>
          </w:p>
        </w:tc>
        <w:tc>
          <w:tcPr>
            <w:tcW w:type="dxa" w:w="2736"/>
          </w:tcPr>
          <w:p>
            <w:pPr>
              <w:spacing w:line="288" w:lineRule="auto" w:after="20"/>
            </w:pPr>
            <w:r/>
            <w:r>
              <w:rPr>
                <w:rFonts w:ascii="Consolas" w:hAnsi="Consolas"/>
                <w:b w:val="0"/>
                <w:color w:val="526068"/>
                <w:sz w:val="17"/>
              </w:rPr>
              <w:t>tenderlogix</w:t>
            </w:r>
          </w:p>
        </w:tc>
      </w:tr>
      <w:tr>
        <w:tc>
          <w:tcPr>
            <w:tcW w:type="dxa" w:w="3312"/>
          </w:tcPr>
          <w:p>
            <w:pPr>
              <w:spacing w:line="288" w:lineRule="auto" w:after="20"/>
            </w:pPr>
            <w:r/>
            <w:r>
              <w:rPr>
                <w:rFonts w:ascii="Consolas" w:hAnsi="Consolas"/>
                <w:b/>
                <w:color w:val="172126"/>
                <w:sz w:val="17"/>
              </w:rPr>
              <w:t>workflow.drawlogix</w:t>
            </w:r>
          </w:p>
        </w:tc>
        <w:tc>
          <w:tcPr>
            <w:tcW w:type="dxa" w:w="3456"/>
          </w:tcPr>
          <w:p>
            <w:pPr>
              <w:spacing w:line="288" w:lineRule="auto" w:after="20"/>
            </w:pPr>
            <w:r/>
            <w:r>
              <w:rPr>
                <w:rFonts w:ascii="Calibri" w:hAnsi="Calibri"/>
                <w:b w:val="0"/>
                <w:color w:val="526068"/>
                <w:sz w:val="17"/>
              </w:rPr>
              <w:t>DrawLogix</w:t>
            </w:r>
          </w:p>
        </w:tc>
        <w:tc>
          <w:tcPr>
            <w:tcW w:type="dxa" w:w="2736"/>
          </w:tcPr>
          <w:p>
            <w:pPr>
              <w:spacing w:line="288" w:lineRule="auto" w:after="20"/>
            </w:pPr>
            <w:r/>
            <w:r>
              <w:rPr>
                <w:rFonts w:ascii="Consolas" w:hAnsi="Consolas"/>
                <w:b w:val="0"/>
                <w:color w:val="526068"/>
                <w:sz w:val="17"/>
              </w:rPr>
              <w:t>drawlogix</w:t>
            </w:r>
          </w:p>
        </w:tc>
      </w:tr>
      <w:tr>
        <w:tc>
          <w:tcPr>
            <w:tcW w:type="dxa" w:w="3312"/>
          </w:tcPr>
          <w:p>
            <w:pPr>
              <w:spacing w:line="288" w:lineRule="auto" w:after="20"/>
            </w:pPr>
            <w:r/>
            <w:r>
              <w:rPr>
                <w:rFonts w:ascii="Consolas" w:hAnsi="Consolas"/>
                <w:b/>
                <w:color w:val="172126"/>
                <w:sz w:val="17"/>
              </w:rPr>
              <w:t>workflow.doclogix</w:t>
            </w:r>
          </w:p>
        </w:tc>
        <w:tc>
          <w:tcPr>
            <w:tcW w:type="dxa" w:w="3456"/>
          </w:tcPr>
          <w:p>
            <w:pPr>
              <w:spacing w:line="288" w:lineRule="auto" w:after="20"/>
            </w:pPr>
            <w:r/>
            <w:r>
              <w:rPr>
                <w:rFonts w:ascii="Calibri" w:hAnsi="Calibri"/>
                <w:b w:val="0"/>
                <w:color w:val="526068"/>
                <w:sz w:val="17"/>
              </w:rPr>
              <w:t>DocLogix</w:t>
            </w:r>
          </w:p>
        </w:tc>
        <w:tc>
          <w:tcPr>
            <w:tcW w:type="dxa" w:w="2736"/>
          </w:tcPr>
          <w:p>
            <w:pPr>
              <w:spacing w:line="288" w:lineRule="auto" w:after="20"/>
            </w:pPr>
            <w:r/>
            <w:r>
              <w:rPr>
                <w:rFonts w:ascii="Consolas" w:hAnsi="Consolas"/>
                <w:b w:val="0"/>
                <w:color w:val="526068"/>
                <w:sz w:val="17"/>
              </w:rPr>
              <w:t>doclogix</w:t>
            </w:r>
          </w:p>
        </w:tc>
      </w:tr>
      <w:tr>
        <w:tc>
          <w:tcPr>
            <w:tcW w:type="dxa" w:w="3312"/>
          </w:tcPr>
          <w:p>
            <w:pPr>
              <w:spacing w:line="288" w:lineRule="auto" w:after="20"/>
            </w:pPr>
            <w:r/>
            <w:r>
              <w:rPr>
                <w:rFonts w:ascii="Consolas" w:hAnsi="Consolas"/>
                <w:b/>
                <w:color w:val="172126"/>
                <w:sz w:val="17"/>
              </w:rPr>
              <w:t>workflow.quantlogix</w:t>
            </w:r>
          </w:p>
        </w:tc>
        <w:tc>
          <w:tcPr>
            <w:tcW w:type="dxa" w:w="3456"/>
          </w:tcPr>
          <w:p>
            <w:pPr>
              <w:spacing w:line="288" w:lineRule="auto" w:after="20"/>
            </w:pPr>
            <w:r/>
            <w:r>
              <w:rPr>
                <w:rFonts w:ascii="Calibri" w:hAnsi="Calibri"/>
                <w:b w:val="0"/>
                <w:color w:val="526068"/>
                <w:sz w:val="17"/>
              </w:rPr>
              <w:t>QuantLogix</w:t>
            </w:r>
          </w:p>
        </w:tc>
        <w:tc>
          <w:tcPr>
            <w:tcW w:type="dxa" w:w="2736"/>
          </w:tcPr>
          <w:p>
            <w:pPr>
              <w:spacing w:line="288" w:lineRule="auto" w:after="20"/>
            </w:pPr>
            <w:r/>
            <w:r>
              <w:rPr>
                <w:rFonts w:ascii="Consolas" w:hAnsi="Consolas"/>
                <w:b w:val="0"/>
                <w:color w:val="526068"/>
                <w:sz w:val="17"/>
              </w:rPr>
              <w:t>quantlogix</w:t>
            </w:r>
          </w:p>
        </w:tc>
      </w:tr>
      <w:tr>
        <w:tc>
          <w:tcPr>
            <w:tcW w:type="dxa" w:w="3312"/>
          </w:tcPr>
          <w:p>
            <w:pPr>
              <w:spacing w:line="288" w:lineRule="auto" w:after="20"/>
            </w:pPr>
            <w:r/>
            <w:r>
              <w:rPr>
                <w:rFonts w:ascii="Consolas" w:hAnsi="Consolas"/>
                <w:b/>
                <w:color w:val="172126"/>
                <w:sz w:val="17"/>
              </w:rPr>
              <w:t>workflow.costlogix</w:t>
            </w:r>
          </w:p>
        </w:tc>
        <w:tc>
          <w:tcPr>
            <w:tcW w:type="dxa" w:w="3456"/>
          </w:tcPr>
          <w:p>
            <w:pPr>
              <w:spacing w:line="288" w:lineRule="auto" w:after="20"/>
            </w:pPr>
            <w:r/>
            <w:r>
              <w:rPr>
                <w:rFonts w:ascii="Calibri" w:hAnsi="Calibri"/>
                <w:b w:val="0"/>
                <w:color w:val="526068"/>
                <w:sz w:val="17"/>
              </w:rPr>
              <w:t>CostLogix</w:t>
            </w:r>
          </w:p>
        </w:tc>
        <w:tc>
          <w:tcPr>
            <w:tcW w:type="dxa" w:w="2736"/>
          </w:tcPr>
          <w:p>
            <w:pPr>
              <w:spacing w:line="288" w:lineRule="auto" w:after="20"/>
            </w:pPr>
            <w:r/>
            <w:r>
              <w:rPr>
                <w:rFonts w:ascii="Consolas" w:hAnsi="Consolas"/>
                <w:b w:val="0"/>
                <w:color w:val="526068"/>
                <w:sz w:val="17"/>
              </w:rPr>
              <w:t>costlogix</w:t>
            </w:r>
          </w:p>
        </w:tc>
      </w:tr>
      <w:tr>
        <w:tc>
          <w:tcPr>
            <w:tcW w:type="dxa" w:w="3312"/>
          </w:tcPr>
          <w:p>
            <w:pPr>
              <w:spacing w:line="288" w:lineRule="auto" w:after="20"/>
            </w:pPr>
            <w:r/>
            <w:r>
              <w:rPr>
                <w:rFonts w:ascii="Consolas" w:hAnsi="Consolas"/>
                <w:b/>
                <w:color w:val="172126"/>
                <w:sz w:val="17"/>
              </w:rPr>
              <w:t>workflow.schedulelogix</w:t>
            </w:r>
          </w:p>
        </w:tc>
        <w:tc>
          <w:tcPr>
            <w:tcW w:type="dxa" w:w="3456"/>
          </w:tcPr>
          <w:p>
            <w:pPr>
              <w:spacing w:line="288" w:lineRule="auto" w:after="20"/>
            </w:pPr>
            <w:r/>
            <w:r>
              <w:rPr>
                <w:rFonts w:ascii="Calibri" w:hAnsi="Calibri"/>
                <w:b w:val="0"/>
                <w:color w:val="526068"/>
                <w:sz w:val="17"/>
              </w:rPr>
              <w:t>ScheduleLogix</w:t>
            </w:r>
          </w:p>
        </w:tc>
        <w:tc>
          <w:tcPr>
            <w:tcW w:type="dxa" w:w="2736"/>
          </w:tcPr>
          <w:p>
            <w:pPr>
              <w:spacing w:line="288" w:lineRule="auto" w:after="20"/>
            </w:pPr>
            <w:r/>
            <w:r>
              <w:rPr>
                <w:rFonts w:ascii="Consolas" w:hAnsi="Consolas"/>
                <w:b w:val="0"/>
                <w:color w:val="526068"/>
                <w:sz w:val="17"/>
              </w:rPr>
              <w:t>schedulelogix</w:t>
            </w:r>
          </w:p>
        </w:tc>
      </w:tr>
      <w:tr>
        <w:tc>
          <w:tcPr>
            <w:tcW w:type="dxa" w:w="3312"/>
          </w:tcPr>
          <w:p>
            <w:pPr>
              <w:spacing w:line="288" w:lineRule="auto" w:after="20"/>
            </w:pPr>
            <w:r/>
            <w:r>
              <w:rPr>
                <w:rFonts w:ascii="Consolas" w:hAnsi="Consolas"/>
                <w:b/>
                <w:color w:val="172126"/>
                <w:sz w:val="17"/>
              </w:rPr>
              <w:t>workflow.procurelogix</w:t>
            </w:r>
          </w:p>
        </w:tc>
        <w:tc>
          <w:tcPr>
            <w:tcW w:type="dxa" w:w="3456"/>
          </w:tcPr>
          <w:p>
            <w:pPr>
              <w:spacing w:line="288" w:lineRule="auto" w:after="20"/>
            </w:pPr>
            <w:r/>
            <w:r>
              <w:rPr>
                <w:rFonts w:ascii="Calibri" w:hAnsi="Calibri"/>
                <w:b w:val="0"/>
                <w:color w:val="526068"/>
                <w:sz w:val="17"/>
              </w:rPr>
              <w:t>ProcureLogix</w:t>
            </w:r>
          </w:p>
        </w:tc>
        <w:tc>
          <w:tcPr>
            <w:tcW w:type="dxa" w:w="2736"/>
          </w:tcPr>
          <w:p>
            <w:pPr>
              <w:spacing w:line="288" w:lineRule="auto" w:after="20"/>
            </w:pPr>
            <w:r/>
            <w:r>
              <w:rPr>
                <w:rFonts w:ascii="Consolas" w:hAnsi="Consolas"/>
                <w:b w:val="0"/>
                <w:color w:val="526068"/>
                <w:sz w:val="17"/>
              </w:rPr>
              <w:t>procurelogix</w:t>
            </w:r>
          </w:p>
        </w:tc>
      </w:tr>
    </w:tbl>
    <w:p>
      <w:pPr>
        <w:spacing w:after="60"/>
      </w:pPr>
    </w:p>
    <w:tbl>
      <w:tblPr>
        <w:tblW w:type="auto" w:w="0"/>
        <w:tblLook w:firstColumn="1" w:firstRow="1" w:lastColumn="0" w:lastRow="0" w:noHBand="0" w:noVBand="1" w:val="04A0"/>
        <w:tblBorders>
          <w:top w:val="single" w:sz="2" w:space="0" w:color="E6F3F1"/>
          <w:left w:val="single" w:sz="2" w:space="0" w:color="E6F3F1"/>
          <w:bottom w:val="single" w:sz="2" w:space="0" w:color="E6F3F1"/>
          <w:right w:val="single" w:sz="2" w:space="0" w:color="E6F3F1"/>
          <w:insideH w:val="single" w:sz="2" w:space="0" w:color="E6F3F1"/>
          <w:insideV w:val="single" w:sz="2" w:space="0" w:color="E6F3F1"/>
        </w:tblBorders>
      </w:tblPr>
      <w:tblGrid>
        <w:gridCol w:w="9792"/>
      </w:tblGrid>
      <w:tr>
        <w:tc>
          <w:tcPr>
            <w:tcW w:type="dxa" w:w="9792"/>
            <w:shd w:val="clear" w:fill="E6F3F1"/>
          </w:tcPr>
          <w:p>
            <w:r/>
            <w:r>
              <w:rPr>
                <w:rFonts w:ascii="Calibri" w:hAnsi="Calibri"/>
                <w:b/>
                <w:color w:val="087E75"/>
                <w:sz w:val="14"/>
              </w:rPr>
              <w:t>ONE RUN BUTTON, NOT A PICKER</w:t>
            </w:r>
          </w:p>
          <w:p>
            <w:pPr>
              <w:spacing w:before="60" w:line="307" w:lineRule="auto"/>
            </w:pPr>
            <w:r>
              <w:rPr>
                <w:rFonts w:ascii="Georgia" w:hAnsi="Georgia"/>
                <w:color w:val="172126"/>
                <w:sz w:val="19"/>
              </w:rPr>
              <w:t>Seven workflows share the tenderlogix module key. The stage header runs the module's OWN workflow — workflow.&lt;stage.key&gt; — rather than whichever sorts first, because a picker listing BidAssembly, BidQualification, ClarificationLoop and a walking skeleton puts the whole pursuit's internals in front of someone who wanted one thing, and defaulted to the wrong one. The others run in dependency order under autopilot.</w:t>
            </w:r>
          </w:p>
        </w:tc>
      </w:tr>
    </w:tbl>
    <w:p>
      <w:pPr>
        <w:spacing w:after="60"/>
      </w:pPr>
    </w:p>
    <w:p>
      <w:pPr>
        <w:spacing w:before="280" w:after="100" w:line="312" w:lineRule="auto"/>
      </w:pPr>
      <w:r>
        <w:rPr>
          <w:rFonts w:ascii="Calibri" w:hAnsi="Calibri"/>
          <w:b/>
          <w:i w:val="0"/>
          <w:color w:val="172126"/>
          <w:sz w:val="24"/>
        </w:rPr>
        <w:t>4.2  Node graphs</w:t>
      </w:r>
    </w:p>
    <w:p>
      <w:pPr>
        <w:spacing w:before="0" w:after="160" w:line="312" w:lineRule="auto"/>
      </w:pPr>
      <w:r>
        <w:rPr>
          <w:rFonts w:ascii="Georgia" w:hAnsi="Georgia"/>
          <w:b w:val="0"/>
          <w:i w:val="0"/>
          <w:color w:val="526068"/>
          <w:sz w:val="20"/>
        </w:rPr>
        <w:t>Each workflow is a set of nodes. An agent node dispatches a job; a gate node holds until the artifacts of the named types have been dispositioned; a map node fans out over a collection.</w:t>
      </w:r>
    </w:p>
    <w:p>
      <w:pPr>
        <w:spacing w:before="200" w:after="60" w:line="312" w:lineRule="auto"/>
      </w:pPr>
      <w:r>
        <w:rPr>
          <w:rFonts w:ascii="Calibri" w:hAnsi="Calibri"/>
          <w:b/>
          <w:i w:val="0"/>
          <w:color w:val="087E75"/>
          <w:sz w:val="20"/>
        </w:rPr>
        <w:t>workflow.tenderlogix</w:t>
      </w:r>
    </w:p>
    <w:p>
      <w:pPr>
        <w:spacing w:before="40" w:after="120" w:line="300" w:lineRule="auto"/>
        <w:ind w:left="259"/>
      </w:pPr>
      <w:r>
        <w:rPr>
          <w:rFonts w:ascii="Consolas" w:hAnsi="Consolas"/>
          <w:color w:val="526068"/>
          <w:sz w:val="17"/>
        </w:rPr>
        <w:t>ingest      agent   agent.document</w:t>
        <w:br/>
        <w:t>tender      agent   agent.tender</w:t>
        <w:br/>
        <w:t>gate_scope  gate    tender_summary</w:t>
      </w:r>
    </w:p>
    <w:p>
      <w:pPr>
        <w:spacing w:before="200" w:after="60" w:line="312" w:lineRule="auto"/>
      </w:pPr>
      <w:r>
        <w:rPr>
          <w:rFonts w:ascii="Calibri" w:hAnsi="Calibri"/>
          <w:b/>
          <w:i w:val="0"/>
          <w:color w:val="087E75"/>
          <w:sz w:val="20"/>
        </w:rPr>
        <w:t>workflow.drawlogix</w:t>
      </w:r>
    </w:p>
    <w:p>
      <w:pPr>
        <w:spacing w:before="40" w:after="120" w:line="300" w:lineRule="auto"/>
        <w:ind w:left="259"/>
      </w:pPr>
      <w:r>
        <w:rPr>
          <w:rFonts w:ascii="Consolas" w:hAnsi="Consolas"/>
          <w:color w:val="526068"/>
          <w:sz w:val="17"/>
        </w:rPr>
        <w:t>ingest      agent   agent.document</w:t>
        <w:br/>
        <w:t>index       agent   agent.drawing        (drawing.index)</w:t>
        <w:br/>
        <w:t>gate_idx    gate    drawing_index</w:t>
        <w:br/>
        <w:t>map_sheets  map     fan out over sheets</w:t>
        <w:br/>
        <w:t>takeoff     agent   agent.drawing        (drawing.takeoff)</w:t>
        <w:br/>
        <w:t>gate_meas   gate    drawing_measurement</w:t>
      </w:r>
    </w:p>
    <w:p>
      <w:pPr>
        <w:spacing w:before="200" w:after="60" w:line="312" w:lineRule="auto"/>
      </w:pPr>
      <w:r>
        <w:rPr>
          <w:rFonts w:ascii="Calibri" w:hAnsi="Calibri"/>
          <w:b/>
          <w:i w:val="0"/>
          <w:color w:val="087E75"/>
          <w:sz w:val="20"/>
        </w:rPr>
        <w:t>workflow.doclogix</w:t>
      </w:r>
    </w:p>
    <w:p>
      <w:pPr>
        <w:spacing w:before="40" w:after="120" w:line="300" w:lineRule="auto"/>
        <w:ind w:left="259"/>
      </w:pPr>
      <w:r>
        <w:rPr>
          <w:rFonts w:ascii="Consolas" w:hAnsi="Consolas"/>
          <w:color w:val="526068"/>
          <w:sz w:val="17"/>
        </w:rPr>
        <w:t>ingest      agent   agent.document</w:t>
        <w:br/>
        <w:t>spec        agent   agent.specification</w:t>
        <w:br/>
        <w:t>gate        gate    spec_clause</w:t>
      </w:r>
    </w:p>
    <w:p>
      <w:pPr>
        <w:spacing w:before="200" w:after="60" w:line="312" w:lineRule="auto"/>
      </w:pPr>
      <w:r>
        <w:rPr>
          <w:rFonts w:ascii="Calibri" w:hAnsi="Calibri"/>
          <w:b/>
          <w:i w:val="0"/>
          <w:color w:val="087E75"/>
          <w:sz w:val="20"/>
        </w:rPr>
        <w:t>workflow.quantlogix</w:t>
      </w:r>
    </w:p>
    <w:p>
      <w:pPr>
        <w:spacing w:before="40" w:after="120" w:line="300" w:lineRule="auto"/>
        <w:ind w:left="259"/>
      </w:pPr>
      <w:r>
        <w:rPr>
          <w:rFonts w:ascii="Consolas" w:hAnsi="Consolas"/>
          <w:color w:val="526068"/>
          <w:sz w:val="17"/>
        </w:rPr>
        <w:t>boq         agent   agent.boq</w:t>
        <w:br/>
        <w:t>gate        gate    boq_line</w:t>
      </w:r>
    </w:p>
    <w:p>
      <w:pPr>
        <w:spacing w:before="200" w:after="60" w:line="312" w:lineRule="auto"/>
      </w:pPr>
      <w:r>
        <w:rPr>
          <w:rFonts w:ascii="Calibri" w:hAnsi="Calibri"/>
          <w:b/>
          <w:i w:val="0"/>
          <w:color w:val="087E75"/>
          <w:sz w:val="20"/>
        </w:rPr>
        <w:t>workflow.costlogix</w:t>
      </w:r>
    </w:p>
    <w:p>
      <w:pPr>
        <w:spacing w:before="40" w:after="120" w:line="300" w:lineRule="auto"/>
        <w:ind w:left="259"/>
      </w:pPr>
      <w:r>
        <w:rPr>
          <w:rFonts w:ascii="Consolas" w:hAnsi="Consolas"/>
          <w:color w:val="526068"/>
          <w:sz w:val="17"/>
        </w:rPr>
        <w:t>cost        agent   agent.cost</w:t>
        <w:br/>
        <w:t>gate        gate    cost_line</w:t>
      </w:r>
    </w:p>
    <w:p>
      <w:pPr>
        <w:spacing w:before="200" w:after="60" w:line="312" w:lineRule="auto"/>
      </w:pPr>
      <w:r>
        <w:rPr>
          <w:rFonts w:ascii="Calibri" w:hAnsi="Calibri"/>
          <w:b/>
          <w:i w:val="0"/>
          <w:color w:val="087E75"/>
          <w:sz w:val="20"/>
        </w:rPr>
        <w:t>workflow.schedulelogix</w:t>
      </w:r>
    </w:p>
    <w:p>
      <w:pPr>
        <w:spacing w:before="40" w:after="120" w:line="300" w:lineRule="auto"/>
        <w:ind w:left="259"/>
      </w:pPr>
      <w:r>
        <w:rPr>
          <w:rFonts w:ascii="Consolas" w:hAnsi="Consolas"/>
          <w:color w:val="526068"/>
          <w:sz w:val="17"/>
        </w:rPr>
        <w:t>schedule    agent   agent.schedule</w:t>
        <w:br/>
        <w:t>gate        gate    schedule_activity</w:t>
      </w:r>
    </w:p>
    <w:p>
      <w:pPr>
        <w:spacing w:before="200" w:after="60" w:line="312" w:lineRule="auto"/>
      </w:pPr>
      <w:r>
        <w:rPr>
          <w:rFonts w:ascii="Calibri" w:hAnsi="Calibri"/>
          <w:b/>
          <w:i w:val="0"/>
          <w:color w:val="087E75"/>
          <w:sz w:val="20"/>
        </w:rPr>
        <w:t>workflow.procurelogix</w:t>
      </w:r>
    </w:p>
    <w:p>
      <w:pPr>
        <w:spacing w:before="40" w:after="120" w:line="300" w:lineRule="auto"/>
        <w:ind w:left="259"/>
      </w:pPr>
      <w:r>
        <w:rPr>
          <w:rFonts w:ascii="Consolas" w:hAnsi="Consolas"/>
          <w:color w:val="526068"/>
          <w:sz w:val="17"/>
        </w:rPr>
        <w:t>procure     agent   agent.procurement</w:t>
        <w:br/>
        <w:t>gate        gate    procurement_package</w:t>
      </w:r>
    </w:p>
    <w:p>
      <w:pPr>
        <w:spacing w:before="200" w:after="60" w:line="312" w:lineRule="auto"/>
      </w:pPr>
      <w:r>
        <w:rPr>
          <w:rFonts w:ascii="Calibri" w:hAnsi="Calibri"/>
          <w:b/>
          <w:i w:val="0"/>
          <w:color w:val="087E75"/>
          <w:sz w:val="20"/>
        </w:rPr>
        <w:t>workflow.bidassembly</w:t>
      </w:r>
    </w:p>
    <w:p>
      <w:pPr>
        <w:spacing w:before="40" w:after="120" w:line="300" w:lineRule="auto"/>
        <w:ind w:left="259"/>
      </w:pPr>
      <w:r>
        <w:rPr>
          <w:rFonts w:ascii="Consolas" w:hAnsi="Consolas"/>
          <w:color w:val="526068"/>
          <w:sz w:val="17"/>
        </w:rPr>
        <w:t>proposal    agent   agent.proposal</w:t>
        <w:br/>
        <w:t>compliance  agent   agent.compliance</w:t>
        <w:br/>
        <w:t>approval    agent   agent.approval_prep</w:t>
        <w:br/>
        <w:t>gate        gate    proposal_doc, compliance_item, bid_approval</w:t>
      </w:r>
    </w:p>
    <w:p>
      <w:pPr>
        <w:spacing w:before="280" w:after="100" w:line="312" w:lineRule="auto"/>
      </w:pPr>
      <w:r>
        <w:rPr>
          <w:rFonts w:ascii="Calibri" w:hAnsi="Calibri"/>
          <w:b/>
          <w:i w:val="0"/>
          <w:color w:val="172126"/>
          <w:sz w:val="24"/>
        </w:rPr>
        <w:t>4.3  Run and step state machines</w:t>
      </w:r>
    </w:p>
    <w:tbl>
      <w:tblPr>
        <w:tblW w:type="auto" w:w="0"/>
        <w:jc w:val="left"/>
        <w:tblLook w:firstColumn="1" w:firstRow="1" w:lastColumn="0" w:lastRow="0" w:noHBand="0" w:noVBand="1" w:val="04A0"/>
        <w:tblBorders>
          <w:top w:val="single" w:sz="4" w:space="0" w:color="D8DEE2"/>
          <w:left w:val="single" w:sz="4" w:space="0" w:color="D8DEE2"/>
          <w:bottom w:val="single" w:sz="4" w:space="0" w:color="D8DEE2"/>
          <w:right w:val="single" w:sz="4" w:space="0" w:color="D8DEE2"/>
          <w:insideH w:val="single" w:sz="4" w:space="0" w:color="D8DEE2"/>
          <w:insideV w:val="single" w:sz="4" w:space="0" w:color="D8DEE2"/>
        </w:tblBorders>
      </w:tblPr>
      <w:tblGrid>
        <w:gridCol w:w="3264"/>
        <w:gridCol w:w="3264"/>
        <w:gridCol w:w="3264"/>
      </w:tblGrid>
      <w:tr>
        <w:tc>
          <w:tcPr>
            <w:tcW w:type="dxa" w:w="1728"/>
            <w:shd w:val="clear" w:fill="F0F3F4"/>
          </w:tcPr>
          <w:p>
            <w:r/>
            <w:r>
              <w:rPr>
                <w:rFonts w:ascii="Calibri" w:hAnsi="Calibri"/>
                <w:b/>
                <w:color w:val="667279"/>
                <w:sz w:val="14"/>
              </w:rPr>
              <w:t>OBJECT</w:t>
            </w:r>
          </w:p>
        </w:tc>
        <w:tc>
          <w:tcPr>
            <w:tcW w:type="dxa" w:w="3600"/>
            <w:shd w:val="clear" w:fill="F0F3F4"/>
          </w:tcPr>
          <w:p>
            <w:r/>
            <w:r>
              <w:rPr>
                <w:rFonts w:ascii="Calibri" w:hAnsi="Calibri"/>
                <w:b/>
                <w:color w:val="667279"/>
                <w:sz w:val="14"/>
              </w:rPr>
              <w:t>STATES</w:t>
            </w:r>
          </w:p>
        </w:tc>
        <w:tc>
          <w:tcPr>
            <w:tcW w:type="dxa" w:w="4176"/>
            <w:shd w:val="clear" w:fill="F0F3F4"/>
          </w:tcPr>
          <w:p>
            <w:r/>
            <w:r>
              <w:rPr>
                <w:rFonts w:ascii="Calibri" w:hAnsi="Calibri"/>
                <w:b/>
                <w:color w:val="667279"/>
                <w:sz w:val="14"/>
              </w:rPr>
              <w:t>NOTES</w:t>
            </w:r>
          </w:p>
        </w:tc>
      </w:tr>
      <w:tr>
        <w:tc>
          <w:tcPr>
            <w:tcW w:type="dxa" w:w="1728"/>
          </w:tcPr>
          <w:p>
            <w:pPr>
              <w:spacing w:line="288" w:lineRule="auto" w:after="20"/>
            </w:pPr>
            <w:r/>
            <w:r>
              <w:rPr>
                <w:rFonts w:ascii="Consolas" w:hAnsi="Consolas"/>
                <w:b/>
                <w:color w:val="172126"/>
                <w:sz w:val="17"/>
              </w:rPr>
              <w:t>workflow_run</w:t>
            </w:r>
          </w:p>
        </w:tc>
        <w:tc>
          <w:tcPr>
            <w:tcW w:type="dxa" w:w="3600"/>
          </w:tcPr>
          <w:p>
            <w:pPr>
              <w:spacing w:line="288" w:lineRule="auto" w:after="20"/>
            </w:pPr>
            <w:r/>
            <w:r>
              <w:rPr>
                <w:rFonts w:ascii="Consolas" w:hAnsi="Consolas"/>
                <w:b w:val="0"/>
                <w:color w:val="526068"/>
                <w:sz w:val="17"/>
              </w:rPr>
              <w:t>running → awaiting_review → completed | failed | cancelled</w:t>
            </w:r>
          </w:p>
        </w:tc>
        <w:tc>
          <w:tcPr>
            <w:tcW w:type="dxa" w:w="4176"/>
          </w:tcPr>
          <w:p>
            <w:pPr>
              <w:spacing w:line="288" w:lineRule="auto" w:after="20"/>
            </w:pPr>
            <w:r/>
            <w:r>
              <w:rPr>
                <w:rFonts w:ascii="Calibri" w:hAnsi="Calibri"/>
                <w:b w:val="0"/>
                <w:color w:val="526068"/>
                <w:sz w:val="17"/>
              </w:rPr>
              <w:t>awaiting_review means a gate is holding. ended_at is written only on completed, failed and cancelled — a run held at a gate has no duration.</w:t>
            </w:r>
          </w:p>
        </w:tc>
      </w:tr>
      <w:tr>
        <w:tc>
          <w:tcPr>
            <w:tcW w:type="dxa" w:w="1728"/>
          </w:tcPr>
          <w:p>
            <w:pPr>
              <w:spacing w:line="288" w:lineRule="auto" w:after="20"/>
            </w:pPr>
            <w:r/>
            <w:r>
              <w:rPr>
                <w:rFonts w:ascii="Consolas" w:hAnsi="Consolas"/>
                <w:b/>
                <w:color w:val="172126"/>
                <w:sz w:val="17"/>
              </w:rPr>
              <w:t>workflow_run_step</w:t>
            </w:r>
          </w:p>
        </w:tc>
        <w:tc>
          <w:tcPr>
            <w:tcW w:type="dxa" w:w="3600"/>
          </w:tcPr>
          <w:p>
            <w:pPr>
              <w:spacing w:line="288" w:lineRule="auto" w:after="20"/>
            </w:pPr>
            <w:r/>
            <w:r>
              <w:rPr>
                <w:rFonts w:ascii="Consolas" w:hAnsi="Consolas"/>
                <w:b w:val="0"/>
                <w:color w:val="526068"/>
                <w:sz w:val="17"/>
              </w:rPr>
              <w:t>pending → running → awaiting_review → completed | skipped | failed</w:t>
            </w:r>
          </w:p>
        </w:tc>
        <w:tc>
          <w:tcPr>
            <w:tcW w:type="dxa" w:w="4176"/>
          </w:tcPr>
          <w:p>
            <w:pPr>
              <w:spacing w:line="288" w:lineRule="auto" w:after="20"/>
            </w:pPr>
            <w:r/>
            <w:r>
              <w:rPr>
                <w:rFonts w:ascii="Calibri" w:hAnsi="Calibri"/>
                <w:b w:val="0"/>
                <w:color w:val="526068"/>
                <w:sz w:val="17"/>
              </w:rPr>
              <w:t>There is no 'cancelled' step state; cancelling a run does not touch its steps.</w:t>
            </w:r>
          </w:p>
        </w:tc>
      </w:tr>
      <w:tr>
        <w:tc>
          <w:tcPr>
            <w:tcW w:type="dxa" w:w="1728"/>
          </w:tcPr>
          <w:p>
            <w:pPr>
              <w:spacing w:line="288" w:lineRule="auto" w:after="20"/>
            </w:pPr>
            <w:r/>
            <w:r>
              <w:rPr>
                <w:rFonts w:ascii="Consolas" w:hAnsi="Consolas"/>
                <w:b/>
                <w:color w:val="172126"/>
                <w:sz w:val="17"/>
              </w:rPr>
              <w:t>ai_job</w:t>
            </w:r>
          </w:p>
        </w:tc>
        <w:tc>
          <w:tcPr>
            <w:tcW w:type="dxa" w:w="3600"/>
          </w:tcPr>
          <w:p>
            <w:pPr>
              <w:spacing w:line="288" w:lineRule="auto" w:after="20"/>
            </w:pPr>
            <w:r/>
            <w:r>
              <w:rPr>
                <w:rFonts w:ascii="Consolas" w:hAnsi="Consolas"/>
                <w:b w:val="0"/>
                <w:color w:val="526068"/>
                <w:sz w:val="17"/>
              </w:rPr>
              <w:t>queued → running → succeeded | failed | cancelled</w:t>
            </w:r>
          </w:p>
        </w:tc>
        <w:tc>
          <w:tcPr>
            <w:tcW w:type="dxa" w:w="4176"/>
          </w:tcPr>
          <w:p>
            <w:pPr>
              <w:spacing w:line="288" w:lineRule="auto" w:after="20"/>
            </w:pPr>
            <w:r/>
            <w:r>
              <w:rPr>
                <w:rFonts w:ascii="Calibri" w:hAnsi="Calibri"/>
                <w:b w:val="0"/>
                <w:color w:val="526068"/>
                <w:sz w:val="17"/>
              </w:rPr>
              <w:t>attempt / max_attempts (default 3), a lease with an expiry, and an idempotency key.</w:t>
            </w:r>
          </w:p>
        </w:tc>
      </w:tr>
    </w:tbl>
    <w:p>
      <w:pPr>
        <w:spacing w:after="60"/>
      </w:pPr>
    </w:p>
    <w:tbl>
      <w:tblPr>
        <w:tblW w:type="auto" w:w="0"/>
        <w:tblLook w:firstColumn="1" w:firstRow="1" w:lastColumn="0" w:lastRow="0" w:noHBand="0" w:noVBand="1" w:val="04A0"/>
        <w:tblBorders>
          <w:top w:val="single" w:sz="2" w:space="0" w:color="FBF0E0"/>
          <w:left w:val="single" w:sz="2" w:space="0" w:color="FBF0E0"/>
          <w:bottom w:val="single" w:sz="2" w:space="0" w:color="FBF0E0"/>
          <w:right w:val="single" w:sz="2" w:space="0" w:color="FBF0E0"/>
          <w:insideH w:val="single" w:sz="2" w:space="0" w:color="FBF0E0"/>
          <w:insideV w:val="single" w:sz="2" w:space="0" w:color="FBF0E0"/>
        </w:tblBorders>
      </w:tblPr>
      <w:tblGrid>
        <w:gridCol w:w="9792"/>
      </w:tblGrid>
      <w:tr>
        <w:tc>
          <w:tcPr>
            <w:tcW w:type="dxa" w:w="9792"/>
            <w:shd w:val="clear" w:fill="FBF0E0"/>
          </w:tcPr>
          <w:p>
            <w:r/>
            <w:r>
              <w:rPr>
                <w:rFonts w:ascii="Calibri" w:hAnsi="Calibri"/>
                <w:b/>
                <w:color w:val="A56000"/>
                <w:sz w:val="14"/>
              </w:rPr>
              <w:t>THE GATE DEADLOCK, AND THE RULE THAT REPLACED IT</w:t>
            </w:r>
          </w:p>
          <w:p>
            <w:pPr>
              <w:spacing w:before="60" w:line="307" w:lineRule="auto"/>
            </w:pPr>
            <w:r>
              <w:rPr>
                <w:rFonts w:ascii="Georgia" w:hAnsi="Georgia"/>
                <w:color w:val="172126"/>
                <w:sz w:val="19"/>
              </w:rPr>
              <w:t>A gate over a type the run produced none of used to wait forever: nothing pending to confirm, and the Run button disabled because a run was 'active'. Thirty-nine runs sat parked on production, the oldest four weeks. A gate now resolves when nothing is pending AND either something was confirmed, the gate allows empty, or nothing of that type exists at all. Rejecting every proposal still holds the gate — that is a decision, not an absence of one.</w:t>
            </w:r>
          </w:p>
        </w:tc>
      </w:tr>
    </w:tbl>
    <w:p>
      <w:pPr>
        <w:spacing w:after="60"/>
      </w:pPr>
    </w:p>
    <w:p>
      <w:pPr>
        <w:spacing w:before="280" w:after="100" w:line="312" w:lineRule="auto"/>
      </w:pPr>
      <w:r>
        <w:rPr>
          <w:rFonts w:ascii="Calibri" w:hAnsi="Calibri"/>
          <w:b/>
          <w:i w:val="0"/>
          <w:color w:val="172126"/>
          <w:sz w:val="24"/>
        </w:rPr>
        <w:t>4.4  Job dispatch and recovery</w:t>
      </w:r>
    </w:p>
    <w:p>
      <w:pPr>
        <w:pStyle w:val="ListBullet"/>
        <w:spacing w:after="60" w:line="302" w:lineRule="auto"/>
        <w:ind w:left="360"/>
      </w:pPr>
      <w:r>
        <w:rPr>
          <w:rFonts w:ascii="Calibri" w:hAnsi="Calibri"/>
          <w:b/>
          <w:color w:val="172126"/>
          <w:sz w:val="19"/>
        </w:rPr>
        <w:t xml:space="preserve">Claim. </w:t>
      </w:r>
      <w:r>
        <w:rPr>
          <w:rFonts w:ascii="Georgia" w:hAnsi="Georgia"/>
          <w:color w:val="526068"/>
          <w:sz w:val="19"/>
        </w:rPr>
        <w:t>A worker claims a queued job by conditional UPDATE, so two workers cannot take the same job.</w:t>
      </w:r>
    </w:p>
    <w:p>
      <w:pPr>
        <w:pStyle w:val="ListBullet"/>
        <w:spacing w:after="60" w:line="302" w:lineRule="auto"/>
        <w:ind w:left="360"/>
      </w:pPr>
      <w:r>
        <w:rPr>
          <w:rFonts w:ascii="Calibri" w:hAnsi="Calibri"/>
          <w:b/>
          <w:color w:val="172126"/>
          <w:sz w:val="19"/>
        </w:rPr>
        <w:t xml:space="preserve">Lease. </w:t>
      </w:r>
      <w:r>
        <w:rPr>
          <w:rFonts w:ascii="Georgia" w:hAnsi="Georgia"/>
          <w:color w:val="526068"/>
          <w:sz w:val="19"/>
        </w:rPr>
        <w:t>A claimed job carries a lease expiry. A worker that dies leaves an expired lease rather than a job stuck in 'running'.</w:t>
      </w:r>
    </w:p>
    <w:p>
      <w:pPr>
        <w:pStyle w:val="ListBullet"/>
        <w:spacing w:after="60" w:line="302" w:lineRule="auto"/>
        <w:ind w:left="360"/>
      </w:pPr>
      <w:r>
        <w:rPr>
          <w:rFonts w:ascii="Calibri" w:hAnsi="Calibri"/>
          <w:b/>
          <w:color w:val="172126"/>
          <w:sz w:val="19"/>
        </w:rPr>
        <w:t xml:space="preserve">Reconciler. </w:t>
      </w:r>
      <w:r>
        <w:rPr>
          <w:rFonts w:ascii="Georgia" w:hAnsi="Georgia"/>
          <w:color w:val="526068"/>
          <w:sz w:val="19"/>
        </w:rPr>
        <w:t>Sweeps expired leases back to queued, up to max_attempts.</w:t>
      </w:r>
    </w:p>
    <w:p>
      <w:pPr>
        <w:pStyle w:val="ListBullet"/>
        <w:spacing w:after="60" w:line="302" w:lineRule="auto"/>
        <w:ind w:left="360"/>
      </w:pPr>
      <w:r>
        <w:rPr>
          <w:rFonts w:ascii="Calibri" w:hAnsi="Calibri"/>
          <w:b/>
          <w:color w:val="172126"/>
          <w:sz w:val="19"/>
        </w:rPr>
        <w:t xml:space="preserve">Idempotency. </w:t>
      </w:r>
      <w:r>
        <w:rPr>
          <w:rFonts w:ascii="Georgia" w:hAnsi="Georgia"/>
          <w:color w:val="526068"/>
          <w:sz w:val="19"/>
        </w:rPr>
        <w:t>An idempotency key prevents a retried dispatch producing two runs of the same work.</w:t>
      </w:r>
    </w:p>
    <w:p>
      <w:pPr>
        <w:pStyle w:val="ListBullet"/>
        <w:spacing w:after="60" w:line="302" w:lineRule="auto"/>
        <w:ind w:left="360"/>
      </w:pPr>
      <w:r>
        <w:rPr>
          <w:rFonts w:ascii="Calibri" w:hAnsi="Calibri"/>
          <w:b/>
          <w:color w:val="172126"/>
          <w:sz w:val="19"/>
        </w:rPr>
        <w:t xml:space="preserve">Concurrency. </w:t>
      </w:r>
      <w:r>
        <w:rPr>
          <w:rFonts w:ascii="Georgia" w:hAnsi="Georgia"/>
          <w:color w:val="526068"/>
          <w:sz w:val="19"/>
        </w:rPr>
        <w:t>A second run of the same workflow on the same project is refused while one is genuinely running — two concurrent QuantLogix runs six seconds apart is a real incident this prevents.</w:t>
      </w:r>
    </w:p>
    <w:p>
      <w:pPr>
        <w:spacing w:after="40"/>
      </w:pPr>
    </w:p>
    <w:p>
      <w:r>
        <w:br w:type="page"/>
      </w:r>
    </w:p>
    <w:p>
      <w:pPr>
        <w:spacing w:before="0" w:after="60" w:line="312" w:lineRule="auto"/>
      </w:pPr>
      <w:r>
        <w:rPr>
          <w:rFonts w:ascii="Consolas" w:hAnsi="Consolas"/>
          <w:b/>
          <w:i w:val="0"/>
          <w:color w:val="087E75"/>
          <w:sz w:val="15"/>
        </w:rPr>
        <w:t>CHAPTER 5</w:t>
      </w:r>
    </w:p>
    <w:p>
      <w:pPr>
        <w:spacing w:before="0" w:after="160" w:line="252" w:lineRule="auto"/>
      </w:pPr>
      <w:r>
        <w:rPr>
          <w:rFonts w:ascii="Georgia" w:hAnsi="Georgia"/>
          <w:b/>
          <w:i w:val="0"/>
          <w:color w:val="172126"/>
          <w:sz w:val="40"/>
        </w:rPr>
        <w:t>The agent registry</w:t>
      </w:r>
    </w:p>
    <w:p>
      <w:pPr>
        <w:spacing w:before="0" w:after="200" w:line="312" w:lineRule="auto"/>
      </w:pPr>
      <w:r>
        <w:rPr>
          <w:rFonts w:ascii="Georgia" w:hAnsi="Georgia"/>
          <w:b w:val="0"/>
          <w:i w:val="0"/>
          <w:color w:val="526068"/>
          <w:sz w:val="22"/>
        </w:rPr>
        <w:t>Twenty-three registered task types across worker, service and supervisor agents. Each declares what it consumes, what it produces, and the model tier it runs at.</w:t>
      </w:r>
    </w:p>
    <w:p>
      <w:pPr>
        <w:spacing w:before="280" w:after="100" w:line="312" w:lineRule="auto"/>
      </w:pPr>
      <w:r>
        <w:rPr>
          <w:rFonts w:ascii="Calibri" w:hAnsi="Calibri"/>
          <w:b/>
          <w:i w:val="0"/>
          <w:color w:val="172126"/>
          <w:sz w:val="24"/>
        </w:rPr>
        <w:t>5.1  Worker agents — they produce artifacts</w:t>
      </w:r>
    </w:p>
    <w:tbl>
      <w:tblPr>
        <w:tblW w:type="auto" w:w="0"/>
        <w:jc w:val="left"/>
        <w:tblLook w:firstColumn="1" w:firstRow="1" w:lastColumn="0" w:lastRow="0" w:noHBand="0" w:noVBand="1" w:val="04A0"/>
        <w:tblBorders>
          <w:top w:val="single" w:sz="4" w:space="0" w:color="D8DEE2"/>
          <w:left w:val="single" w:sz="4" w:space="0" w:color="D8DEE2"/>
          <w:bottom w:val="single" w:sz="4" w:space="0" w:color="D8DEE2"/>
          <w:right w:val="single" w:sz="4" w:space="0" w:color="D8DEE2"/>
          <w:insideH w:val="single" w:sz="4" w:space="0" w:color="D8DEE2"/>
          <w:insideV w:val="single" w:sz="4" w:space="0" w:color="D8DEE2"/>
        </w:tblBorders>
      </w:tblPr>
      <w:tblGrid>
        <w:gridCol w:w="2448"/>
        <w:gridCol w:w="2448"/>
        <w:gridCol w:w="2448"/>
        <w:gridCol w:w="2448"/>
      </w:tblGrid>
      <w:tr>
        <w:tc>
          <w:tcPr>
            <w:tcW w:type="dxa" w:w="2088"/>
            <w:shd w:val="clear" w:fill="F0F3F4"/>
          </w:tcPr>
          <w:p>
            <w:r/>
            <w:r>
              <w:rPr>
                <w:rFonts w:ascii="Calibri" w:hAnsi="Calibri"/>
                <w:b/>
                <w:color w:val="667279"/>
                <w:sz w:val="14"/>
              </w:rPr>
              <w:t>AGENT</w:t>
            </w:r>
          </w:p>
        </w:tc>
        <w:tc>
          <w:tcPr>
            <w:tcW w:type="dxa" w:w="2232"/>
            <w:shd w:val="clear" w:fill="F0F3F4"/>
          </w:tcPr>
          <w:p>
            <w:r/>
            <w:r>
              <w:rPr>
                <w:rFonts w:ascii="Calibri" w:hAnsi="Calibri"/>
                <w:b/>
                <w:color w:val="667279"/>
                <w:sz w:val="14"/>
              </w:rPr>
              <w:t>TASK TYPE</w:t>
            </w:r>
          </w:p>
        </w:tc>
        <w:tc>
          <w:tcPr>
            <w:tcW w:type="dxa" w:w="1008"/>
            <w:shd w:val="clear" w:fill="F0F3F4"/>
          </w:tcPr>
          <w:p>
            <w:r/>
            <w:r>
              <w:rPr>
                <w:rFonts w:ascii="Calibri" w:hAnsi="Calibri"/>
                <w:b/>
                <w:color w:val="667279"/>
                <w:sz w:val="14"/>
              </w:rPr>
              <w:t>TIER</w:t>
            </w:r>
          </w:p>
        </w:tc>
        <w:tc>
          <w:tcPr>
            <w:tcW w:type="dxa" w:w="4176"/>
            <w:shd w:val="clear" w:fill="F0F3F4"/>
          </w:tcPr>
          <w:p>
            <w:r/>
            <w:r>
              <w:rPr>
                <w:rFonts w:ascii="Calibri" w:hAnsi="Calibri"/>
                <w:b/>
                <w:color w:val="667279"/>
                <w:sz w:val="14"/>
              </w:rPr>
              <w:t>CONSUMES → PRODUCES</w:t>
            </w:r>
          </w:p>
        </w:tc>
      </w:tr>
      <w:tr>
        <w:tc>
          <w:tcPr>
            <w:tcW w:type="dxa" w:w="2088"/>
          </w:tcPr>
          <w:p>
            <w:pPr>
              <w:spacing w:line="288" w:lineRule="auto" w:after="20"/>
            </w:pPr>
            <w:r/>
            <w:r>
              <w:rPr>
                <w:rFonts w:ascii="Consolas" w:hAnsi="Consolas"/>
                <w:b/>
                <w:color w:val="172126"/>
                <w:sz w:val="17"/>
              </w:rPr>
              <w:t>agent.document</w:t>
            </w:r>
          </w:p>
        </w:tc>
        <w:tc>
          <w:tcPr>
            <w:tcW w:type="dxa" w:w="2232"/>
          </w:tcPr>
          <w:p>
            <w:pPr>
              <w:spacing w:line="288" w:lineRule="auto" w:after="20"/>
            </w:pPr>
            <w:r/>
            <w:r>
              <w:rPr>
                <w:rFonts w:ascii="Consolas" w:hAnsi="Consolas"/>
                <w:b w:val="0"/>
                <w:color w:val="526068"/>
                <w:sz w:val="17"/>
              </w:rPr>
              <w:t>document.classify_split</w:t>
            </w:r>
          </w:p>
        </w:tc>
        <w:tc>
          <w:tcPr>
            <w:tcW w:type="dxa" w:w="1008"/>
          </w:tcPr>
          <w:p>
            <w:pPr>
              <w:spacing w:line="288" w:lineRule="auto" w:after="20"/>
            </w:pPr>
            <w:r/>
            <w:r>
              <w:rPr>
                <w:rFonts w:ascii="Consolas" w:hAnsi="Consolas"/>
                <w:b w:val="0"/>
                <w:color w:val="526068"/>
                <w:sz w:val="17"/>
              </w:rPr>
              <w:t>standard</w:t>
            </w:r>
          </w:p>
        </w:tc>
        <w:tc>
          <w:tcPr>
            <w:tcW w:type="dxa" w:w="4176"/>
          </w:tcPr>
          <w:p>
            <w:pPr>
              <w:spacing w:line="288" w:lineRule="auto" w:after="20"/>
            </w:pPr>
            <w:r/>
            <w:r>
              <w:rPr>
                <w:rFonts w:ascii="Consolas" w:hAnsi="Consolas"/>
                <w:b w:val="0"/>
                <w:color w:val="526068"/>
                <w:sz w:val="17"/>
              </w:rPr>
              <w:t>— → document</w:t>
            </w:r>
          </w:p>
        </w:tc>
      </w:tr>
      <w:tr>
        <w:tc>
          <w:tcPr>
            <w:tcW w:type="dxa" w:w="2088"/>
          </w:tcPr>
          <w:p>
            <w:pPr>
              <w:spacing w:line="288" w:lineRule="auto" w:after="20"/>
            </w:pPr>
            <w:r/>
            <w:r>
              <w:rPr>
                <w:rFonts w:ascii="Consolas" w:hAnsi="Consolas"/>
                <w:b/>
                <w:color w:val="172126"/>
                <w:sz w:val="17"/>
              </w:rPr>
              <w:t>agent.tender</w:t>
            </w:r>
          </w:p>
        </w:tc>
        <w:tc>
          <w:tcPr>
            <w:tcW w:type="dxa" w:w="2232"/>
          </w:tcPr>
          <w:p>
            <w:pPr>
              <w:spacing w:line="288" w:lineRule="auto" w:after="20"/>
            </w:pPr>
            <w:r/>
            <w:r>
              <w:rPr>
                <w:rFonts w:ascii="Consolas" w:hAnsi="Consolas"/>
                <w:b w:val="0"/>
                <w:color w:val="526068"/>
                <w:sz w:val="17"/>
              </w:rPr>
              <w:t>tender.extract_summary</w:t>
            </w:r>
          </w:p>
        </w:tc>
        <w:tc>
          <w:tcPr>
            <w:tcW w:type="dxa" w:w="1008"/>
          </w:tcPr>
          <w:p>
            <w:pPr>
              <w:spacing w:line="288" w:lineRule="auto" w:after="20"/>
            </w:pPr>
            <w:r/>
            <w:r>
              <w:rPr>
                <w:rFonts w:ascii="Consolas" w:hAnsi="Consolas"/>
                <w:b w:val="0"/>
                <w:color w:val="526068"/>
                <w:sz w:val="17"/>
              </w:rPr>
              <w:t>deep</w:t>
            </w:r>
          </w:p>
        </w:tc>
        <w:tc>
          <w:tcPr>
            <w:tcW w:type="dxa" w:w="4176"/>
          </w:tcPr>
          <w:p>
            <w:pPr>
              <w:spacing w:line="288" w:lineRule="auto" w:after="20"/>
            </w:pPr>
            <w:r/>
            <w:r>
              <w:rPr>
                <w:rFonts w:ascii="Consolas" w:hAnsi="Consolas"/>
                <w:b w:val="0"/>
                <w:color w:val="526068"/>
                <w:sz w:val="17"/>
              </w:rPr>
              <w:t>document → tender_summary</w:t>
            </w:r>
          </w:p>
        </w:tc>
      </w:tr>
      <w:tr>
        <w:tc>
          <w:tcPr>
            <w:tcW w:type="dxa" w:w="2088"/>
          </w:tcPr>
          <w:p>
            <w:pPr>
              <w:spacing w:line="288" w:lineRule="auto" w:after="20"/>
            </w:pPr>
            <w:r/>
            <w:r>
              <w:rPr>
                <w:rFonts w:ascii="Consolas" w:hAnsi="Consolas"/>
                <w:b/>
                <w:color w:val="172126"/>
                <w:sz w:val="17"/>
              </w:rPr>
              <w:t>agent.specification</w:t>
            </w:r>
          </w:p>
        </w:tc>
        <w:tc>
          <w:tcPr>
            <w:tcW w:type="dxa" w:w="2232"/>
          </w:tcPr>
          <w:p>
            <w:pPr>
              <w:spacing w:line="288" w:lineRule="auto" w:after="20"/>
            </w:pPr>
            <w:r/>
            <w:r>
              <w:rPr>
                <w:rFonts w:ascii="Consolas" w:hAnsi="Consolas"/>
                <w:b w:val="0"/>
                <w:color w:val="526068"/>
                <w:sz w:val="17"/>
              </w:rPr>
              <w:t>spec.extract_clauses</w:t>
            </w:r>
          </w:p>
        </w:tc>
        <w:tc>
          <w:tcPr>
            <w:tcW w:type="dxa" w:w="1008"/>
          </w:tcPr>
          <w:p>
            <w:pPr>
              <w:spacing w:line="288" w:lineRule="auto" w:after="20"/>
            </w:pPr>
            <w:r/>
            <w:r>
              <w:rPr>
                <w:rFonts w:ascii="Consolas" w:hAnsi="Consolas"/>
                <w:b w:val="0"/>
                <w:color w:val="526068"/>
                <w:sz w:val="17"/>
              </w:rPr>
              <w:t>deep</w:t>
            </w:r>
          </w:p>
        </w:tc>
        <w:tc>
          <w:tcPr>
            <w:tcW w:type="dxa" w:w="4176"/>
          </w:tcPr>
          <w:p>
            <w:pPr>
              <w:spacing w:line="288" w:lineRule="auto" w:after="20"/>
            </w:pPr>
            <w:r/>
            <w:r>
              <w:rPr>
                <w:rFonts w:ascii="Consolas" w:hAnsi="Consolas"/>
                <w:b w:val="0"/>
                <w:color w:val="526068"/>
                <w:sz w:val="17"/>
              </w:rPr>
              <w:t>document → spec_clause</w:t>
            </w:r>
          </w:p>
        </w:tc>
      </w:tr>
      <w:tr>
        <w:tc>
          <w:tcPr>
            <w:tcW w:type="dxa" w:w="2088"/>
          </w:tcPr>
          <w:p>
            <w:pPr>
              <w:spacing w:line="288" w:lineRule="auto" w:after="20"/>
            </w:pPr>
            <w:r/>
            <w:r>
              <w:rPr>
                <w:rFonts w:ascii="Consolas" w:hAnsi="Consolas"/>
                <w:b/>
                <w:color w:val="172126"/>
                <w:sz w:val="17"/>
              </w:rPr>
              <w:t>agent.drawing</w:t>
            </w:r>
          </w:p>
        </w:tc>
        <w:tc>
          <w:tcPr>
            <w:tcW w:type="dxa" w:w="2232"/>
          </w:tcPr>
          <w:p>
            <w:pPr>
              <w:spacing w:line="288" w:lineRule="auto" w:after="20"/>
            </w:pPr>
            <w:r/>
            <w:r>
              <w:rPr>
                <w:rFonts w:ascii="Consolas" w:hAnsi="Consolas"/>
                <w:b w:val="0"/>
                <w:color w:val="526068"/>
                <w:sz w:val="17"/>
              </w:rPr>
              <w:t>drawing.index</w:t>
            </w:r>
          </w:p>
        </w:tc>
        <w:tc>
          <w:tcPr>
            <w:tcW w:type="dxa" w:w="1008"/>
          </w:tcPr>
          <w:p>
            <w:pPr>
              <w:spacing w:line="288" w:lineRule="auto" w:after="20"/>
            </w:pPr>
            <w:r/>
            <w:r>
              <w:rPr>
                <w:rFonts w:ascii="Consolas" w:hAnsi="Consolas"/>
                <w:b w:val="0"/>
                <w:color w:val="526068"/>
                <w:sz w:val="17"/>
              </w:rPr>
              <w:t>standard</w:t>
            </w:r>
          </w:p>
        </w:tc>
        <w:tc>
          <w:tcPr>
            <w:tcW w:type="dxa" w:w="4176"/>
          </w:tcPr>
          <w:p>
            <w:pPr>
              <w:spacing w:line="288" w:lineRule="auto" w:after="20"/>
            </w:pPr>
            <w:r/>
            <w:r>
              <w:rPr>
                <w:rFonts w:ascii="Consolas" w:hAnsi="Consolas"/>
                <w:b w:val="0"/>
                <w:color w:val="526068"/>
                <w:sz w:val="17"/>
              </w:rPr>
              <w:t>document → drawing_index</w:t>
            </w:r>
          </w:p>
        </w:tc>
      </w:tr>
      <w:tr>
        <w:tc>
          <w:tcPr>
            <w:tcW w:type="dxa" w:w="2088"/>
          </w:tcPr>
          <w:p>
            <w:pPr>
              <w:spacing w:line="288" w:lineRule="auto" w:after="20"/>
            </w:pPr>
            <w:r/>
            <w:r>
              <w:rPr>
                <w:rFonts w:ascii="Consolas" w:hAnsi="Consolas"/>
                <w:b/>
                <w:color w:val="172126"/>
                <w:sz w:val="17"/>
              </w:rPr>
              <w:t>agent.drawing</w:t>
            </w:r>
          </w:p>
        </w:tc>
        <w:tc>
          <w:tcPr>
            <w:tcW w:type="dxa" w:w="2232"/>
          </w:tcPr>
          <w:p>
            <w:pPr>
              <w:spacing w:line="288" w:lineRule="auto" w:after="20"/>
            </w:pPr>
            <w:r/>
            <w:r>
              <w:rPr>
                <w:rFonts w:ascii="Consolas" w:hAnsi="Consolas"/>
                <w:b w:val="0"/>
                <w:color w:val="526068"/>
                <w:sz w:val="17"/>
              </w:rPr>
              <w:t>drawing.takeoff</w:t>
            </w:r>
          </w:p>
        </w:tc>
        <w:tc>
          <w:tcPr>
            <w:tcW w:type="dxa" w:w="1008"/>
          </w:tcPr>
          <w:p>
            <w:pPr>
              <w:spacing w:line="288" w:lineRule="auto" w:after="20"/>
            </w:pPr>
            <w:r/>
            <w:r>
              <w:rPr>
                <w:rFonts w:ascii="Consolas" w:hAnsi="Consolas"/>
                <w:b w:val="0"/>
                <w:color w:val="526068"/>
                <w:sz w:val="17"/>
              </w:rPr>
              <w:t>deep</w:t>
            </w:r>
          </w:p>
        </w:tc>
        <w:tc>
          <w:tcPr>
            <w:tcW w:type="dxa" w:w="4176"/>
          </w:tcPr>
          <w:p>
            <w:pPr>
              <w:spacing w:line="288" w:lineRule="auto" w:after="20"/>
            </w:pPr>
            <w:r/>
            <w:r>
              <w:rPr>
                <w:rFonts w:ascii="Consolas" w:hAnsi="Consolas"/>
                <w:b w:val="0"/>
                <w:color w:val="526068"/>
                <w:sz w:val="17"/>
              </w:rPr>
              <w:t>document → drawing_measurement</w:t>
            </w:r>
          </w:p>
        </w:tc>
      </w:tr>
      <w:tr>
        <w:tc>
          <w:tcPr>
            <w:tcW w:type="dxa" w:w="2088"/>
          </w:tcPr>
          <w:p>
            <w:pPr>
              <w:spacing w:line="288" w:lineRule="auto" w:after="20"/>
            </w:pPr>
            <w:r/>
            <w:r>
              <w:rPr>
                <w:rFonts w:ascii="Consolas" w:hAnsi="Consolas"/>
                <w:b/>
                <w:color w:val="172126"/>
                <w:sz w:val="17"/>
              </w:rPr>
              <w:t>agent.boq</w:t>
            </w:r>
          </w:p>
        </w:tc>
        <w:tc>
          <w:tcPr>
            <w:tcW w:type="dxa" w:w="2232"/>
          </w:tcPr>
          <w:p>
            <w:pPr>
              <w:spacing w:line="288" w:lineRule="auto" w:after="20"/>
            </w:pPr>
            <w:r/>
            <w:r>
              <w:rPr>
                <w:rFonts w:ascii="Consolas" w:hAnsi="Consolas"/>
                <w:b w:val="0"/>
                <w:color w:val="526068"/>
                <w:sz w:val="17"/>
              </w:rPr>
              <w:t>boq.derive_lines</w:t>
            </w:r>
          </w:p>
        </w:tc>
        <w:tc>
          <w:tcPr>
            <w:tcW w:type="dxa" w:w="1008"/>
          </w:tcPr>
          <w:p>
            <w:pPr>
              <w:spacing w:line="288" w:lineRule="auto" w:after="20"/>
            </w:pPr>
            <w:r/>
            <w:r>
              <w:rPr>
                <w:rFonts w:ascii="Consolas" w:hAnsi="Consolas"/>
                <w:b w:val="0"/>
                <w:color w:val="526068"/>
                <w:sz w:val="17"/>
              </w:rPr>
              <w:t>deep</w:t>
            </w:r>
          </w:p>
        </w:tc>
        <w:tc>
          <w:tcPr>
            <w:tcW w:type="dxa" w:w="4176"/>
          </w:tcPr>
          <w:p>
            <w:pPr>
              <w:spacing w:line="288" w:lineRule="auto" w:after="20"/>
            </w:pPr>
            <w:r/>
            <w:r>
              <w:rPr>
                <w:rFonts w:ascii="Consolas" w:hAnsi="Consolas"/>
                <w:b w:val="0"/>
                <w:color w:val="526068"/>
                <w:sz w:val="17"/>
              </w:rPr>
              <w:t>tender_summary → boq_line</w:t>
            </w:r>
          </w:p>
        </w:tc>
      </w:tr>
      <w:tr>
        <w:tc>
          <w:tcPr>
            <w:tcW w:type="dxa" w:w="2088"/>
          </w:tcPr>
          <w:p>
            <w:pPr>
              <w:spacing w:line="288" w:lineRule="auto" w:after="20"/>
            </w:pPr>
            <w:r/>
            <w:r>
              <w:rPr>
                <w:rFonts w:ascii="Consolas" w:hAnsi="Consolas"/>
                <w:b/>
                <w:color w:val="172126"/>
                <w:sz w:val="17"/>
              </w:rPr>
              <w:t>agent.cost</w:t>
            </w:r>
          </w:p>
        </w:tc>
        <w:tc>
          <w:tcPr>
            <w:tcW w:type="dxa" w:w="2232"/>
          </w:tcPr>
          <w:p>
            <w:pPr>
              <w:spacing w:line="288" w:lineRule="auto" w:after="20"/>
            </w:pPr>
            <w:r/>
            <w:r>
              <w:rPr>
                <w:rFonts w:ascii="Consolas" w:hAnsi="Consolas"/>
                <w:b w:val="0"/>
                <w:color w:val="526068"/>
                <w:sz w:val="17"/>
              </w:rPr>
              <w:t>cost.price_lines</w:t>
            </w:r>
          </w:p>
        </w:tc>
        <w:tc>
          <w:tcPr>
            <w:tcW w:type="dxa" w:w="1008"/>
          </w:tcPr>
          <w:p>
            <w:pPr>
              <w:spacing w:line="288" w:lineRule="auto" w:after="20"/>
            </w:pPr>
            <w:r/>
            <w:r>
              <w:rPr>
                <w:rFonts w:ascii="Consolas" w:hAnsi="Consolas"/>
                <w:b w:val="0"/>
                <w:color w:val="526068"/>
                <w:sz w:val="17"/>
              </w:rPr>
              <w:t>deep</w:t>
            </w:r>
          </w:p>
        </w:tc>
        <w:tc>
          <w:tcPr>
            <w:tcW w:type="dxa" w:w="4176"/>
          </w:tcPr>
          <w:p>
            <w:pPr>
              <w:spacing w:line="288" w:lineRule="auto" w:after="20"/>
            </w:pPr>
            <w:r/>
            <w:r>
              <w:rPr>
                <w:rFonts w:ascii="Consolas" w:hAnsi="Consolas"/>
                <w:b w:val="0"/>
                <w:color w:val="526068"/>
                <w:sz w:val="17"/>
              </w:rPr>
              <w:t>boq_line → cost_line</w:t>
            </w:r>
          </w:p>
        </w:tc>
      </w:tr>
      <w:tr>
        <w:tc>
          <w:tcPr>
            <w:tcW w:type="dxa" w:w="2088"/>
          </w:tcPr>
          <w:p>
            <w:pPr>
              <w:spacing w:line="288" w:lineRule="auto" w:after="20"/>
            </w:pPr>
            <w:r/>
            <w:r>
              <w:rPr>
                <w:rFonts w:ascii="Consolas" w:hAnsi="Consolas"/>
                <w:b/>
                <w:color w:val="172126"/>
                <w:sz w:val="17"/>
              </w:rPr>
              <w:t>agent.schedule</w:t>
            </w:r>
          </w:p>
        </w:tc>
        <w:tc>
          <w:tcPr>
            <w:tcW w:type="dxa" w:w="2232"/>
          </w:tcPr>
          <w:p>
            <w:pPr>
              <w:spacing w:line="288" w:lineRule="auto" w:after="20"/>
            </w:pPr>
            <w:r/>
            <w:r>
              <w:rPr>
                <w:rFonts w:ascii="Consolas" w:hAnsi="Consolas"/>
                <w:b w:val="0"/>
                <w:color w:val="526068"/>
                <w:sz w:val="17"/>
              </w:rPr>
              <w:t>schedule.build_programme</w:t>
            </w:r>
          </w:p>
        </w:tc>
        <w:tc>
          <w:tcPr>
            <w:tcW w:type="dxa" w:w="1008"/>
          </w:tcPr>
          <w:p>
            <w:pPr>
              <w:spacing w:line="288" w:lineRule="auto" w:after="20"/>
            </w:pPr>
            <w:r/>
            <w:r>
              <w:rPr>
                <w:rFonts w:ascii="Consolas" w:hAnsi="Consolas"/>
                <w:b w:val="0"/>
                <w:color w:val="526068"/>
                <w:sz w:val="17"/>
              </w:rPr>
              <w:t>deep</w:t>
            </w:r>
          </w:p>
        </w:tc>
        <w:tc>
          <w:tcPr>
            <w:tcW w:type="dxa" w:w="4176"/>
          </w:tcPr>
          <w:p>
            <w:pPr>
              <w:spacing w:line="288" w:lineRule="auto" w:after="20"/>
            </w:pPr>
            <w:r/>
            <w:r>
              <w:rPr>
                <w:rFonts w:ascii="Consolas" w:hAnsi="Consolas"/>
                <w:b w:val="0"/>
                <w:color w:val="526068"/>
                <w:sz w:val="17"/>
              </w:rPr>
              <w:t>boq_line → schedule_activity</w:t>
            </w:r>
          </w:p>
        </w:tc>
      </w:tr>
      <w:tr>
        <w:tc>
          <w:tcPr>
            <w:tcW w:type="dxa" w:w="2088"/>
          </w:tcPr>
          <w:p>
            <w:pPr>
              <w:spacing w:line="288" w:lineRule="auto" w:after="20"/>
            </w:pPr>
            <w:r/>
            <w:r>
              <w:rPr>
                <w:rFonts w:ascii="Consolas" w:hAnsi="Consolas"/>
                <w:b/>
                <w:color w:val="172126"/>
                <w:sz w:val="17"/>
              </w:rPr>
              <w:t>agent.procurement</w:t>
            </w:r>
          </w:p>
        </w:tc>
        <w:tc>
          <w:tcPr>
            <w:tcW w:type="dxa" w:w="2232"/>
          </w:tcPr>
          <w:p>
            <w:pPr>
              <w:spacing w:line="288" w:lineRule="auto" w:after="20"/>
            </w:pPr>
            <w:r/>
            <w:r>
              <w:rPr>
                <w:rFonts w:ascii="Consolas" w:hAnsi="Consolas"/>
                <w:b w:val="0"/>
                <w:color w:val="526068"/>
                <w:sz w:val="17"/>
              </w:rPr>
              <w:t>procure.build_packages</w:t>
            </w:r>
          </w:p>
        </w:tc>
        <w:tc>
          <w:tcPr>
            <w:tcW w:type="dxa" w:w="1008"/>
          </w:tcPr>
          <w:p>
            <w:pPr>
              <w:spacing w:line="288" w:lineRule="auto" w:after="20"/>
            </w:pPr>
            <w:r/>
            <w:r>
              <w:rPr>
                <w:rFonts w:ascii="Consolas" w:hAnsi="Consolas"/>
                <w:b w:val="0"/>
                <w:color w:val="526068"/>
                <w:sz w:val="17"/>
              </w:rPr>
              <w:t>standard</w:t>
            </w:r>
          </w:p>
        </w:tc>
        <w:tc>
          <w:tcPr>
            <w:tcW w:type="dxa" w:w="4176"/>
          </w:tcPr>
          <w:p>
            <w:pPr>
              <w:spacing w:line="288" w:lineRule="auto" w:after="20"/>
            </w:pPr>
            <w:r/>
            <w:r>
              <w:rPr>
                <w:rFonts w:ascii="Consolas" w:hAnsi="Consolas"/>
                <w:b w:val="0"/>
                <w:color w:val="526068"/>
                <w:sz w:val="17"/>
              </w:rPr>
              <w:t>boq_line → procurement_package</w:t>
            </w:r>
          </w:p>
        </w:tc>
      </w:tr>
      <w:tr>
        <w:tc>
          <w:tcPr>
            <w:tcW w:type="dxa" w:w="2088"/>
          </w:tcPr>
          <w:p>
            <w:pPr>
              <w:spacing w:line="288" w:lineRule="auto" w:after="20"/>
            </w:pPr>
            <w:r/>
            <w:r>
              <w:rPr>
                <w:rFonts w:ascii="Consolas" w:hAnsi="Consolas"/>
                <w:b/>
                <w:color w:val="172126"/>
                <w:sz w:val="17"/>
              </w:rPr>
              <w:t>agent.proposal</w:t>
            </w:r>
          </w:p>
        </w:tc>
        <w:tc>
          <w:tcPr>
            <w:tcW w:type="dxa" w:w="2232"/>
          </w:tcPr>
          <w:p>
            <w:pPr>
              <w:spacing w:line="288" w:lineRule="auto" w:after="20"/>
            </w:pPr>
            <w:r/>
            <w:r>
              <w:rPr>
                <w:rFonts w:ascii="Consolas" w:hAnsi="Consolas"/>
                <w:b w:val="0"/>
                <w:color w:val="526068"/>
                <w:sz w:val="17"/>
              </w:rPr>
              <w:t>proposal.assemble</w:t>
            </w:r>
          </w:p>
        </w:tc>
        <w:tc>
          <w:tcPr>
            <w:tcW w:type="dxa" w:w="1008"/>
          </w:tcPr>
          <w:p>
            <w:pPr>
              <w:spacing w:line="288" w:lineRule="auto" w:after="20"/>
            </w:pPr>
            <w:r/>
            <w:r>
              <w:rPr>
                <w:rFonts w:ascii="Consolas" w:hAnsi="Consolas"/>
                <w:b w:val="0"/>
                <w:color w:val="526068"/>
                <w:sz w:val="17"/>
              </w:rPr>
              <w:t>deep</w:t>
            </w:r>
          </w:p>
        </w:tc>
        <w:tc>
          <w:tcPr>
            <w:tcW w:type="dxa" w:w="4176"/>
          </w:tcPr>
          <w:p>
            <w:pPr>
              <w:spacing w:line="288" w:lineRule="auto" w:after="20"/>
            </w:pPr>
            <w:r/>
            <w:r>
              <w:rPr>
                <w:rFonts w:ascii="Consolas" w:hAnsi="Consolas"/>
                <w:b w:val="0"/>
                <w:color w:val="526068"/>
                <w:sz w:val="17"/>
              </w:rPr>
              <w:t>tender_summary → proposal_doc</w:t>
            </w:r>
          </w:p>
        </w:tc>
      </w:tr>
      <w:tr>
        <w:tc>
          <w:tcPr>
            <w:tcW w:type="dxa" w:w="2088"/>
          </w:tcPr>
          <w:p>
            <w:pPr>
              <w:spacing w:line="288" w:lineRule="auto" w:after="20"/>
            </w:pPr>
            <w:r/>
            <w:r>
              <w:rPr>
                <w:rFonts w:ascii="Consolas" w:hAnsi="Consolas"/>
                <w:b/>
                <w:color w:val="172126"/>
                <w:sz w:val="17"/>
              </w:rPr>
              <w:t>agent.compliance</w:t>
            </w:r>
          </w:p>
        </w:tc>
        <w:tc>
          <w:tcPr>
            <w:tcW w:type="dxa" w:w="2232"/>
          </w:tcPr>
          <w:p>
            <w:pPr>
              <w:spacing w:line="288" w:lineRule="auto" w:after="20"/>
            </w:pPr>
            <w:r/>
            <w:r>
              <w:rPr>
                <w:rFonts w:ascii="Consolas" w:hAnsi="Consolas"/>
                <w:b w:val="0"/>
                <w:color w:val="526068"/>
                <w:sz w:val="17"/>
              </w:rPr>
              <w:t>compliance.check</w:t>
            </w:r>
          </w:p>
        </w:tc>
        <w:tc>
          <w:tcPr>
            <w:tcW w:type="dxa" w:w="1008"/>
          </w:tcPr>
          <w:p>
            <w:pPr>
              <w:spacing w:line="288" w:lineRule="auto" w:after="20"/>
            </w:pPr>
            <w:r/>
            <w:r>
              <w:rPr>
                <w:rFonts w:ascii="Consolas" w:hAnsi="Consolas"/>
                <w:b w:val="0"/>
                <w:color w:val="526068"/>
                <w:sz w:val="17"/>
              </w:rPr>
              <w:t>deep</w:t>
            </w:r>
          </w:p>
        </w:tc>
        <w:tc>
          <w:tcPr>
            <w:tcW w:type="dxa" w:w="4176"/>
          </w:tcPr>
          <w:p>
            <w:pPr>
              <w:spacing w:line="288" w:lineRule="auto" w:after="20"/>
            </w:pPr>
            <w:r/>
            <w:r>
              <w:rPr>
                <w:rFonts w:ascii="Consolas" w:hAnsi="Consolas"/>
                <w:b w:val="0"/>
                <w:color w:val="526068"/>
                <w:sz w:val="17"/>
              </w:rPr>
              <w:t>tender_summary → compliance_item</w:t>
            </w:r>
          </w:p>
        </w:tc>
      </w:tr>
      <w:tr>
        <w:tc>
          <w:tcPr>
            <w:tcW w:type="dxa" w:w="2088"/>
          </w:tcPr>
          <w:p>
            <w:pPr>
              <w:spacing w:line="288" w:lineRule="auto" w:after="20"/>
            </w:pPr>
            <w:r/>
            <w:r>
              <w:rPr>
                <w:rFonts w:ascii="Consolas" w:hAnsi="Consolas"/>
                <w:b/>
                <w:color w:val="172126"/>
                <w:sz w:val="17"/>
              </w:rPr>
              <w:t>agent.approval_prep</w:t>
            </w:r>
          </w:p>
        </w:tc>
        <w:tc>
          <w:tcPr>
            <w:tcW w:type="dxa" w:w="2232"/>
          </w:tcPr>
          <w:p>
            <w:pPr>
              <w:spacing w:line="288" w:lineRule="auto" w:after="20"/>
            </w:pPr>
            <w:r/>
            <w:r>
              <w:rPr>
                <w:rFonts w:ascii="Consolas" w:hAnsi="Consolas"/>
                <w:b w:val="0"/>
                <w:color w:val="526068"/>
                <w:sz w:val="17"/>
              </w:rPr>
              <w:t>approval.prepare</w:t>
            </w:r>
          </w:p>
        </w:tc>
        <w:tc>
          <w:tcPr>
            <w:tcW w:type="dxa" w:w="1008"/>
          </w:tcPr>
          <w:p>
            <w:pPr>
              <w:spacing w:line="288" w:lineRule="auto" w:after="20"/>
            </w:pPr>
            <w:r/>
            <w:r>
              <w:rPr>
                <w:rFonts w:ascii="Consolas" w:hAnsi="Consolas"/>
                <w:b w:val="0"/>
                <w:color w:val="526068"/>
                <w:sz w:val="17"/>
              </w:rPr>
              <w:t>deep</w:t>
            </w:r>
          </w:p>
        </w:tc>
        <w:tc>
          <w:tcPr>
            <w:tcW w:type="dxa" w:w="4176"/>
          </w:tcPr>
          <w:p>
            <w:pPr>
              <w:spacing w:line="288" w:lineRule="auto" w:after="20"/>
            </w:pPr>
            <w:r/>
            <w:r>
              <w:rPr>
                <w:rFonts w:ascii="Consolas" w:hAnsi="Consolas"/>
                <w:b w:val="0"/>
                <w:color w:val="526068"/>
                <w:sz w:val="17"/>
              </w:rPr>
              <w:t>proposal_doc → bid_approval</w:t>
            </w:r>
          </w:p>
        </w:tc>
      </w:tr>
      <w:tr>
        <w:tc>
          <w:tcPr>
            <w:tcW w:type="dxa" w:w="2088"/>
          </w:tcPr>
          <w:p>
            <w:pPr>
              <w:spacing w:line="288" w:lineRule="auto" w:after="20"/>
            </w:pPr>
            <w:r/>
            <w:r>
              <w:rPr>
                <w:rFonts w:ascii="Consolas" w:hAnsi="Consolas"/>
                <w:b/>
                <w:color w:val="172126"/>
                <w:sz w:val="17"/>
              </w:rPr>
              <w:t>agent.bid_qualification</w:t>
            </w:r>
          </w:p>
        </w:tc>
        <w:tc>
          <w:tcPr>
            <w:tcW w:type="dxa" w:w="2232"/>
          </w:tcPr>
          <w:p>
            <w:pPr>
              <w:spacing w:line="288" w:lineRule="auto" w:after="20"/>
            </w:pPr>
            <w:r/>
            <w:r>
              <w:rPr>
                <w:rFonts w:ascii="Consolas" w:hAnsi="Consolas"/>
                <w:b w:val="0"/>
                <w:color w:val="526068"/>
                <w:sz w:val="17"/>
              </w:rPr>
              <w:t>bid.qualify</w:t>
            </w:r>
          </w:p>
        </w:tc>
        <w:tc>
          <w:tcPr>
            <w:tcW w:type="dxa" w:w="1008"/>
          </w:tcPr>
          <w:p>
            <w:pPr>
              <w:spacing w:line="288" w:lineRule="auto" w:after="20"/>
            </w:pPr>
            <w:r/>
            <w:r>
              <w:rPr>
                <w:rFonts w:ascii="Consolas" w:hAnsi="Consolas"/>
                <w:b w:val="0"/>
                <w:color w:val="526068"/>
                <w:sz w:val="17"/>
              </w:rPr>
              <w:t>deep</w:t>
            </w:r>
          </w:p>
        </w:tc>
        <w:tc>
          <w:tcPr>
            <w:tcW w:type="dxa" w:w="4176"/>
          </w:tcPr>
          <w:p>
            <w:pPr>
              <w:spacing w:line="288" w:lineRule="auto" w:after="20"/>
            </w:pPr>
            <w:r/>
            <w:r>
              <w:rPr>
                <w:rFonts w:ascii="Consolas" w:hAnsi="Consolas"/>
                <w:b w:val="0"/>
                <w:color w:val="526068"/>
                <w:sz w:val="17"/>
              </w:rPr>
              <w:t>tender_summary → bid_decision</w:t>
            </w:r>
          </w:p>
        </w:tc>
      </w:tr>
      <w:tr>
        <w:tc>
          <w:tcPr>
            <w:tcW w:type="dxa" w:w="2088"/>
          </w:tcPr>
          <w:p>
            <w:pPr>
              <w:spacing w:line="288" w:lineRule="auto" w:after="20"/>
            </w:pPr>
            <w:r/>
            <w:r>
              <w:rPr>
                <w:rFonts w:ascii="Consolas" w:hAnsi="Consolas"/>
                <w:b/>
                <w:color w:val="172126"/>
                <w:sz w:val="17"/>
              </w:rPr>
              <w:t>agent.clarification</w:t>
            </w:r>
          </w:p>
        </w:tc>
        <w:tc>
          <w:tcPr>
            <w:tcW w:type="dxa" w:w="2232"/>
          </w:tcPr>
          <w:p>
            <w:pPr>
              <w:spacing w:line="288" w:lineRule="auto" w:after="20"/>
            </w:pPr>
            <w:r/>
            <w:r>
              <w:rPr>
                <w:rFonts w:ascii="Consolas" w:hAnsi="Consolas"/>
                <w:b w:val="0"/>
                <w:color w:val="526068"/>
                <w:sz w:val="17"/>
              </w:rPr>
              <w:t>clarification.draft</w:t>
            </w:r>
          </w:p>
        </w:tc>
        <w:tc>
          <w:tcPr>
            <w:tcW w:type="dxa" w:w="1008"/>
          </w:tcPr>
          <w:p>
            <w:pPr>
              <w:spacing w:line="288" w:lineRule="auto" w:after="20"/>
            </w:pPr>
            <w:r/>
            <w:r>
              <w:rPr>
                <w:rFonts w:ascii="Consolas" w:hAnsi="Consolas"/>
                <w:b w:val="0"/>
                <w:color w:val="526068"/>
                <w:sz w:val="17"/>
              </w:rPr>
              <w:t>deep</w:t>
            </w:r>
          </w:p>
        </w:tc>
        <w:tc>
          <w:tcPr>
            <w:tcW w:type="dxa" w:w="4176"/>
          </w:tcPr>
          <w:p>
            <w:pPr>
              <w:spacing w:line="288" w:lineRule="auto" w:after="20"/>
            </w:pPr>
            <w:r/>
            <w:r>
              <w:rPr>
                <w:rFonts w:ascii="Consolas" w:hAnsi="Consolas"/>
                <w:b w:val="0"/>
                <w:color w:val="526068"/>
                <w:sz w:val="17"/>
              </w:rPr>
              <w:t>client_query → client_query</w:t>
            </w:r>
          </w:p>
        </w:tc>
      </w:tr>
      <w:tr>
        <w:tc>
          <w:tcPr>
            <w:tcW w:type="dxa" w:w="2088"/>
          </w:tcPr>
          <w:p>
            <w:pPr>
              <w:spacing w:line="288" w:lineRule="auto" w:after="20"/>
            </w:pPr>
            <w:r/>
            <w:r>
              <w:rPr>
                <w:rFonts w:ascii="Consolas" w:hAnsi="Consolas"/>
                <w:b/>
                <w:color w:val="172126"/>
                <w:sz w:val="17"/>
              </w:rPr>
              <w:t>agent.rfi</w:t>
            </w:r>
          </w:p>
        </w:tc>
        <w:tc>
          <w:tcPr>
            <w:tcW w:type="dxa" w:w="2232"/>
          </w:tcPr>
          <w:p>
            <w:pPr>
              <w:spacing w:line="288" w:lineRule="auto" w:after="20"/>
            </w:pPr>
            <w:r/>
            <w:r>
              <w:rPr>
                <w:rFonts w:ascii="Consolas" w:hAnsi="Consolas"/>
                <w:b w:val="0"/>
                <w:color w:val="526068"/>
                <w:sz w:val="17"/>
              </w:rPr>
              <w:t>rfi.detect</w:t>
            </w:r>
          </w:p>
        </w:tc>
        <w:tc>
          <w:tcPr>
            <w:tcW w:type="dxa" w:w="1008"/>
          </w:tcPr>
          <w:p>
            <w:pPr>
              <w:spacing w:line="288" w:lineRule="auto" w:after="20"/>
            </w:pPr>
            <w:r/>
            <w:r>
              <w:rPr>
                <w:rFonts w:ascii="Consolas" w:hAnsi="Consolas"/>
                <w:b w:val="0"/>
                <w:color w:val="526068"/>
                <w:sz w:val="17"/>
              </w:rPr>
              <w:t>standard</w:t>
            </w:r>
          </w:p>
        </w:tc>
        <w:tc>
          <w:tcPr>
            <w:tcW w:type="dxa" w:w="4176"/>
          </w:tcPr>
          <w:p>
            <w:pPr>
              <w:spacing w:line="288" w:lineRule="auto" w:after="20"/>
            </w:pPr>
            <w:r/>
            <w:r>
              <w:rPr>
                <w:rFonts w:ascii="Consolas" w:hAnsi="Consolas"/>
                <w:b w:val="0"/>
                <w:color w:val="526068"/>
                <w:sz w:val="17"/>
              </w:rPr>
              <w:t>tender_summary → rfi</w:t>
            </w:r>
          </w:p>
        </w:tc>
      </w:tr>
      <w:tr>
        <w:tc>
          <w:tcPr>
            <w:tcW w:type="dxa" w:w="2088"/>
          </w:tcPr>
          <w:p>
            <w:pPr>
              <w:spacing w:line="288" w:lineRule="auto" w:after="20"/>
            </w:pPr>
            <w:r/>
            <w:r>
              <w:rPr>
                <w:rFonts w:ascii="Consolas" w:hAnsi="Consolas"/>
                <w:b/>
                <w:color w:val="172126"/>
                <w:sz w:val="17"/>
              </w:rPr>
              <w:t>agent.risk</w:t>
            </w:r>
          </w:p>
        </w:tc>
        <w:tc>
          <w:tcPr>
            <w:tcW w:type="dxa" w:w="2232"/>
          </w:tcPr>
          <w:p>
            <w:pPr>
              <w:spacing w:line="288" w:lineRule="auto" w:after="20"/>
            </w:pPr>
            <w:r/>
            <w:r>
              <w:rPr>
                <w:rFonts w:ascii="Consolas" w:hAnsi="Consolas"/>
                <w:b w:val="0"/>
                <w:color w:val="526068"/>
                <w:sz w:val="17"/>
              </w:rPr>
              <w:t>risk.assess</w:t>
            </w:r>
          </w:p>
        </w:tc>
        <w:tc>
          <w:tcPr>
            <w:tcW w:type="dxa" w:w="1008"/>
          </w:tcPr>
          <w:p>
            <w:pPr>
              <w:spacing w:line="288" w:lineRule="auto" w:after="20"/>
            </w:pPr>
            <w:r/>
            <w:r>
              <w:rPr>
                <w:rFonts w:ascii="Consolas" w:hAnsi="Consolas"/>
                <w:b w:val="0"/>
                <w:color w:val="526068"/>
                <w:sz w:val="17"/>
              </w:rPr>
              <w:t>deep</w:t>
            </w:r>
          </w:p>
        </w:tc>
        <w:tc>
          <w:tcPr>
            <w:tcW w:type="dxa" w:w="4176"/>
          </w:tcPr>
          <w:p>
            <w:pPr>
              <w:spacing w:line="288" w:lineRule="auto" w:after="20"/>
            </w:pPr>
            <w:r/>
            <w:r>
              <w:rPr>
                <w:rFonts w:ascii="Consolas" w:hAnsi="Consolas"/>
                <w:b w:val="0"/>
                <w:color w:val="526068"/>
                <w:sz w:val="17"/>
              </w:rPr>
              <w:t>tender_summary → risk</w:t>
            </w:r>
          </w:p>
        </w:tc>
      </w:tr>
    </w:tbl>
    <w:p>
      <w:pPr>
        <w:spacing w:after="60"/>
      </w:pPr>
    </w:p>
    <w:p>
      <w:pPr>
        <w:spacing w:before="280" w:after="100" w:line="312" w:lineRule="auto"/>
      </w:pPr>
      <w:r>
        <w:rPr>
          <w:rFonts w:ascii="Calibri" w:hAnsi="Calibri"/>
          <w:b/>
          <w:i w:val="0"/>
          <w:color w:val="172126"/>
          <w:sz w:val="24"/>
        </w:rPr>
        <w:t>5.2  Service and supervisor agents</w:t>
      </w:r>
    </w:p>
    <w:tbl>
      <w:tblPr>
        <w:tblW w:type="auto" w:w="0"/>
        <w:jc w:val="left"/>
        <w:tblLook w:firstColumn="1" w:firstRow="1" w:lastColumn="0" w:lastRow="0" w:noHBand="0" w:noVBand="1" w:val="04A0"/>
        <w:tblBorders>
          <w:top w:val="single" w:sz="4" w:space="0" w:color="D8DEE2"/>
          <w:left w:val="single" w:sz="4" w:space="0" w:color="D8DEE2"/>
          <w:bottom w:val="single" w:sz="4" w:space="0" w:color="D8DEE2"/>
          <w:right w:val="single" w:sz="4" w:space="0" w:color="D8DEE2"/>
          <w:insideH w:val="single" w:sz="4" w:space="0" w:color="D8DEE2"/>
          <w:insideV w:val="single" w:sz="4" w:space="0" w:color="D8DEE2"/>
        </w:tblBorders>
      </w:tblPr>
      <w:tblGrid>
        <w:gridCol w:w="2448"/>
        <w:gridCol w:w="2448"/>
        <w:gridCol w:w="2448"/>
        <w:gridCol w:w="2448"/>
      </w:tblGrid>
      <w:tr>
        <w:tc>
          <w:tcPr>
            <w:tcW w:type="dxa" w:w="2736"/>
            <w:shd w:val="clear" w:fill="F0F3F4"/>
          </w:tcPr>
          <w:p>
            <w:r/>
            <w:r>
              <w:rPr>
                <w:rFonts w:ascii="Calibri" w:hAnsi="Calibri"/>
                <w:b/>
                <w:color w:val="667279"/>
                <w:sz w:val="14"/>
              </w:rPr>
              <w:t>AGENT</w:t>
            </w:r>
          </w:p>
        </w:tc>
        <w:tc>
          <w:tcPr>
            <w:tcW w:type="dxa" w:w="1368"/>
            <w:shd w:val="clear" w:fill="F0F3F4"/>
          </w:tcPr>
          <w:p>
            <w:r/>
            <w:r>
              <w:rPr>
                <w:rFonts w:ascii="Calibri" w:hAnsi="Calibri"/>
                <w:b/>
                <w:color w:val="667279"/>
                <w:sz w:val="14"/>
              </w:rPr>
              <w:t>KIND</w:t>
            </w:r>
          </w:p>
        </w:tc>
        <w:tc>
          <w:tcPr>
            <w:tcW w:type="dxa" w:w="4176"/>
            <w:shd w:val="clear" w:fill="F0F3F4"/>
          </w:tcPr>
          <w:p>
            <w:r/>
            <w:r>
              <w:rPr>
                <w:rFonts w:ascii="Calibri" w:hAnsi="Calibri"/>
                <w:b/>
                <w:color w:val="667279"/>
                <w:sz w:val="14"/>
              </w:rPr>
              <w:t>TASK TYPES</w:t>
            </w:r>
          </w:p>
        </w:tc>
        <w:tc>
          <w:tcPr>
            <w:tcW w:type="dxa" w:w="1224"/>
            <w:shd w:val="clear" w:fill="F0F3F4"/>
          </w:tcPr>
          <w:p>
            <w:r/>
            <w:r>
              <w:rPr>
                <w:rFonts w:ascii="Calibri" w:hAnsi="Calibri"/>
                <w:b/>
                <w:color w:val="667279"/>
                <w:sz w:val="14"/>
              </w:rPr>
              <w:t>TIER</w:t>
            </w:r>
          </w:p>
        </w:tc>
      </w:tr>
      <w:tr>
        <w:tc>
          <w:tcPr>
            <w:tcW w:type="dxa" w:w="2736"/>
          </w:tcPr>
          <w:p>
            <w:pPr>
              <w:spacing w:line="288" w:lineRule="auto" w:after="20"/>
            </w:pPr>
            <w:r/>
            <w:r>
              <w:rPr>
                <w:rFonts w:ascii="Consolas" w:hAnsi="Consolas"/>
                <w:b/>
                <w:color w:val="172126"/>
                <w:sz w:val="17"/>
              </w:rPr>
              <w:t>agent.knowledge</w:t>
            </w:r>
          </w:p>
        </w:tc>
        <w:tc>
          <w:tcPr>
            <w:tcW w:type="dxa" w:w="1368"/>
          </w:tcPr>
          <w:p>
            <w:pPr>
              <w:spacing w:line="288" w:lineRule="auto" w:after="20"/>
            </w:pPr>
            <w:r/>
            <w:r>
              <w:rPr>
                <w:rFonts w:ascii="Calibri" w:hAnsi="Calibri"/>
                <w:b w:val="0"/>
                <w:color w:val="526068"/>
                <w:sz w:val="17"/>
              </w:rPr>
              <w:t>service</w:t>
            </w:r>
          </w:p>
        </w:tc>
        <w:tc>
          <w:tcPr>
            <w:tcW w:type="dxa" w:w="4176"/>
          </w:tcPr>
          <w:p>
            <w:pPr>
              <w:spacing w:line="288" w:lineRule="auto" w:after="20"/>
            </w:pPr>
            <w:r/>
            <w:r>
              <w:rPr>
                <w:rFonts w:ascii="Consolas" w:hAnsi="Consolas"/>
                <w:b w:val="0"/>
                <w:color w:val="526068"/>
                <w:sz w:val="17"/>
              </w:rPr>
              <w:t>knowledge.search</w:t>
            </w:r>
          </w:p>
        </w:tc>
        <w:tc>
          <w:tcPr>
            <w:tcW w:type="dxa" w:w="1224"/>
          </w:tcPr>
          <w:p>
            <w:pPr>
              <w:spacing w:line="288" w:lineRule="auto" w:after="20"/>
            </w:pPr>
            <w:r/>
            <w:r>
              <w:rPr>
                <w:rFonts w:ascii="Consolas" w:hAnsi="Consolas"/>
                <w:b w:val="0"/>
                <w:color w:val="526068"/>
                <w:sz w:val="17"/>
              </w:rPr>
              <w:t>routing</w:t>
            </w:r>
          </w:p>
        </w:tc>
      </w:tr>
      <w:tr>
        <w:tc>
          <w:tcPr>
            <w:tcW w:type="dxa" w:w="2736"/>
          </w:tcPr>
          <w:p>
            <w:pPr>
              <w:spacing w:line="288" w:lineRule="auto" w:after="20"/>
            </w:pPr>
            <w:r/>
            <w:r>
              <w:rPr>
                <w:rFonts w:ascii="Consolas" w:hAnsi="Consolas"/>
                <w:b/>
                <w:color w:val="172126"/>
                <w:sz w:val="17"/>
              </w:rPr>
              <w:t>agent.construction_copilot</w:t>
            </w:r>
          </w:p>
        </w:tc>
        <w:tc>
          <w:tcPr>
            <w:tcW w:type="dxa" w:w="1368"/>
          </w:tcPr>
          <w:p>
            <w:pPr>
              <w:spacing w:line="288" w:lineRule="auto" w:after="20"/>
            </w:pPr>
            <w:r/>
            <w:r>
              <w:rPr>
                <w:rFonts w:ascii="Calibri" w:hAnsi="Calibri"/>
                <w:b w:val="0"/>
                <w:color w:val="526068"/>
                <w:sz w:val="17"/>
              </w:rPr>
              <w:t>supervisor</w:t>
            </w:r>
          </w:p>
        </w:tc>
        <w:tc>
          <w:tcPr>
            <w:tcW w:type="dxa" w:w="4176"/>
          </w:tcPr>
          <w:p>
            <w:pPr>
              <w:spacing w:line="288" w:lineRule="auto" w:after="20"/>
            </w:pPr>
            <w:r/>
            <w:r>
              <w:rPr>
                <w:rFonts w:ascii="Consolas" w:hAnsi="Consolas"/>
                <w:b w:val="0"/>
                <w:color w:val="526068"/>
                <w:sz w:val="17"/>
              </w:rPr>
              <w:t>copilot.respond · copilot.review_run</w:t>
            </w:r>
          </w:p>
        </w:tc>
        <w:tc>
          <w:tcPr>
            <w:tcW w:type="dxa" w:w="1224"/>
          </w:tcPr>
          <w:p>
            <w:pPr>
              <w:spacing w:line="288" w:lineRule="auto" w:after="20"/>
            </w:pPr>
            <w:r/>
            <w:r>
              <w:rPr>
                <w:rFonts w:ascii="Consolas" w:hAnsi="Consolas"/>
                <w:b w:val="0"/>
                <w:color w:val="526068"/>
                <w:sz w:val="17"/>
              </w:rPr>
              <w:t>deep</w:t>
            </w:r>
          </w:p>
        </w:tc>
      </w:tr>
      <w:tr>
        <w:tc>
          <w:tcPr>
            <w:tcW w:type="dxa" w:w="2736"/>
          </w:tcPr>
          <w:p>
            <w:pPr>
              <w:spacing w:line="288" w:lineRule="auto" w:after="20"/>
            </w:pPr>
            <w:r/>
            <w:r>
              <w:rPr>
                <w:rFonts w:ascii="Consolas" w:hAnsi="Consolas"/>
                <w:b/>
                <w:color w:val="172126"/>
                <w:sz w:val="17"/>
              </w:rPr>
              <w:t>agent.commercial</w:t>
            </w:r>
          </w:p>
        </w:tc>
        <w:tc>
          <w:tcPr>
            <w:tcW w:type="dxa" w:w="1368"/>
          </w:tcPr>
          <w:p>
            <w:pPr>
              <w:spacing w:line="288" w:lineRule="auto" w:after="20"/>
            </w:pPr>
            <w:r/>
            <w:r>
              <w:rPr>
                <w:rFonts w:ascii="Calibri" w:hAnsi="Calibri"/>
                <w:b w:val="0"/>
                <w:color w:val="526068"/>
                <w:sz w:val="17"/>
              </w:rPr>
              <w:t>supervisor</w:t>
            </w:r>
          </w:p>
        </w:tc>
        <w:tc>
          <w:tcPr>
            <w:tcW w:type="dxa" w:w="4176"/>
          </w:tcPr>
          <w:p>
            <w:pPr>
              <w:spacing w:line="288" w:lineRule="auto" w:after="20"/>
            </w:pPr>
            <w:r/>
            <w:r>
              <w:rPr>
                <w:rFonts w:ascii="Consolas" w:hAnsi="Consolas"/>
                <w:b w:val="0"/>
                <w:color w:val="526068"/>
                <w:sz w:val="17"/>
              </w:rPr>
              <w:t>commercial.respond · commercial.review_run</w:t>
            </w:r>
          </w:p>
        </w:tc>
        <w:tc>
          <w:tcPr>
            <w:tcW w:type="dxa" w:w="1224"/>
          </w:tcPr>
          <w:p>
            <w:pPr>
              <w:spacing w:line="288" w:lineRule="auto" w:after="20"/>
            </w:pPr>
            <w:r/>
            <w:r>
              <w:rPr>
                <w:rFonts w:ascii="Consolas" w:hAnsi="Consolas"/>
                <w:b w:val="0"/>
                <w:color w:val="526068"/>
                <w:sz w:val="17"/>
              </w:rPr>
              <w:t>deep</w:t>
            </w:r>
          </w:p>
        </w:tc>
      </w:tr>
      <w:tr>
        <w:tc>
          <w:tcPr>
            <w:tcW w:type="dxa" w:w="2736"/>
          </w:tcPr>
          <w:p>
            <w:pPr>
              <w:spacing w:line="288" w:lineRule="auto" w:after="20"/>
            </w:pPr>
            <w:r/>
            <w:r>
              <w:rPr>
                <w:rFonts w:ascii="Consolas" w:hAnsi="Consolas"/>
                <w:b/>
                <w:color w:val="172126"/>
                <w:sz w:val="17"/>
              </w:rPr>
              <w:t>agent.compliance_lead</w:t>
            </w:r>
          </w:p>
        </w:tc>
        <w:tc>
          <w:tcPr>
            <w:tcW w:type="dxa" w:w="1368"/>
          </w:tcPr>
          <w:p>
            <w:pPr>
              <w:spacing w:line="288" w:lineRule="auto" w:after="20"/>
            </w:pPr>
            <w:r/>
            <w:r>
              <w:rPr>
                <w:rFonts w:ascii="Calibri" w:hAnsi="Calibri"/>
                <w:b w:val="0"/>
                <w:color w:val="526068"/>
                <w:sz w:val="17"/>
              </w:rPr>
              <w:t>supervisor</w:t>
            </w:r>
          </w:p>
        </w:tc>
        <w:tc>
          <w:tcPr>
            <w:tcW w:type="dxa" w:w="4176"/>
          </w:tcPr>
          <w:p>
            <w:pPr>
              <w:spacing w:line="288" w:lineRule="auto" w:after="20"/>
            </w:pPr>
            <w:r/>
            <w:r>
              <w:rPr>
                <w:rFonts w:ascii="Consolas" w:hAnsi="Consolas"/>
                <w:b w:val="0"/>
                <w:color w:val="526068"/>
                <w:sz w:val="17"/>
              </w:rPr>
              <w:t>compliance_lead.respond · .review_run</w:t>
            </w:r>
          </w:p>
        </w:tc>
        <w:tc>
          <w:tcPr>
            <w:tcW w:type="dxa" w:w="1224"/>
          </w:tcPr>
          <w:p>
            <w:pPr>
              <w:spacing w:line="288" w:lineRule="auto" w:after="20"/>
            </w:pPr>
            <w:r/>
            <w:r>
              <w:rPr>
                <w:rFonts w:ascii="Consolas" w:hAnsi="Consolas"/>
                <w:b w:val="0"/>
                <w:color w:val="526068"/>
                <w:sz w:val="17"/>
              </w:rPr>
              <w:t>deep</w:t>
            </w:r>
          </w:p>
        </w:tc>
      </w:tr>
    </w:tbl>
    <w:p>
      <w:pPr>
        <w:spacing w:after="60"/>
      </w:pPr>
    </w:p>
    <w:p>
      <w:pPr>
        <w:spacing w:before="0" w:after="160" w:line="312" w:lineRule="auto"/>
      </w:pPr>
      <w:r>
        <w:rPr>
          <w:rFonts w:ascii="Georgia" w:hAnsi="Georgia"/>
          <w:b w:val="0"/>
          <w:i w:val="0"/>
          <w:color w:val="526068"/>
          <w:sz w:val="20"/>
        </w:rPr>
        <w:t>A supervisor answers questions and reviews a completed run; it does not produce artifacts. A service agent is a capability other agents call.</w:t>
      </w:r>
    </w:p>
    <w:p>
      <w:pPr>
        <w:spacing w:before="280" w:after="100" w:line="312" w:lineRule="auto"/>
      </w:pPr>
      <w:r>
        <w:rPr>
          <w:rFonts w:ascii="Calibri" w:hAnsi="Calibri"/>
          <w:b/>
          <w:i w:val="0"/>
          <w:color w:val="172126"/>
          <w:sz w:val="24"/>
        </w:rPr>
        <w:t>5.3  The BOQ roster</w:t>
      </w:r>
    </w:p>
    <w:p>
      <w:pPr>
        <w:spacing w:before="0" w:after="160" w:line="312" w:lineRule="auto"/>
      </w:pPr>
      <w:r>
        <w:rPr>
          <w:rFonts w:ascii="Georgia" w:hAnsi="Georgia"/>
          <w:b w:val="0"/>
          <w:i w:val="0"/>
          <w:color w:val="526068"/>
          <w:sz w:val="20"/>
        </w:rPr>
        <w:t>boq.derive_lines is not one model call. A designer pass proposes a roster of specialists for the project type; an outline pass proposes divisions; then one call per division prices it, staying inside its own scope. The roster travels back on the result so the BOQ screen can show who priced the bill and what was checked — without it the pipeline is invisible and a reviewer cannot judge its coverage.</w:t>
      </w:r>
    </w:p>
    <w:p>
      <w:pPr>
        <w:spacing w:before="280" w:after="100" w:line="312" w:lineRule="auto"/>
      </w:pPr>
      <w:r>
        <w:rPr>
          <w:rFonts w:ascii="Calibri" w:hAnsi="Calibri"/>
          <w:b/>
          <w:i w:val="0"/>
          <w:color w:val="172126"/>
          <w:sz w:val="24"/>
        </w:rPr>
        <w:t>5.4  Tiers and model resolution</w:t>
      </w:r>
    </w:p>
    <w:tbl>
      <w:tblPr>
        <w:tblW w:type="auto" w:w="0"/>
        <w:jc w:val="left"/>
        <w:tblLook w:firstColumn="1" w:firstRow="1" w:lastColumn="0" w:lastRow="0" w:noHBand="0" w:noVBand="1" w:val="04A0"/>
        <w:tblBorders>
          <w:top w:val="single" w:sz="4" w:space="0" w:color="D8DEE2"/>
          <w:left w:val="single" w:sz="4" w:space="0" w:color="D8DEE2"/>
          <w:bottom w:val="single" w:sz="4" w:space="0" w:color="D8DEE2"/>
          <w:right w:val="single" w:sz="4" w:space="0" w:color="D8DEE2"/>
          <w:insideH w:val="single" w:sz="4" w:space="0" w:color="D8DEE2"/>
          <w:insideV w:val="single" w:sz="4" w:space="0" w:color="D8DEE2"/>
        </w:tblBorders>
      </w:tblPr>
      <w:tblGrid>
        <w:gridCol w:w="2448"/>
        <w:gridCol w:w="2448"/>
        <w:gridCol w:w="2448"/>
        <w:gridCol w:w="2448"/>
      </w:tblGrid>
      <w:tr>
        <w:tc>
          <w:tcPr>
            <w:tcW w:type="dxa" w:w="1296"/>
            <w:shd w:val="clear" w:fill="F0F3F4"/>
          </w:tcPr>
          <w:p>
            <w:r/>
            <w:r>
              <w:rPr>
                <w:rFonts w:ascii="Calibri" w:hAnsi="Calibri"/>
                <w:b/>
                <w:color w:val="667279"/>
                <w:sz w:val="14"/>
              </w:rPr>
              <w:t>TIER</w:t>
            </w:r>
          </w:p>
        </w:tc>
        <w:tc>
          <w:tcPr>
            <w:tcW w:type="dxa" w:w="2304"/>
            <w:shd w:val="clear" w:fill="F0F3F4"/>
          </w:tcPr>
          <w:p>
            <w:r/>
            <w:r>
              <w:rPr>
                <w:rFonts w:ascii="Calibri" w:hAnsi="Calibri"/>
                <w:b/>
                <w:color w:val="667279"/>
                <w:sz w:val="14"/>
              </w:rPr>
              <w:t>ALIAS</w:t>
            </w:r>
          </w:p>
        </w:tc>
        <w:tc>
          <w:tcPr>
            <w:tcW w:type="dxa" w:w="2448"/>
            <w:shd w:val="clear" w:fill="F0F3F4"/>
          </w:tcPr>
          <w:p>
            <w:r/>
            <w:r>
              <w:rPr>
                <w:rFonts w:ascii="Calibri" w:hAnsi="Calibri"/>
                <w:b/>
                <w:color w:val="667279"/>
                <w:sz w:val="14"/>
              </w:rPr>
              <w:t>MODEL</w:t>
            </w:r>
          </w:p>
        </w:tc>
        <w:tc>
          <w:tcPr>
            <w:tcW w:type="dxa" w:w="3456"/>
            <w:shd w:val="clear" w:fill="F0F3F4"/>
          </w:tcPr>
          <w:p>
            <w:r/>
            <w:r>
              <w:rPr>
                <w:rFonts w:ascii="Calibri" w:hAnsi="Calibri"/>
                <w:b/>
                <w:color w:val="667279"/>
                <w:sz w:val="14"/>
              </w:rPr>
              <w:t>RATE IN/OUT (MINOR PER MTOK)</w:t>
            </w:r>
          </w:p>
        </w:tc>
      </w:tr>
      <w:tr>
        <w:tc>
          <w:tcPr>
            <w:tcW w:type="dxa" w:w="1296"/>
          </w:tcPr>
          <w:p>
            <w:pPr>
              <w:spacing w:line="288" w:lineRule="auto" w:after="20"/>
            </w:pPr>
            <w:r/>
            <w:r>
              <w:rPr>
                <w:rFonts w:ascii="Consolas" w:hAnsi="Consolas"/>
                <w:b/>
                <w:color w:val="172126"/>
                <w:sz w:val="17"/>
              </w:rPr>
              <w:t>routing</w:t>
            </w:r>
          </w:p>
        </w:tc>
        <w:tc>
          <w:tcPr>
            <w:tcW w:type="dxa" w:w="2304"/>
          </w:tcPr>
          <w:p>
            <w:pPr>
              <w:spacing w:line="288" w:lineRule="auto" w:after="20"/>
            </w:pPr>
            <w:r/>
            <w:r>
              <w:rPr>
                <w:rFonts w:ascii="Consolas" w:hAnsi="Consolas"/>
                <w:b w:val="0"/>
                <w:color w:val="526068"/>
                <w:sz w:val="17"/>
              </w:rPr>
              <w:t>preckon-small</w:t>
            </w:r>
          </w:p>
        </w:tc>
        <w:tc>
          <w:tcPr>
            <w:tcW w:type="dxa" w:w="2448"/>
          </w:tcPr>
          <w:p>
            <w:pPr>
              <w:spacing w:line="288" w:lineRule="auto" w:after="20"/>
            </w:pPr>
            <w:r/>
            <w:r>
              <w:rPr>
                <w:rFonts w:ascii="Consolas" w:hAnsi="Consolas"/>
                <w:b w:val="0"/>
                <w:color w:val="526068"/>
                <w:sz w:val="17"/>
              </w:rPr>
              <w:t>claude-haiku-4-5</w:t>
            </w:r>
          </w:p>
        </w:tc>
        <w:tc>
          <w:tcPr>
            <w:tcW w:type="dxa" w:w="3456"/>
          </w:tcPr>
          <w:p>
            <w:pPr>
              <w:spacing w:line="288" w:lineRule="auto" w:after="20"/>
            </w:pPr>
            <w:r/>
            <w:r>
              <w:rPr>
                <w:rFonts w:ascii="Consolas" w:hAnsi="Consolas"/>
                <w:b w:val="0"/>
                <w:color w:val="526068"/>
                <w:sz w:val="17"/>
              </w:rPr>
              <w:t>100 / 500</w:t>
            </w:r>
          </w:p>
        </w:tc>
      </w:tr>
      <w:tr>
        <w:tc>
          <w:tcPr>
            <w:tcW w:type="dxa" w:w="1296"/>
          </w:tcPr>
          <w:p>
            <w:pPr>
              <w:spacing w:line="288" w:lineRule="auto" w:after="20"/>
            </w:pPr>
            <w:r/>
            <w:r>
              <w:rPr>
                <w:rFonts w:ascii="Consolas" w:hAnsi="Consolas"/>
                <w:b/>
                <w:color w:val="172126"/>
                <w:sz w:val="17"/>
              </w:rPr>
              <w:t>standard</w:t>
            </w:r>
          </w:p>
        </w:tc>
        <w:tc>
          <w:tcPr>
            <w:tcW w:type="dxa" w:w="2304"/>
          </w:tcPr>
          <w:p>
            <w:pPr>
              <w:spacing w:line="288" w:lineRule="auto" w:after="20"/>
            </w:pPr>
            <w:r/>
            <w:r>
              <w:rPr>
                <w:rFonts w:ascii="Consolas" w:hAnsi="Consolas"/>
                <w:b w:val="0"/>
                <w:color w:val="526068"/>
                <w:sz w:val="17"/>
              </w:rPr>
              <w:t>preckon-reasoning</w:t>
            </w:r>
          </w:p>
        </w:tc>
        <w:tc>
          <w:tcPr>
            <w:tcW w:type="dxa" w:w="2448"/>
          </w:tcPr>
          <w:p>
            <w:pPr>
              <w:spacing w:line="288" w:lineRule="auto" w:after="20"/>
            </w:pPr>
            <w:r/>
            <w:r>
              <w:rPr>
                <w:rFonts w:ascii="Consolas" w:hAnsi="Consolas"/>
                <w:b w:val="0"/>
                <w:color w:val="526068"/>
                <w:sz w:val="17"/>
              </w:rPr>
              <w:t>claude-sonnet-5</w:t>
            </w:r>
          </w:p>
        </w:tc>
        <w:tc>
          <w:tcPr>
            <w:tcW w:type="dxa" w:w="3456"/>
          </w:tcPr>
          <w:p>
            <w:pPr>
              <w:spacing w:line="288" w:lineRule="auto" w:after="20"/>
            </w:pPr>
            <w:r/>
            <w:r>
              <w:rPr>
                <w:rFonts w:ascii="Consolas" w:hAnsi="Consolas"/>
                <w:b w:val="0"/>
                <w:color w:val="526068"/>
                <w:sz w:val="17"/>
              </w:rPr>
              <w:t>300 / 1500</w:t>
            </w:r>
          </w:p>
        </w:tc>
      </w:tr>
      <w:tr>
        <w:tc>
          <w:tcPr>
            <w:tcW w:type="dxa" w:w="1296"/>
          </w:tcPr>
          <w:p>
            <w:pPr>
              <w:spacing w:line="288" w:lineRule="auto" w:after="20"/>
            </w:pPr>
            <w:r/>
            <w:r>
              <w:rPr>
                <w:rFonts w:ascii="Consolas" w:hAnsi="Consolas"/>
                <w:b/>
                <w:color w:val="172126"/>
                <w:sz w:val="17"/>
              </w:rPr>
              <w:t>deep</w:t>
            </w:r>
          </w:p>
        </w:tc>
        <w:tc>
          <w:tcPr>
            <w:tcW w:type="dxa" w:w="2304"/>
          </w:tcPr>
          <w:p>
            <w:pPr>
              <w:spacing w:line="288" w:lineRule="auto" w:after="20"/>
            </w:pPr>
            <w:r/>
            <w:r>
              <w:rPr>
                <w:rFonts w:ascii="Consolas" w:hAnsi="Consolas"/>
                <w:b w:val="0"/>
                <w:color w:val="526068"/>
                <w:sz w:val="17"/>
              </w:rPr>
              <w:t>frontier-reasoning</w:t>
            </w:r>
          </w:p>
        </w:tc>
        <w:tc>
          <w:tcPr>
            <w:tcW w:type="dxa" w:w="2448"/>
          </w:tcPr>
          <w:p>
            <w:pPr>
              <w:spacing w:line="288" w:lineRule="auto" w:after="20"/>
            </w:pPr>
            <w:r/>
            <w:r>
              <w:rPr>
                <w:rFonts w:ascii="Consolas" w:hAnsi="Consolas"/>
                <w:b w:val="0"/>
                <w:color w:val="526068"/>
                <w:sz w:val="17"/>
              </w:rPr>
              <w:t>claude-opus-4-8</w:t>
            </w:r>
          </w:p>
        </w:tc>
        <w:tc>
          <w:tcPr>
            <w:tcW w:type="dxa" w:w="3456"/>
          </w:tcPr>
          <w:p>
            <w:pPr>
              <w:spacing w:line="288" w:lineRule="auto" w:after="20"/>
            </w:pPr>
            <w:r/>
            <w:r>
              <w:rPr>
                <w:rFonts w:ascii="Consolas" w:hAnsi="Consolas"/>
                <w:b w:val="0"/>
                <w:color w:val="526068"/>
                <w:sz w:val="17"/>
              </w:rPr>
              <w:t>500 / 2500</w:t>
            </w:r>
          </w:p>
        </w:tc>
      </w:tr>
    </w:tbl>
    <w:p>
      <w:pPr>
        <w:spacing w:after="60"/>
      </w:pPr>
    </w:p>
    <w:p>
      <w:pPr>
        <w:spacing w:before="0" w:after="160" w:line="312" w:lineRule="auto"/>
      </w:pPr>
      <w:r>
        <w:rPr>
          <w:rFonts w:ascii="Georgia" w:hAnsi="Georgia"/>
          <w:b w:val="0"/>
          <w:i w:val="0"/>
          <w:color w:val="526068"/>
          <w:sz w:val="20"/>
        </w:rPr>
        <w:t>Application code names a tier, never a model. The registry resolves it, so replacing a model is an UPDATE rather than a code change and a deploy. Rate cards are seeded at LIST price even where a promotional rate applies, because a budget check that under-estimates permits more spend than the customer agreed to.</w:t>
      </w:r>
    </w:p>
    <w:p>
      <w:r>
        <w:br w:type="page"/>
      </w:r>
    </w:p>
    <w:p>
      <w:pPr>
        <w:spacing w:before="0" w:after="60" w:line="312" w:lineRule="auto"/>
      </w:pPr>
      <w:r>
        <w:rPr>
          <w:rFonts w:ascii="Consolas" w:hAnsi="Consolas"/>
          <w:b/>
          <w:i w:val="0"/>
          <w:color w:val="087E75"/>
          <w:sz w:val="15"/>
        </w:rPr>
        <w:t>CHAPTER 6</w:t>
      </w:r>
    </w:p>
    <w:p>
      <w:pPr>
        <w:spacing w:before="0" w:after="160" w:line="252" w:lineRule="auto"/>
      </w:pPr>
      <w:r>
        <w:rPr>
          <w:rFonts w:ascii="Georgia" w:hAnsi="Georgia"/>
          <w:b/>
          <w:i w:val="0"/>
          <w:color w:val="172126"/>
          <w:sz w:val="40"/>
        </w:rPr>
        <w:t>The artifact lifecycle</w:t>
      </w:r>
    </w:p>
    <w:p>
      <w:pPr>
        <w:spacing w:before="0" w:after="200" w:line="312" w:lineRule="auto"/>
      </w:pPr>
      <w:r>
        <w:rPr>
          <w:rFonts w:ascii="Georgia" w:hAnsi="Georgia"/>
          <w:b w:val="0"/>
          <w:i w:val="0"/>
          <w:color w:val="526068"/>
          <w:sz w:val="22"/>
        </w:rPr>
        <w:t>One table, one lifecycle, seventeen types. This is the signature interaction of the product.</w:t>
      </w:r>
    </w:p>
    <w:p>
      <w:pPr>
        <w:spacing w:before="160" w:after="100"/>
        <w:jc w:val="center"/>
      </w:pPr>
      <w:r>
        <w:drawing>
          <wp:inline xmlns:a="http://schemas.openxmlformats.org/drawingml/2006/main" xmlns:pic="http://schemas.openxmlformats.org/drawingml/2006/picture">
            <wp:extent cx="5760720" cy="1927668"/>
            <wp:docPr id="2" name="Picture 2"/>
            <wp:cNvGraphicFramePr>
              <a:graphicFrameLocks noChangeAspect="1"/>
            </wp:cNvGraphicFramePr>
            <a:graphic>
              <a:graphicData uri="http://schemas.openxmlformats.org/drawingml/2006/picture">
                <pic:pic>
                  <pic:nvPicPr>
                    <pic:cNvPr id="0" name="diagram2.png"/>
                    <pic:cNvPicPr/>
                  </pic:nvPicPr>
                  <pic:blipFill>
                    <a:blip r:embed="rId10"/>
                    <a:stretch>
                      <a:fillRect/>
                    </a:stretch>
                  </pic:blipFill>
                  <pic:spPr>
                    <a:xfrm>
                      <a:off x="0" y="0"/>
                      <a:ext cx="5760720" cy="1927668"/>
                    </a:xfrm>
                    <a:prstGeom prst="rect"/>
                  </pic:spPr>
                </pic:pic>
              </a:graphicData>
            </a:graphic>
          </wp:inline>
        </w:drawing>
      </w:r>
    </w:p>
    <w:p>
      <w:pPr>
        <w:spacing w:after="240" w:line="302" w:lineRule="auto"/>
      </w:pPr>
      <w:r>
        <w:rPr>
          <w:rFonts w:ascii="Calibri" w:hAnsi="Calibri"/>
          <w:b/>
          <w:color w:val="172126"/>
          <w:sz w:val="16"/>
        </w:rPr>
        <w:t xml:space="preserve">Nothing crosses into project data without the middle box. </w:t>
      </w:r>
      <w:r>
        <w:rPr>
          <w:rFonts w:ascii="Calibri" w:hAnsi="Calibri"/>
          <w:color w:val="667279"/>
          <w:sz w:val="16"/>
        </w:rPr>
        <w:t>A correction supersedes rather than overwrites, and marks everything derived from it stale — so a changed quantity visibly invalidates the estimate that used it instead of silently disagreeing with it. A rejection is kept: rejecting real output is a decision.</w:t>
      </w:r>
    </w:p>
    <w:tbl>
      <w:tblPr>
        <w:tblW w:type="auto" w:w="0"/>
        <w:jc w:val="left"/>
        <w:tblLook w:firstColumn="1" w:firstRow="1" w:lastColumn="0" w:lastRow="0" w:noHBand="0" w:noVBand="1" w:val="04A0"/>
        <w:tblBorders>
          <w:top w:val="single" w:sz="4" w:space="0" w:color="D8DEE2"/>
          <w:left w:val="single" w:sz="4" w:space="0" w:color="D8DEE2"/>
          <w:bottom w:val="single" w:sz="4" w:space="0" w:color="D8DEE2"/>
          <w:right w:val="single" w:sz="4" w:space="0" w:color="D8DEE2"/>
          <w:insideH w:val="single" w:sz="4" w:space="0" w:color="D8DEE2"/>
          <w:insideV w:val="single" w:sz="4" w:space="0" w:color="D8DEE2"/>
        </w:tblBorders>
      </w:tblPr>
      <w:tblGrid>
        <w:gridCol w:w="3264"/>
        <w:gridCol w:w="3264"/>
        <w:gridCol w:w="3264"/>
      </w:tblGrid>
      <w:tr>
        <w:tc>
          <w:tcPr>
            <w:tcW w:type="dxa" w:w="1368"/>
            <w:shd w:val="clear" w:fill="F0F3F4"/>
          </w:tcPr>
          <w:p>
            <w:r/>
            <w:r>
              <w:rPr>
                <w:rFonts w:ascii="Calibri" w:hAnsi="Calibri"/>
                <w:b/>
                <w:color w:val="667279"/>
                <w:sz w:val="14"/>
              </w:rPr>
              <w:t>STATUS</w:t>
            </w:r>
          </w:p>
        </w:tc>
        <w:tc>
          <w:tcPr>
            <w:tcW w:type="dxa" w:w="4176"/>
            <w:shd w:val="clear" w:fill="F0F3F4"/>
          </w:tcPr>
          <w:p>
            <w:r/>
            <w:r>
              <w:rPr>
                <w:rFonts w:ascii="Calibri" w:hAnsi="Calibri"/>
                <w:b/>
                <w:color w:val="667279"/>
                <w:sz w:val="14"/>
              </w:rPr>
              <w:t>MEANING</w:t>
            </w:r>
          </w:p>
        </w:tc>
        <w:tc>
          <w:tcPr>
            <w:tcW w:type="dxa" w:w="3888"/>
            <w:shd w:val="clear" w:fill="F0F3F4"/>
          </w:tcPr>
          <w:p>
            <w:r/>
            <w:r>
              <w:rPr>
                <w:rFonts w:ascii="Calibri" w:hAnsi="Calibri"/>
                <w:b/>
                <w:color w:val="667279"/>
                <w:sz w:val="14"/>
              </w:rPr>
              <w:t>REACHED BY</w:t>
            </w:r>
          </w:p>
        </w:tc>
      </w:tr>
      <w:tr>
        <w:tc>
          <w:tcPr>
            <w:tcW w:type="dxa" w:w="1368"/>
          </w:tcPr>
          <w:p>
            <w:pPr>
              <w:spacing w:line="288" w:lineRule="auto" w:after="20"/>
            </w:pPr>
            <w:r/>
            <w:r>
              <w:rPr>
                <w:rFonts w:ascii="Consolas" w:hAnsi="Consolas"/>
                <w:b/>
                <w:color w:val="172126"/>
                <w:sz w:val="17"/>
              </w:rPr>
              <w:t>pending</w:t>
            </w:r>
          </w:p>
        </w:tc>
        <w:tc>
          <w:tcPr>
            <w:tcW w:type="dxa" w:w="4176"/>
          </w:tcPr>
          <w:p>
            <w:pPr>
              <w:spacing w:line="288" w:lineRule="auto" w:after="20"/>
            </w:pPr>
            <w:r/>
            <w:r>
              <w:rPr>
                <w:rFonts w:ascii="Calibri" w:hAnsi="Calibri"/>
                <w:b w:val="0"/>
                <w:color w:val="526068"/>
                <w:sz w:val="17"/>
              </w:rPr>
              <w:t>A proposal awaiting a human decision.</w:t>
            </w:r>
          </w:p>
        </w:tc>
        <w:tc>
          <w:tcPr>
            <w:tcW w:type="dxa" w:w="3888"/>
          </w:tcPr>
          <w:p>
            <w:pPr>
              <w:spacing w:line="288" w:lineRule="auto" w:after="20"/>
            </w:pPr>
            <w:r/>
            <w:r>
              <w:rPr>
                <w:rFonts w:ascii="Calibri" w:hAnsi="Calibri"/>
                <w:b w:val="0"/>
                <w:color w:val="526068"/>
                <w:sz w:val="17"/>
              </w:rPr>
              <w:t>An agent run produced it.</w:t>
            </w:r>
          </w:p>
        </w:tc>
      </w:tr>
      <w:tr>
        <w:tc>
          <w:tcPr>
            <w:tcW w:type="dxa" w:w="1368"/>
          </w:tcPr>
          <w:p>
            <w:pPr>
              <w:spacing w:line="288" w:lineRule="auto" w:after="20"/>
            </w:pPr>
            <w:r/>
            <w:r>
              <w:rPr>
                <w:rFonts w:ascii="Consolas" w:hAnsi="Consolas"/>
                <w:b/>
                <w:color w:val="172126"/>
                <w:sz w:val="17"/>
              </w:rPr>
              <w:t>confirmed</w:t>
            </w:r>
          </w:p>
        </w:tc>
        <w:tc>
          <w:tcPr>
            <w:tcW w:type="dxa" w:w="4176"/>
          </w:tcPr>
          <w:p>
            <w:pPr>
              <w:spacing w:line="288" w:lineRule="auto" w:after="20"/>
            </w:pPr>
            <w:r/>
            <w:r>
              <w:rPr>
                <w:rFonts w:ascii="Calibri" w:hAnsi="Calibri"/>
                <w:b w:val="0"/>
                <w:color w:val="526068"/>
                <w:sz w:val="17"/>
              </w:rPr>
              <w:t>Project data. Downstream stages may consume it.</w:t>
            </w:r>
          </w:p>
        </w:tc>
        <w:tc>
          <w:tcPr>
            <w:tcW w:type="dxa" w:w="3888"/>
          </w:tcPr>
          <w:p>
            <w:pPr>
              <w:spacing w:line="288" w:lineRule="auto" w:after="20"/>
            </w:pPr>
            <w:r/>
            <w:r>
              <w:rPr>
                <w:rFonts w:ascii="Calibri" w:hAnsi="Calibri"/>
                <w:b w:val="0"/>
                <w:color w:val="526068"/>
                <w:sz w:val="17"/>
              </w:rPr>
              <w:t>A reviewer confirmed it.</w:t>
            </w:r>
          </w:p>
        </w:tc>
      </w:tr>
      <w:tr>
        <w:tc>
          <w:tcPr>
            <w:tcW w:type="dxa" w:w="1368"/>
          </w:tcPr>
          <w:p>
            <w:pPr>
              <w:spacing w:line="288" w:lineRule="auto" w:after="20"/>
            </w:pPr>
            <w:r/>
            <w:r>
              <w:rPr>
                <w:rFonts w:ascii="Consolas" w:hAnsi="Consolas"/>
                <w:b/>
                <w:color w:val="172126"/>
                <w:sz w:val="17"/>
              </w:rPr>
              <w:t>rejected</w:t>
            </w:r>
          </w:p>
        </w:tc>
        <w:tc>
          <w:tcPr>
            <w:tcW w:type="dxa" w:w="4176"/>
          </w:tcPr>
          <w:p>
            <w:pPr>
              <w:spacing w:line="288" w:lineRule="auto" w:after="20"/>
            </w:pPr>
            <w:r/>
            <w:r>
              <w:rPr>
                <w:rFonts w:ascii="Calibri" w:hAnsi="Calibri"/>
                <w:b w:val="0"/>
                <w:color w:val="526068"/>
                <w:sz w:val="17"/>
              </w:rPr>
              <w:t>Kept, not applied. The record of a decision.</w:t>
            </w:r>
          </w:p>
        </w:tc>
        <w:tc>
          <w:tcPr>
            <w:tcW w:type="dxa" w:w="3888"/>
          </w:tcPr>
          <w:p>
            <w:pPr>
              <w:spacing w:line="288" w:lineRule="auto" w:after="20"/>
            </w:pPr>
            <w:r/>
            <w:r>
              <w:rPr>
                <w:rFonts w:ascii="Calibri" w:hAnsi="Calibri"/>
                <w:b w:val="0"/>
                <w:color w:val="526068"/>
                <w:sz w:val="17"/>
              </w:rPr>
              <w:t>A reviewer rejected it.</w:t>
            </w:r>
          </w:p>
        </w:tc>
      </w:tr>
      <w:tr>
        <w:tc>
          <w:tcPr>
            <w:tcW w:type="dxa" w:w="1368"/>
          </w:tcPr>
          <w:p>
            <w:pPr>
              <w:spacing w:line="288" w:lineRule="auto" w:after="20"/>
            </w:pPr>
            <w:r/>
            <w:r>
              <w:rPr>
                <w:rFonts w:ascii="Consolas" w:hAnsi="Consolas"/>
                <w:b/>
                <w:color w:val="172126"/>
                <w:sz w:val="17"/>
              </w:rPr>
              <w:t>stale</w:t>
            </w:r>
          </w:p>
        </w:tc>
        <w:tc>
          <w:tcPr>
            <w:tcW w:type="dxa" w:w="4176"/>
          </w:tcPr>
          <w:p>
            <w:pPr>
              <w:spacing w:line="288" w:lineRule="auto" w:after="20"/>
            </w:pPr>
            <w:r/>
            <w:r>
              <w:rPr>
                <w:rFonts w:ascii="Calibri" w:hAnsi="Calibri"/>
                <w:b w:val="0"/>
                <w:color w:val="526068"/>
                <w:sz w:val="17"/>
              </w:rPr>
              <w:t>Was confirmed; something it derived from has since changed.</w:t>
            </w:r>
          </w:p>
        </w:tc>
        <w:tc>
          <w:tcPr>
            <w:tcW w:type="dxa" w:w="3888"/>
          </w:tcPr>
          <w:p>
            <w:pPr>
              <w:spacing w:line="288" w:lineRule="auto" w:after="20"/>
            </w:pPr>
            <w:r/>
            <w:r>
              <w:rPr>
                <w:rFonts w:ascii="Calibri" w:hAnsi="Calibri"/>
                <w:b w:val="0"/>
                <w:color w:val="526068"/>
                <w:sz w:val="17"/>
              </w:rPr>
              <w:t>An upstream correction cascaded.</w:t>
            </w:r>
          </w:p>
        </w:tc>
      </w:tr>
      <w:tr>
        <w:tc>
          <w:tcPr>
            <w:tcW w:type="dxa" w:w="1368"/>
          </w:tcPr>
          <w:p>
            <w:pPr>
              <w:spacing w:line="288" w:lineRule="auto" w:after="20"/>
            </w:pPr>
            <w:r/>
            <w:r>
              <w:rPr>
                <w:rFonts w:ascii="Consolas" w:hAnsi="Consolas"/>
                <w:b/>
                <w:color w:val="172126"/>
                <w:sz w:val="17"/>
              </w:rPr>
              <w:t>superseded</w:t>
            </w:r>
          </w:p>
        </w:tc>
        <w:tc>
          <w:tcPr>
            <w:tcW w:type="dxa" w:w="4176"/>
          </w:tcPr>
          <w:p>
            <w:pPr>
              <w:spacing w:line="288" w:lineRule="auto" w:after="20"/>
            </w:pPr>
            <w:r/>
            <w:r>
              <w:rPr>
                <w:rFonts w:ascii="Calibri" w:hAnsi="Calibri"/>
                <w:b w:val="0"/>
                <w:color w:val="526068"/>
                <w:sz w:val="17"/>
              </w:rPr>
              <w:t>Replaced by a later version of itself.</w:t>
            </w:r>
          </w:p>
        </w:tc>
        <w:tc>
          <w:tcPr>
            <w:tcW w:type="dxa" w:w="3888"/>
          </w:tcPr>
          <w:p>
            <w:pPr>
              <w:spacing w:line="288" w:lineRule="auto" w:after="20"/>
            </w:pPr>
            <w:r/>
            <w:r>
              <w:rPr>
                <w:rFonts w:ascii="Calibri" w:hAnsi="Calibri"/>
                <w:b w:val="0"/>
                <w:color w:val="526068"/>
                <w:sz w:val="17"/>
              </w:rPr>
              <w:t>A correction created version n+1.</w:t>
            </w:r>
          </w:p>
        </w:tc>
      </w:tr>
    </w:tbl>
    <w:p>
      <w:pPr>
        <w:spacing w:after="60"/>
      </w:pPr>
    </w:p>
    <w:p>
      <w:pPr>
        <w:spacing w:before="280" w:after="100" w:line="312" w:lineRule="auto"/>
      </w:pPr>
      <w:r>
        <w:rPr>
          <w:rFonts w:ascii="Calibri" w:hAnsi="Calibri"/>
          <w:b/>
          <w:i w:val="0"/>
          <w:color w:val="172126"/>
          <w:sz w:val="24"/>
        </w:rPr>
        <w:t>6.1  Provenance and the stale cascade</w:t>
      </w:r>
    </w:p>
    <w:p>
      <w:pPr>
        <w:spacing w:before="0" w:after="160" w:line="312" w:lineRule="auto"/>
      </w:pPr>
      <w:r>
        <w:rPr>
          <w:rFonts w:ascii="Georgia" w:hAnsi="Georgia"/>
          <w:b w:val="0"/>
          <w:i w:val="0"/>
          <w:color w:val="526068"/>
          <w:sz w:val="20"/>
        </w:rPr>
        <w:t>artifact_provenance records which artifacts an artifact was derived from. A correction walks that graph forward and marks every descendant stale, and the API returns the count so the reviewer is told how far the change reached. This is what stops a corrected quantity leaving a priced estimate that quietly disagrees with it.</w:t>
      </w:r>
    </w:p>
    <w:p>
      <w:pPr>
        <w:spacing w:before="280" w:after="100" w:line="312" w:lineRule="auto"/>
      </w:pPr>
      <w:r>
        <w:rPr>
          <w:rFonts w:ascii="Calibri" w:hAnsi="Calibri"/>
          <w:b/>
          <w:i w:val="0"/>
          <w:color w:val="172126"/>
          <w:sz w:val="24"/>
        </w:rPr>
        <w:t>6.2  Audit chain</w:t>
      </w:r>
    </w:p>
    <w:p>
      <w:pPr>
        <w:spacing w:before="0" w:after="160" w:line="312" w:lineRule="auto"/>
      </w:pPr>
      <w:r>
        <w:rPr>
          <w:rFonts w:ascii="Georgia" w:hAnsi="Georgia"/>
          <w:b w:val="0"/>
          <w:i w:val="0"/>
          <w:color w:val="526068"/>
          <w:sz w:val="20"/>
        </w:rPr>
        <w:t>Every transition appends to audit_event, and audit_chain holds a running last_seq and last_hash so the log is tamper-evident: an entry cannot be edited or removed without breaking the hash link. GET /v1/audit/verify walks the chain and returns ok plus the first broken sequence, if any. Audit rows are append-only through every exposed path.</w:t>
      </w:r>
    </w:p>
    <w:p>
      <w:r>
        <w:br w:type="page"/>
      </w:r>
    </w:p>
    <w:p>
      <w:pPr>
        <w:spacing w:before="0" w:after="60" w:line="312" w:lineRule="auto"/>
      </w:pPr>
      <w:r>
        <w:rPr>
          <w:rFonts w:ascii="Consolas" w:hAnsi="Consolas"/>
          <w:b/>
          <w:i w:val="0"/>
          <w:color w:val="087E75"/>
          <w:sz w:val="15"/>
        </w:rPr>
        <w:t>CHAPTER 7</w:t>
      </w:r>
    </w:p>
    <w:p>
      <w:pPr>
        <w:spacing w:before="0" w:after="160" w:line="252" w:lineRule="auto"/>
      </w:pPr>
      <w:r>
        <w:rPr>
          <w:rFonts w:ascii="Georgia" w:hAnsi="Georgia"/>
          <w:b/>
          <w:i w:val="0"/>
          <w:color w:val="172126"/>
          <w:sz w:val="40"/>
        </w:rPr>
        <w:t>The AI fabric</w:t>
      </w:r>
    </w:p>
    <w:p>
      <w:pPr>
        <w:spacing w:before="0" w:after="200" w:line="312" w:lineRule="auto"/>
      </w:pPr>
      <w:r>
        <w:rPr>
          <w:rFonts w:ascii="Georgia" w:hAnsi="Georgia"/>
          <w:b w:val="0"/>
          <w:i w:val="0"/>
          <w:color w:val="526068"/>
          <w:sz w:val="22"/>
        </w:rPr>
        <w:t>No module calls a model provider. Every request passes one governed path.</w:t>
      </w:r>
    </w:p>
    <w:tbl>
      <w:tblPr>
        <w:tblW w:type="auto" w:w="0"/>
        <w:jc w:val="left"/>
        <w:tblLook w:firstColumn="1" w:firstRow="1" w:lastColumn="0" w:lastRow="0" w:noHBand="0" w:noVBand="1" w:val="04A0"/>
        <w:tblBorders>
          <w:top w:val="single" w:sz="4" w:space="0" w:color="D8DEE2"/>
          <w:left w:val="single" w:sz="4" w:space="0" w:color="D8DEE2"/>
          <w:bottom w:val="single" w:sz="4" w:space="0" w:color="D8DEE2"/>
          <w:right w:val="single" w:sz="4" w:space="0" w:color="D8DEE2"/>
          <w:insideH w:val="single" w:sz="4" w:space="0" w:color="D8DEE2"/>
          <w:insideV w:val="single" w:sz="4" w:space="0" w:color="D8DEE2"/>
        </w:tblBorders>
      </w:tblPr>
      <w:tblGrid>
        <w:gridCol w:w="3264"/>
        <w:gridCol w:w="3264"/>
        <w:gridCol w:w="3264"/>
      </w:tblGrid>
      <w:tr>
        <w:tc>
          <w:tcPr>
            <w:tcW w:type="dxa" w:w="1872"/>
            <w:shd w:val="clear" w:fill="F0F3F4"/>
          </w:tcPr>
          <w:p>
            <w:r/>
            <w:r>
              <w:rPr>
                <w:rFonts w:ascii="Calibri" w:hAnsi="Calibri"/>
                <w:b/>
                <w:color w:val="667279"/>
                <w:sz w:val="14"/>
              </w:rPr>
              <w:t>COMPONENT</w:t>
            </w:r>
          </w:p>
        </w:tc>
        <w:tc>
          <w:tcPr>
            <w:tcW w:type="dxa" w:w="5184"/>
            <w:shd w:val="clear" w:fill="F0F3F4"/>
          </w:tcPr>
          <w:p>
            <w:r/>
            <w:r>
              <w:rPr>
                <w:rFonts w:ascii="Calibri" w:hAnsi="Calibri"/>
                <w:b/>
                <w:color w:val="667279"/>
                <w:sz w:val="14"/>
              </w:rPr>
              <w:t>QUESTION IT ANSWERS</w:t>
            </w:r>
          </w:p>
        </w:tc>
        <w:tc>
          <w:tcPr>
            <w:tcW w:type="dxa" w:w="2448"/>
            <w:shd w:val="clear" w:fill="F0F3F4"/>
          </w:tcPr>
          <w:p>
            <w:r/>
            <w:r>
              <w:rPr>
                <w:rFonts w:ascii="Calibri" w:hAnsi="Calibri"/>
                <w:b/>
                <w:color w:val="667279"/>
                <w:sz w:val="14"/>
              </w:rPr>
              <w:t>FILE</w:t>
            </w:r>
          </w:p>
        </w:tc>
      </w:tr>
      <w:tr>
        <w:tc>
          <w:tcPr>
            <w:tcW w:type="dxa" w:w="1872"/>
          </w:tcPr>
          <w:p>
            <w:pPr>
              <w:spacing w:line="288" w:lineRule="auto" w:after="20"/>
            </w:pPr>
            <w:r/>
            <w:r>
              <w:rPr>
                <w:rFonts w:ascii="Calibri" w:hAnsi="Calibri"/>
                <w:b/>
                <w:color w:val="172126"/>
                <w:sz w:val="17"/>
              </w:rPr>
              <w:t>Tenant policy</w:t>
            </w:r>
          </w:p>
        </w:tc>
        <w:tc>
          <w:tcPr>
            <w:tcW w:type="dxa" w:w="5184"/>
          </w:tcPr>
          <w:p>
            <w:pPr>
              <w:spacing w:line="288" w:lineRule="auto" w:after="20"/>
            </w:pPr>
            <w:r/>
            <w:r>
              <w:rPr>
                <w:rFonts w:ascii="Calibri" w:hAnsi="Calibri"/>
                <w:b w:val="0"/>
                <w:color w:val="526068"/>
                <w:sz w:val="17"/>
              </w:rPr>
              <w:t>May this data reach this boundary? Unclassified is treated as confidential.</w:t>
            </w:r>
          </w:p>
        </w:tc>
        <w:tc>
          <w:tcPr>
            <w:tcW w:type="dxa" w:w="2448"/>
          </w:tcPr>
          <w:p>
            <w:pPr>
              <w:spacing w:line="288" w:lineRule="auto" w:after="20"/>
            </w:pPr>
            <w:r/>
            <w:r>
              <w:rPr>
                <w:rFonts w:ascii="Consolas" w:hAnsi="Consolas"/>
                <w:b w:val="0"/>
                <w:color w:val="526068"/>
                <w:sz w:val="17"/>
              </w:rPr>
              <w:t>ai/policy.ts</w:t>
            </w:r>
          </w:p>
        </w:tc>
      </w:tr>
      <w:tr>
        <w:tc>
          <w:tcPr>
            <w:tcW w:type="dxa" w:w="1872"/>
          </w:tcPr>
          <w:p>
            <w:pPr>
              <w:spacing w:line="288" w:lineRule="auto" w:after="20"/>
            </w:pPr>
            <w:r/>
            <w:r>
              <w:rPr>
                <w:rFonts w:ascii="Calibri" w:hAnsi="Calibri"/>
                <w:b/>
                <w:color w:val="172126"/>
                <w:sz w:val="17"/>
              </w:rPr>
              <w:t>Model registry</w:t>
            </w:r>
          </w:p>
        </w:tc>
        <w:tc>
          <w:tcPr>
            <w:tcW w:type="dxa" w:w="5184"/>
          </w:tcPr>
          <w:p>
            <w:pPr>
              <w:spacing w:line="288" w:lineRule="auto" w:after="20"/>
            </w:pPr>
            <w:r/>
            <w:r>
              <w:rPr>
                <w:rFonts w:ascii="Calibri" w:hAnsi="Calibri"/>
                <w:b w:val="0"/>
                <w:color w:val="526068"/>
                <w:sz w:val="17"/>
              </w:rPr>
              <w:t>Which model does this alias mean today, and what does it cost?</w:t>
            </w:r>
          </w:p>
        </w:tc>
        <w:tc>
          <w:tcPr>
            <w:tcW w:type="dxa" w:w="2448"/>
          </w:tcPr>
          <w:p>
            <w:pPr>
              <w:spacing w:line="288" w:lineRule="auto" w:after="20"/>
            </w:pPr>
            <w:r/>
            <w:r>
              <w:rPr>
                <w:rFonts w:ascii="Consolas" w:hAnsi="Consolas"/>
                <w:b w:val="0"/>
                <w:color w:val="526068"/>
                <w:sz w:val="17"/>
              </w:rPr>
              <w:t>ai/registry.ts</w:t>
            </w:r>
          </w:p>
        </w:tc>
      </w:tr>
      <w:tr>
        <w:tc>
          <w:tcPr>
            <w:tcW w:type="dxa" w:w="1872"/>
          </w:tcPr>
          <w:p>
            <w:pPr>
              <w:spacing w:line="288" w:lineRule="auto" w:after="20"/>
            </w:pPr>
            <w:r/>
            <w:r>
              <w:rPr>
                <w:rFonts w:ascii="Calibri" w:hAnsi="Calibri"/>
                <w:b/>
                <w:color w:val="172126"/>
                <w:sz w:val="17"/>
              </w:rPr>
              <w:t>Budget</w:t>
            </w:r>
          </w:p>
        </w:tc>
        <w:tc>
          <w:tcPr>
            <w:tcW w:type="dxa" w:w="5184"/>
          </w:tcPr>
          <w:p>
            <w:pPr>
              <w:spacing w:line="288" w:lineRule="auto" w:after="20"/>
            </w:pPr>
            <w:r/>
            <w:r>
              <w:rPr>
                <w:rFonts w:ascii="Calibri" w:hAnsi="Calibri"/>
                <w:b w:val="0"/>
                <w:color w:val="526068"/>
                <w:sz w:val="17"/>
              </w:rPr>
              <w:t>Token, cost, latency and tier ceilings. Estimated before, measured after.</w:t>
            </w:r>
          </w:p>
        </w:tc>
        <w:tc>
          <w:tcPr>
            <w:tcW w:type="dxa" w:w="2448"/>
          </w:tcPr>
          <w:p>
            <w:pPr>
              <w:spacing w:line="288" w:lineRule="auto" w:after="20"/>
            </w:pPr>
            <w:r/>
            <w:r>
              <w:rPr>
                <w:rFonts w:ascii="Consolas" w:hAnsi="Consolas"/>
                <w:b w:val="0"/>
                <w:color w:val="526068"/>
                <w:sz w:val="17"/>
              </w:rPr>
              <w:t>ai/budget.ts</w:t>
            </w:r>
          </w:p>
        </w:tc>
      </w:tr>
      <w:tr>
        <w:tc>
          <w:tcPr>
            <w:tcW w:type="dxa" w:w="1872"/>
          </w:tcPr>
          <w:p>
            <w:pPr>
              <w:spacing w:line="288" w:lineRule="auto" w:after="20"/>
            </w:pPr>
            <w:r/>
            <w:r>
              <w:rPr>
                <w:rFonts w:ascii="Calibri" w:hAnsi="Calibri"/>
                <w:b/>
                <w:color w:val="172126"/>
                <w:sz w:val="17"/>
              </w:rPr>
              <w:t>Dispatch gate</w:t>
            </w:r>
          </w:p>
        </w:tc>
        <w:tc>
          <w:tcPr>
            <w:tcW w:type="dxa" w:w="5184"/>
          </w:tcPr>
          <w:p>
            <w:pPr>
              <w:spacing w:line="288" w:lineRule="auto" w:after="20"/>
            </w:pPr>
            <w:r/>
            <w:r>
              <w:rPr>
                <w:rFonts w:ascii="Calibri" w:hAnsi="Calibri"/>
                <w:b w:val="0"/>
                <w:color w:val="526068"/>
                <w:sz w:val="17"/>
              </w:rPr>
              <w:t>Asks all three, in one place, on every job. Pure — testable without a DB.</w:t>
            </w:r>
          </w:p>
        </w:tc>
        <w:tc>
          <w:tcPr>
            <w:tcW w:type="dxa" w:w="2448"/>
          </w:tcPr>
          <w:p>
            <w:pPr>
              <w:spacing w:line="288" w:lineRule="auto" w:after="20"/>
            </w:pPr>
            <w:r/>
            <w:r>
              <w:rPr>
                <w:rFonts w:ascii="Consolas" w:hAnsi="Consolas"/>
                <w:b w:val="0"/>
                <w:color w:val="526068"/>
                <w:sz w:val="17"/>
              </w:rPr>
              <w:t>ai/govern.ts</w:t>
            </w:r>
          </w:p>
        </w:tc>
      </w:tr>
      <w:tr>
        <w:tc>
          <w:tcPr>
            <w:tcW w:type="dxa" w:w="1872"/>
          </w:tcPr>
          <w:p>
            <w:pPr>
              <w:spacing w:line="288" w:lineRule="auto" w:after="20"/>
            </w:pPr>
            <w:r/>
            <w:r>
              <w:rPr>
                <w:rFonts w:ascii="Calibri" w:hAnsi="Calibri"/>
                <w:b/>
                <w:color w:val="172126"/>
                <w:sz w:val="17"/>
              </w:rPr>
              <w:t>Prompt registry</w:t>
            </w:r>
          </w:p>
        </w:tc>
        <w:tc>
          <w:tcPr>
            <w:tcW w:type="dxa" w:w="5184"/>
          </w:tcPr>
          <w:p>
            <w:pPr>
              <w:spacing w:line="288" w:lineRule="auto" w:after="20"/>
            </w:pPr>
            <w:r/>
            <w:r>
              <w:rPr>
                <w:rFonts w:ascii="Calibri" w:hAnsi="Calibri"/>
                <w:b w:val="0"/>
                <w:color w:val="526068"/>
                <w:sz w:val="17"/>
              </w:rPr>
              <w:t>Which prompt produced this, and what changed since the run that was right?</w:t>
            </w:r>
          </w:p>
        </w:tc>
        <w:tc>
          <w:tcPr>
            <w:tcW w:type="dxa" w:w="2448"/>
          </w:tcPr>
          <w:p>
            <w:pPr>
              <w:spacing w:line="288" w:lineRule="auto" w:after="20"/>
            </w:pPr>
            <w:r/>
            <w:r>
              <w:rPr>
                <w:rFonts w:ascii="Consolas" w:hAnsi="Consolas"/>
                <w:b w:val="0"/>
                <w:color w:val="526068"/>
                <w:sz w:val="17"/>
              </w:rPr>
              <w:t>ai/prompt-store.ts</w:t>
            </w:r>
          </w:p>
        </w:tc>
      </w:tr>
      <w:tr>
        <w:tc>
          <w:tcPr>
            <w:tcW w:type="dxa" w:w="1872"/>
          </w:tcPr>
          <w:p>
            <w:pPr>
              <w:spacing w:line="288" w:lineRule="auto" w:after="20"/>
            </w:pPr>
            <w:r/>
            <w:r>
              <w:rPr>
                <w:rFonts w:ascii="Calibri" w:hAnsi="Calibri"/>
                <w:b/>
                <w:color w:val="172126"/>
                <w:sz w:val="17"/>
              </w:rPr>
              <w:t>Response cache</w:t>
            </w:r>
          </w:p>
        </w:tc>
        <w:tc>
          <w:tcPr>
            <w:tcW w:type="dxa" w:w="5184"/>
          </w:tcPr>
          <w:p>
            <w:pPr>
              <w:spacing w:line="288" w:lineRule="auto" w:after="20"/>
            </w:pPr>
            <w:r/>
            <w:r>
              <w:rPr>
                <w:rFonts w:ascii="Calibri" w:hAnsi="Calibri"/>
                <w:b w:val="0"/>
                <w:color w:val="526068"/>
                <w:sz w:val="17"/>
              </w:rPr>
              <w:t>Has this exact question, with these inputs and this prompt, been asked?</w:t>
            </w:r>
          </w:p>
        </w:tc>
        <w:tc>
          <w:tcPr>
            <w:tcW w:type="dxa" w:w="2448"/>
          </w:tcPr>
          <w:p>
            <w:pPr>
              <w:spacing w:line="288" w:lineRule="auto" w:after="20"/>
            </w:pPr>
            <w:r/>
            <w:r>
              <w:rPr>
                <w:rFonts w:ascii="Consolas" w:hAnsi="Consolas"/>
                <w:b w:val="0"/>
                <w:color w:val="526068"/>
                <w:sz w:val="17"/>
              </w:rPr>
              <w:t>ai/cache.ts</w:t>
            </w:r>
          </w:p>
        </w:tc>
      </w:tr>
      <w:tr>
        <w:tc>
          <w:tcPr>
            <w:tcW w:type="dxa" w:w="1872"/>
          </w:tcPr>
          <w:p>
            <w:pPr>
              <w:spacing w:line="288" w:lineRule="auto" w:after="20"/>
            </w:pPr>
            <w:r/>
            <w:r>
              <w:rPr>
                <w:rFonts w:ascii="Calibri" w:hAnsi="Calibri"/>
                <w:b/>
                <w:color w:val="172126"/>
                <w:sz w:val="17"/>
              </w:rPr>
              <w:t>Usage ledger</w:t>
            </w:r>
          </w:p>
        </w:tc>
        <w:tc>
          <w:tcPr>
            <w:tcW w:type="dxa" w:w="5184"/>
          </w:tcPr>
          <w:p>
            <w:pPr>
              <w:spacing w:line="288" w:lineRule="auto" w:after="20"/>
            </w:pPr>
            <w:r/>
            <w:r>
              <w:rPr>
                <w:rFonts w:ascii="Calibri" w:hAnsi="Calibri"/>
                <w:b w:val="0"/>
                <w:color w:val="526068"/>
                <w:sz w:val="17"/>
              </w:rPr>
              <w:t>What did every attempt cost?</w:t>
            </w:r>
          </w:p>
        </w:tc>
        <w:tc>
          <w:tcPr>
            <w:tcW w:type="dxa" w:w="2448"/>
          </w:tcPr>
          <w:p>
            <w:pPr>
              <w:spacing w:line="288" w:lineRule="auto" w:after="20"/>
            </w:pPr>
            <w:r/>
            <w:r>
              <w:rPr>
                <w:rFonts w:ascii="Consolas" w:hAnsi="Consolas"/>
                <w:b w:val="0"/>
                <w:color w:val="526068"/>
                <w:sz w:val="17"/>
              </w:rPr>
              <w:t>ai_usage_ledger</w:t>
            </w:r>
          </w:p>
        </w:tc>
      </w:tr>
    </w:tbl>
    <w:p>
      <w:pPr>
        <w:spacing w:after="60"/>
      </w:pPr>
    </w:p>
    <w:p>
      <w:pPr>
        <w:spacing w:before="280" w:after="100" w:line="312" w:lineRule="auto"/>
      </w:pPr>
      <w:r>
        <w:rPr>
          <w:rFonts w:ascii="Calibri" w:hAnsi="Calibri"/>
          <w:b/>
          <w:i w:val="0"/>
          <w:color w:val="172126"/>
          <w:sz w:val="24"/>
        </w:rPr>
        <w:t>7.1  Execution classes</w:t>
      </w:r>
    </w:p>
    <w:p>
      <w:pPr>
        <w:spacing w:before="40" w:after="160" w:line="300" w:lineRule="auto"/>
        <w:ind w:left="259"/>
      </w:pPr>
      <w:r>
        <w:rPr>
          <w:rFonts w:ascii="Consolas" w:hAnsi="Consolas"/>
          <w:color w:val="526068"/>
          <w:sz w:val="17"/>
        </w:rPr>
        <w:t>deterministic   cache   local   preckon   external   stub</w:t>
      </w:r>
    </w:p>
    <w:p>
      <w:pPr>
        <w:spacing w:before="0" w:after="160" w:line="312" w:lineRule="auto"/>
      </w:pPr>
      <w:r>
        <w:rPr>
          <w:rFonts w:ascii="Georgia" w:hAnsi="Georgia"/>
          <w:b w:val="0"/>
          <w:i w:val="0"/>
          <w:color w:val="526068"/>
          <w:sz w:val="20"/>
        </w:rPr>
        <w:t>Every ledger row records how the work actually ran. Grouping by this column rather than summing it away is what stops a stub row — which carries token counts and costs nothing — being folded in with real model calls and reporting usage that never happened.</w:t>
      </w:r>
    </w:p>
    <w:p>
      <w:pPr>
        <w:spacing w:before="280" w:after="100" w:line="312" w:lineRule="auto"/>
      </w:pPr>
      <w:r>
        <w:rPr>
          <w:rFonts w:ascii="Calibri" w:hAnsi="Calibri"/>
          <w:b/>
          <w:i w:val="0"/>
          <w:color w:val="172126"/>
          <w:sz w:val="24"/>
        </w:rPr>
        <w:t>7.2  One row per attempt</w:t>
      </w:r>
    </w:p>
    <w:p>
      <w:pPr>
        <w:spacing w:before="0" w:after="160" w:line="312" w:lineRule="auto"/>
      </w:pPr>
      <w:r>
        <w:rPr>
          <w:rFonts w:ascii="Georgia" w:hAnsi="Georgia"/>
          <w:b w:val="0"/>
          <w:i w:val="0"/>
          <w:color w:val="526068"/>
          <w:sz w:val="20"/>
        </w:rPr>
        <w:t>The ledger records an ATTEMPT, not a job. A job that failed twice and then succeeded is one row in ai_job and three here, and the bill is the three. Reporting cost from ai_job under-counts retries, which are exactly the calls nobody remembers paying for.</w:t>
      </w:r>
    </w:p>
    <w:p>
      <w:pPr>
        <w:spacing w:before="280" w:after="100" w:line="312" w:lineRule="auto"/>
      </w:pPr>
      <w:r>
        <w:rPr>
          <w:rFonts w:ascii="Calibri" w:hAnsi="Calibri"/>
          <w:b/>
          <w:i w:val="0"/>
          <w:color w:val="172126"/>
          <w:sz w:val="24"/>
        </w:rPr>
        <w:t>7.3  Stub policy</w:t>
      </w:r>
    </w:p>
    <w:tbl>
      <w:tblPr>
        <w:tblW w:type="auto" w:w="0"/>
        <w:tblLook w:firstColumn="1" w:firstRow="1" w:lastColumn="0" w:lastRow="0" w:noHBand="0" w:noVBand="1" w:val="04A0"/>
        <w:tblBorders>
          <w:top w:val="single" w:sz="2" w:space="0" w:color="FBEAE8"/>
          <w:left w:val="single" w:sz="2" w:space="0" w:color="FBEAE8"/>
          <w:bottom w:val="single" w:sz="2" w:space="0" w:color="FBEAE8"/>
          <w:right w:val="single" w:sz="2" w:space="0" w:color="FBEAE8"/>
          <w:insideH w:val="single" w:sz="2" w:space="0" w:color="FBEAE8"/>
          <w:insideV w:val="single" w:sz="2" w:space="0" w:color="FBEAE8"/>
        </w:tblBorders>
      </w:tblPr>
      <w:tblGrid>
        <w:gridCol w:w="9792"/>
      </w:tblGrid>
      <w:tr>
        <w:tc>
          <w:tcPr>
            <w:tcW w:type="dxa" w:w="9792"/>
            <w:shd w:val="clear" w:fill="FBEAE8"/>
          </w:tcPr>
          <w:p>
            <w:r/>
            <w:r>
              <w:rPr>
                <w:rFonts w:ascii="Calibri" w:hAnsi="Calibri"/>
                <w:b/>
                <w:color w:val="B42318"/>
                <w:sz w:val="14"/>
              </w:rPr>
              <w:t>A FAILURE IS A FAILURE</w:t>
            </w:r>
          </w:p>
          <w:p>
            <w:pPr>
              <w:spacing w:before="60" w:line="307" w:lineRule="auto"/>
            </w:pPr>
            <w:r>
              <w:rPr>
                <w:rFonts w:ascii="Georgia" w:hAnsi="Georgia"/>
                <w:color w:val="172126"/>
                <w:sz w:val="19"/>
              </w:rPr>
              <w:t>Stub agents exist so the runtime can be exercised without model nondeterminism. On a provider outage the worker used to return the stub as status: succeeded — indistinguishable from a real bill. Somebody prices work from that. In production, with no API key, the worker now refuses rather than substituting invented quantities.</w:t>
            </w:r>
          </w:p>
        </w:tc>
      </w:tr>
    </w:tbl>
    <w:p>
      <w:pPr>
        <w:spacing w:after="60"/>
      </w:pPr>
    </w:p>
    <w:p>
      <w:pPr>
        <w:spacing w:before="280" w:after="100" w:line="312" w:lineRule="auto"/>
      </w:pPr>
      <w:r>
        <w:rPr>
          <w:rFonts w:ascii="Calibri" w:hAnsi="Calibri"/>
          <w:b/>
          <w:i w:val="0"/>
          <w:color w:val="172126"/>
          <w:sz w:val="24"/>
        </w:rPr>
        <w:t>7.4  Retrieval</w:t>
      </w:r>
    </w:p>
    <w:p>
      <w:pPr>
        <w:spacing w:before="0" w:after="160" w:line="312" w:lineRule="auto"/>
      </w:pPr>
      <w:r>
        <w:rPr>
          <w:rFonts w:ascii="Georgia" w:hAnsi="Georgia"/>
          <w:b w:val="0"/>
          <w:i w:val="0"/>
          <w:color w:val="526068"/>
          <w:sz w:val="20"/>
        </w:rPr>
        <w:t>Answers are grounded in indexed passages rather than whole documents. Chunking falls on paragraph then sentence boundaries — cutting every N characters splits 'the partition shall achieve a fire rating of' from '120 minutes', and the retrieved chunk then says the opposite of the document.</w:t>
      </w:r>
    </w:p>
    <w:p>
      <w:pPr>
        <w:spacing w:before="0" w:after="160" w:line="312" w:lineRule="auto"/>
      </w:pPr>
      <w:r>
        <w:rPr>
          <w:rFonts w:ascii="Georgia" w:hAnsi="Georgia"/>
          <w:b w:val="0"/>
          <w:i w:val="0"/>
          <w:color w:val="526068"/>
          <w:sz w:val="20"/>
        </w:rPr>
        <w:t>Search is MySQL FULLTEXT in natural-language mode with an identifier boost, and a LIKE fallback for identifier-only questions that FULLTEXT drops as too short. Not a vector store, deliberately: construction questions are dominated by exact identifiers like A-201 and BOQ-CIV-001, and a literal match on those beats a passage merely about the same topic.</w:t>
      </w:r>
    </w:p>
    <w:p>
      <w:pPr>
        <w:spacing w:before="0" w:after="160" w:line="312" w:lineRule="auto"/>
      </w:pPr>
      <w:r>
        <w:rPr>
          <w:rFonts w:ascii="Georgia" w:hAnsi="Georgia"/>
          <w:b w:val="0"/>
          <w:i w:val="0"/>
          <w:color w:val="526068"/>
          <w:sz w:val="20"/>
        </w:rPr>
        <w:t>Both registered document revisions and directly uploaded files are indexed. A chunk from an unregistered file carries a NULL revision and is always current; a chunk from a revision is filtered to the current one. Indexing only registered documents produced an index that was empty on every real project, because most projects never run the register.</w:t>
      </w:r>
    </w:p>
    <w:p>
      <w:r>
        <w:br w:type="page"/>
      </w:r>
    </w:p>
    <w:p>
      <w:pPr>
        <w:spacing w:before="0" w:after="60" w:line="312" w:lineRule="auto"/>
      </w:pPr>
      <w:r>
        <w:rPr>
          <w:rFonts w:ascii="Consolas" w:hAnsi="Consolas"/>
          <w:b/>
          <w:i w:val="0"/>
          <w:color w:val="087E75"/>
          <w:sz w:val="15"/>
        </w:rPr>
        <w:t>CHAPTER 8</w:t>
      </w:r>
    </w:p>
    <w:p>
      <w:pPr>
        <w:spacing w:before="0" w:after="160" w:line="252" w:lineRule="auto"/>
      </w:pPr>
      <w:r>
        <w:rPr>
          <w:rFonts w:ascii="Georgia" w:hAnsi="Georgia"/>
          <w:b/>
          <w:i w:val="0"/>
          <w:color w:val="172126"/>
          <w:sz w:val="40"/>
        </w:rPr>
        <w:t>Document control</w:t>
      </w:r>
    </w:p>
    <w:p>
      <w:pPr>
        <w:spacing w:before="0" w:after="200" w:line="312" w:lineRule="auto"/>
      </w:pPr>
      <w:r>
        <w:rPr>
          <w:rFonts w:ascii="Georgia" w:hAnsi="Georgia"/>
          <w:b w:val="0"/>
          <w:i w:val="0"/>
          <w:color w:val="526068"/>
          <w:sz w:val="22"/>
        </w:rPr>
        <w:t>DocLogix: register, revisions, reviews, transmittals, retention.</w:t>
      </w:r>
    </w:p>
    <w:tbl>
      <w:tblPr>
        <w:tblW w:type="auto" w:w="0"/>
        <w:jc w:val="left"/>
        <w:tblLook w:firstColumn="1" w:firstRow="1" w:lastColumn="0" w:lastRow="0" w:noHBand="0" w:noVBand="1" w:val="04A0"/>
        <w:tblBorders>
          <w:top w:val="single" w:sz="4" w:space="0" w:color="D8DEE2"/>
          <w:left w:val="single" w:sz="4" w:space="0" w:color="D8DEE2"/>
          <w:bottom w:val="single" w:sz="4" w:space="0" w:color="D8DEE2"/>
          <w:right w:val="single" w:sz="4" w:space="0" w:color="D8DEE2"/>
          <w:insideH w:val="single" w:sz="4" w:space="0" w:color="D8DEE2"/>
          <w:insideV w:val="single" w:sz="4" w:space="0" w:color="D8DEE2"/>
        </w:tblBorders>
      </w:tblPr>
      <w:tblGrid>
        <w:gridCol w:w="4896"/>
        <w:gridCol w:w="4896"/>
      </w:tblGrid>
      <w:tr>
        <w:tc>
          <w:tcPr>
            <w:tcW w:type="dxa" w:w="2304"/>
            <w:shd w:val="clear" w:fill="F0F3F4"/>
          </w:tcPr>
          <w:p>
            <w:r/>
            <w:r>
              <w:rPr>
                <w:rFonts w:ascii="Calibri" w:hAnsi="Calibri"/>
                <w:b/>
                <w:color w:val="667279"/>
                <w:sz w:val="14"/>
              </w:rPr>
              <w:t>OBJECT</w:t>
            </w:r>
          </w:p>
        </w:tc>
        <w:tc>
          <w:tcPr>
            <w:tcW w:type="dxa" w:w="7200"/>
            <w:shd w:val="clear" w:fill="F0F3F4"/>
          </w:tcPr>
          <w:p>
            <w:r/>
            <w:r>
              <w:rPr>
                <w:rFonts w:ascii="Calibri" w:hAnsi="Calibri"/>
                <w:b/>
                <w:color w:val="667279"/>
                <w:sz w:val="14"/>
              </w:rPr>
              <w:t>STATES</w:t>
            </w:r>
          </w:p>
        </w:tc>
      </w:tr>
      <w:tr>
        <w:tc>
          <w:tcPr>
            <w:tcW w:type="dxa" w:w="2304"/>
          </w:tcPr>
          <w:p>
            <w:pPr>
              <w:spacing w:line="288" w:lineRule="auto" w:after="20"/>
            </w:pPr>
            <w:r/>
            <w:r>
              <w:rPr>
                <w:rFonts w:ascii="Consolas" w:hAnsi="Consolas"/>
                <w:b/>
                <w:color w:val="172126"/>
                <w:sz w:val="17"/>
              </w:rPr>
              <w:t>document_register</w:t>
            </w:r>
          </w:p>
        </w:tc>
        <w:tc>
          <w:tcPr>
            <w:tcW w:type="dxa" w:w="7200"/>
          </w:tcPr>
          <w:p>
            <w:pPr>
              <w:spacing w:line="288" w:lineRule="auto" w:after="20"/>
            </w:pPr>
            <w:r/>
            <w:r>
              <w:rPr>
                <w:rFonts w:ascii="Consolas" w:hAnsi="Consolas"/>
                <w:b w:val="0"/>
                <w:color w:val="526068"/>
                <w:sz w:val="17"/>
              </w:rPr>
              <w:t>registered → in_progress → issued → superseded | archived | void</w:t>
            </w:r>
          </w:p>
        </w:tc>
      </w:tr>
      <w:tr>
        <w:tc>
          <w:tcPr>
            <w:tcW w:type="dxa" w:w="2304"/>
          </w:tcPr>
          <w:p>
            <w:pPr>
              <w:spacing w:line="288" w:lineRule="auto" w:after="20"/>
            </w:pPr>
            <w:r/>
            <w:r>
              <w:rPr>
                <w:rFonts w:ascii="Consolas" w:hAnsi="Consolas"/>
                <w:b/>
                <w:color w:val="172126"/>
                <w:sz w:val="17"/>
              </w:rPr>
              <w:t>document_revision</w:t>
            </w:r>
          </w:p>
        </w:tc>
        <w:tc>
          <w:tcPr>
            <w:tcW w:type="dxa" w:w="7200"/>
          </w:tcPr>
          <w:p>
            <w:pPr>
              <w:spacing w:line="288" w:lineRule="auto" w:after="20"/>
            </w:pPr>
            <w:r/>
            <w:r>
              <w:rPr>
                <w:rFonts w:ascii="Consolas" w:hAnsi="Consolas"/>
                <w:b w:val="0"/>
                <w:color w:val="526068"/>
                <w:sz w:val="17"/>
              </w:rPr>
              <w:t>draft → current → superseded</w:t>
            </w:r>
          </w:p>
        </w:tc>
      </w:tr>
      <w:tr>
        <w:tc>
          <w:tcPr>
            <w:tcW w:type="dxa" w:w="2304"/>
          </w:tcPr>
          <w:p>
            <w:pPr>
              <w:spacing w:line="288" w:lineRule="auto" w:after="20"/>
            </w:pPr>
            <w:r/>
            <w:r>
              <w:rPr>
                <w:rFonts w:ascii="Consolas" w:hAnsi="Consolas"/>
                <w:b/>
                <w:color w:val="172126"/>
                <w:sz w:val="17"/>
              </w:rPr>
              <w:t>document_review</w:t>
            </w:r>
          </w:p>
        </w:tc>
        <w:tc>
          <w:tcPr>
            <w:tcW w:type="dxa" w:w="7200"/>
          </w:tcPr>
          <w:p>
            <w:pPr>
              <w:spacing w:line="288" w:lineRule="auto" w:after="20"/>
            </w:pPr>
            <w:r/>
            <w:r>
              <w:rPr>
                <w:rFonts w:ascii="Consolas" w:hAnsi="Consolas"/>
                <w:b w:val="0"/>
                <w:color w:val="526068"/>
                <w:sz w:val="17"/>
              </w:rPr>
              <w:t>pending → approved | approved_with_comments | revise_and_resubmit | rejected</w:t>
            </w:r>
          </w:p>
        </w:tc>
      </w:tr>
      <w:tr>
        <w:tc>
          <w:tcPr>
            <w:tcW w:type="dxa" w:w="2304"/>
          </w:tcPr>
          <w:p>
            <w:pPr>
              <w:spacing w:line="288" w:lineRule="auto" w:after="20"/>
            </w:pPr>
            <w:r/>
            <w:r>
              <w:rPr>
                <w:rFonts w:ascii="Consolas" w:hAnsi="Consolas"/>
                <w:b/>
                <w:color w:val="172126"/>
                <w:sz w:val="17"/>
              </w:rPr>
              <w:t>transmittal</w:t>
            </w:r>
          </w:p>
        </w:tc>
        <w:tc>
          <w:tcPr>
            <w:tcW w:type="dxa" w:w="7200"/>
          </w:tcPr>
          <w:p>
            <w:pPr>
              <w:spacing w:line="288" w:lineRule="auto" w:after="20"/>
            </w:pPr>
            <w:r/>
            <w:r>
              <w:rPr>
                <w:rFonts w:ascii="Consolas" w:hAnsi="Consolas"/>
                <w:b w:val="0"/>
                <w:color w:val="526068"/>
                <w:sz w:val="17"/>
              </w:rPr>
              <w:t>draft → sent → acknowledged → closed | recalled</w:t>
            </w:r>
          </w:p>
        </w:tc>
      </w:tr>
    </w:tbl>
    <w:p>
      <w:pPr>
        <w:spacing w:after="60"/>
      </w:pPr>
    </w:p>
    <w:p>
      <w:pPr>
        <w:spacing w:before="280" w:after="100" w:line="312" w:lineRule="auto"/>
      </w:pPr>
      <w:r>
        <w:rPr>
          <w:rFonts w:ascii="Calibri" w:hAnsi="Calibri"/>
          <w:b/>
          <w:i w:val="0"/>
          <w:color w:val="172126"/>
          <w:sz w:val="24"/>
        </w:rPr>
        <w:t>8.1  Revision discipline</w:t>
      </w:r>
    </w:p>
    <w:p>
      <w:pPr>
        <w:pStyle w:val="ListBullet"/>
        <w:spacing w:after="60" w:line="302" w:lineRule="auto"/>
        <w:ind w:left="360"/>
      </w:pPr>
      <w:r>
        <w:rPr>
          <w:rFonts w:ascii="Calibri" w:hAnsi="Calibri"/>
          <w:b/>
          <w:color w:val="172126"/>
          <w:sz w:val="19"/>
        </w:rPr>
        <w:t xml:space="preserve">Never overwritten. </w:t>
      </w:r>
      <w:r>
        <w:rPr>
          <w:rFonts w:ascii="Georgia" w:hAnsi="Georgia"/>
          <w:color w:val="526068"/>
          <w:sz w:val="19"/>
        </w:rPr>
        <w:t>Issuing revision B supersedes A; A remains readable and every artifact derived from it keeps pointing at the revision it actually read.</w:t>
      </w:r>
    </w:p>
    <w:p>
      <w:pPr>
        <w:pStyle w:val="ListBullet"/>
        <w:spacing w:after="60" w:line="302" w:lineRule="auto"/>
        <w:ind w:left="360"/>
      </w:pPr>
      <w:r>
        <w:rPr>
          <w:rFonts w:ascii="Calibri" w:hAnsi="Calibri"/>
          <w:b/>
          <w:color w:val="172126"/>
          <w:sz w:val="19"/>
        </w:rPr>
        <w:t xml:space="preserve">Supersession is planned. </w:t>
      </w:r>
      <w:r>
        <w:rPr>
          <w:rFonts w:ascii="Georgia" w:hAnsi="Georgia"/>
          <w:color w:val="526068"/>
          <w:sz w:val="19"/>
        </w:rPr>
        <w:t>Issuing computes which revisions this one supersedes, by scheme, rather than assuming the previous one.</w:t>
      </w:r>
    </w:p>
    <w:p>
      <w:pPr>
        <w:pStyle w:val="ListBullet"/>
        <w:spacing w:after="60" w:line="302" w:lineRule="auto"/>
        <w:ind w:left="360"/>
      </w:pPr>
      <w:r>
        <w:rPr>
          <w:rFonts w:ascii="Calibri" w:hAnsi="Calibri"/>
          <w:b/>
          <w:color w:val="172126"/>
          <w:sz w:val="19"/>
        </w:rPr>
        <w:t xml:space="preserve">Numbering is a scheme. </w:t>
      </w:r>
      <w:r>
        <w:rPr>
          <w:rFonts w:ascii="Georgia" w:hAnsi="Georgia"/>
          <w:color w:val="526068"/>
          <w:sz w:val="19"/>
        </w:rPr>
        <w:t>ISO 19650 by default, per-project overridable, with sort ranks so revisions order correctly rather than alphabetically.</w:t>
      </w:r>
    </w:p>
    <w:p>
      <w:pPr>
        <w:pStyle w:val="ListBullet"/>
        <w:spacing w:after="60" w:line="302" w:lineRule="auto"/>
        <w:ind w:left="360"/>
      </w:pPr>
      <w:r>
        <w:rPr>
          <w:rFonts w:ascii="Calibri" w:hAnsi="Calibri"/>
          <w:b/>
          <w:color w:val="172126"/>
          <w:sz w:val="19"/>
        </w:rPr>
        <w:t xml:space="preserve">OCR is detected, not assumed. </w:t>
      </w:r>
      <w:r>
        <w:rPr>
          <w:rFonts w:ascii="Georgia" w:hAnsi="Georgia"/>
          <w:color w:val="526068"/>
          <w:sz w:val="19"/>
        </w:rPr>
        <w:t>A scanned PDF extracts to nothing. It is recorded needs_ocr rather than ingested, because a file that appears in the register and reads as empty is how a BOQ quietly loses a discipline.</w:t>
      </w:r>
    </w:p>
    <w:p>
      <w:pPr>
        <w:spacing w:after="40"/>
      </w:pPr>
    </w:p>
    <w:p>
      <w:pPr>
        <w:spacing w:before="280" w:after="100" w:line="312" w:lineRule="auto"/>
      </w:pPr>
      <w:r>
        <w:rPr>
          <w:rFonts w:ascii="Calibri" w:hAnsi="Calibri"/>
          <w:b/>
          <w:i w:val="0"/>
          <w:color w:val="172126"/>
          <w:sz w:val="24"/>
        </w:rPr>
        <w:t>8.2  Ingestion</w:t>
      </w:r>
    </w:p>
    <w:p>
      <w:pPr>
        <w:spacing w:before="0" w:after="160" w:line="312" w:lineRule="auto"/>
      </w:pPr>
      <w:r>
        <w:rPr>
          <w:rFonts w:ascii="Georgia" w:hAnsi="Georgia"/>
          <w:b w:val="0"/>
          <w:i w:val="0"/>
          <w:color w:val="526068"/>
          <w:sz w:val="20"/>
        </w:rPr>
        <w:t>Uploads are extracted without a model: PDFs through pdf-parse, CAD through the sidecar, everything else as UTF-8. Pages land in file_page and are indexed for retrieval. A CAD file that cannot be parsed is recorded failed, not ingested — the chain must not treat an unreadable drawing as understood.</w:t>
      </w:r>
    </w:p>
    <w:p>
      <w:r>
        <w:br w:type="page"/>
      </w:r>
    </w:p>
    <w:p>
      <w:pPr>
        <w:spacing w:before="0" w:after="60" w:line="312" w:lineRule="auto"/>
      </w:pPr>
      <w:r>
        <w:rPr>
          <w:rFonts w:ascii="Consolas" w:hAnsi="Consolas"/>
          <w:b/>
          <w:i w:val="0"/>
          <w:color w:val="087E75"/>
          <w:sz w:val="15"/>
        </w:rPr>
        <w:t>CHAPTER 9</w:t>
      </w:r>
    </w:p>
    <w:p>
      <w:pPr>
        <w:spacing w:before="0" w:after="160" w:line="252" w:lineRule="auto"/>
      </w:pPr>
      <w:r>
        <w:rPr>
          <w:rFonts w:ascii="Georgia" w:hAnsi="Georgia"/>
          <w:b/>
          <w:i w:val="0"/>
          <w:color w:val="172126"/>
          <w:sz w:val="40"/>
        </w:rPr>
        <w:t>Drawings, BIM and the PCM</w:t>
      </w:r>
    </w:p>
    <w:p>
      <w:pPr>
        <w:spacing w:before="0" w:after="200" w:line="312" w:lineRule="auto"/>
      </w:pPr>
      <w:r>
        <w:rPr>
          <w:rFonts w:ascii="Georgia" w:hAnsi="Georgia"/>
          <w:b w:val="0"/>
          <w:i w:val="0"/>
          <w:color w:val="526068"/>
          <w:sz w:val="22"/>
        </w:rPr>
        <w:t>Geometry is the one place the platform refuses to let a model near the answer.</w:t>
      </w:r>
    </w:p>
    <w:p>
      <w:pPr>
        <w:spacing w:before="280" w:after="100" w:line="312" w:lineRule="auto"/>
      </w:pPr>
      <w:r>
        <w:rPr>
          <w:rFonts w:ascii="Calibri" w:hAnsi="Calibri"/>
          <w:b/>
          <w:i w:val="0"/>
          <w:color w:val="172126"/>
          <w:sz w:val="24"/>
        </w:rPr>
        <w:t>9.1  The read-only tool set</w:t>
      </w:r>
    </w:p>
    <w:p>
      <w:pPr>
        <w:spacing w:before="40" w:after="160" w:line="300" w:lineRule="auto"/>
        <w:ind w:left="259"/>
      </w:pPr>
      <w:r>
        <w:rPr>
          <w:rFonts w:ascii="Consolas" w:hAnsi="Consolas"/>
          <w:color w:val="526068"/>
          <w:sz w:val="17"/>
        </w:rPr>
        <w:t>list_drawings      list_layers        get_layer_geometry   count_blocks</w:t>
        <w:br/>
        <w:t>get_schedules      get_text_on_layer  search_drawing       get_dimensions</w:t>
        <w:br/>
        <w:t>get_drawing_metadata                  search_documents</w:t>
      </w:r>
    </w:p>
    <w:p>
      <w:pPr>
        <w:spacing w:before="0" w:after="160" w:line="312" w:lineRule="auto"/>
      </w:pPr>
      <w:r>
        <w:rPr>
          <w:rFonts w:ascii="Georgia" w:hAnsi="Georgia"/>
          <w:b w:val="0"/>
          <w:i w:val="0"/>
          <w:color w:val="526068"/>
          <w:sz w:val="20"/>
        </w:rPr>
        <w:t>Ten tools, all read-only. A model can measure and count; it cannot draw. Quantities produced this way are grounded in the file rather than in the model's recollection of it.</w:t>
      </w:r>
    </w:p>
    <w:p>
      <w:pPr>
        <w:spacing w:before="280" w:after="100" w:line="312" w:lineRule="auto"/>
      </w:pPr>
      <w:r>
        <w:rPr>
          <w:rFonts w:ascii="Calibri" w:hAnsi="Calibri"/>
          <w:b/>
          <w:i w:val="0"/>
          <w:color w:val="172126"/>
          <w:sz w:val="24"/>
        </w:rPr>
        <w:t>9.2  Authoring: propose, then apply</w:t>
      </w:r>
    </w:p>
    <w:p>
      <w:pPr>
        <w:spacing w:before="0" w:after="160" w:line="312" w:lineRule="auto"/>
      </w:pPr>
      <w:r>
        <w:rPr>
          <w:rFonts w:ascii="Georgia" w:hAnsi="Georgia"/>
          <w:b w:val="0"/>
          <w:i w:val="0"/>
          <w:color w:val="526068"/>
          <w:sz w:val="20"/>
        </w:rPr>
        <w:t>The drawing assistant used to write its result straight into bim_document. The user saw the model change and had undo, which is not the same thing as having agreed to it — and it is the pattern both blueprints forbid outright. The assistant now writes a proposal, stored separately, applied only on an explicit action.</w:t>
      </w:r>
    </w:p>
    <w:p>
      <w:pPr>
        <w:spacing w:before="280" w:after="100" w:line="312" w:lineRule="auto"/>
      </w:pPr>
      <w:r>
        <w:rPr>
          <w:rFonts w:ascii="Calibri" w:hAnsi="Calibri"/>
          <w:b/>
          <w:i w:val="0"/>
          <w:color w:val="172126"/>
          <w:sz w:val="24"/>
        </w:rPr>
        <w:t>9.3  Parametric Construction Model</w:t>
      </w:r>
    </w:p>
    <w:p>
      <w:pPr>
        <w:spacing w:before="0" w:after="160" w:line="312" w:lineRule="auto"/>
      </w:pPr>
      <w:r>
        <w:rPr>
          <w:rFonts w:ascii="Georgia" w:hAnsi="Georgia"/>
          <w:b w:val="0"/>
          <w:i w:val="0"/>
          <w:color w:val="526068"/>
          <w:sz w:val="20"/>
        </w:rPr>
        <w:t>The PCM is the canonical object model behind drawings: coordinate systems, spatial nodes, object types, objects, property values, relationships, change sets and operations, quantities and a BOQ map. Its revision states are CURRENT, DIRTY, SUPERSEDED and ERROR; publishing runs DRAFT → VALIDATING → AWAITING_APPROVAL → APPROVED → COMMITTED, with REJECTED and FAILED as terminal outcomes.</w:t>
      </w:r>
    </w:p>
    <w:p>
      <w:r>
        <w:br w:type="page"/>
      </w:r>
    </w:p>
    <w:p>
      <w:pPr>
        <w:spacing w:before="0" w:after="60" w:line="312" w:lineRule="auto"/>
      </w:pPr>
      <w:r>
        <w:rPr>
          <w:rFonts w:ascii="Consolas" w:hAnsi="Consolas"/>
          <w:b/>
          <w:i w:val="0"/>
          <w:color w:val="087E75"/>
          <w:sz w:val="15"/>
        </w:rPr>
        <w:t>CHAPTER 10</w:t>
      </w:r>
    </w:p>
    <w:p>
      <w:pPr>
        <w:spacing w:before="0" w:after="160" w:line="252" w:lineRule="auto"/>
      </w:pPr>
      <w:r>
        <w:rPr>
          <w:rFonts w:ascii="Georgia" w:hAnsi="Georgia"/>
          <w:b/>
          <w:i w:val="0"/>
          <w:color w:val="172126"/>
          <w:sz w:val="40"/>
        </w:rPr>
        <w:t>Identity, permissions and tenancy</w:t>
      </w:r>
    </w:p>
    <w:p>
      <w:pPr>
        <w:spacing w:before="280" w:after="100" w:line="312" w:lineRule="auto"/>
      </w:pPr>
      <w:r>
        <w:rPr>
          <w:rFonts w:ascii="Calibri" w:hAnsi="Calibri"/>
          <w:b/>
          <w:i w:val="0"/>
          <w:color w:val="172126"/>
          <w:sz w:val="24"/>
        </w:rPr>
        <w:t>10.1  Two identity pools</w:t>
      </w:r>
    </w:p>
    <w:p>
      <w:pPr>
        <w:spacing w:before="0" w:after="160" w:line="312" w:lineRule="auto"/>
      </w:pPr>
      <w:r>
        <w:rPr>
          <w:rFonts w:ascii="Georgia" w:hAnsi="Georgia"/>
          <w:b w:val="0"/>
          <w:i w:val="0"/>
          <w:color w:val="526068"/>
          <w:sz w:val="20"/>
        </w:rPr>
        <w:t>The host plane owns TechSME staff; the tenant plane owns customer users. They are separate Better Auth instances against separate databases. A tenant user never appears in the host console and vice versa.</w:t>
      </w:r>
    </w:p>
    <w:p>
      <w:pPr>
        <w:spacing w:before="280" w:after="100" w:line="312" w:lineRule="auto"/>
      </w:pPr>
      <w:r>
        <w:rPr>
          <w:rFonts w:ascii="Calibri" w:hAnsi="Calibri"/>
          <w:b/>
          <w:i w:val="0"/>
          <w:color w:val="172126"/>
          <w:sz w:val="24"/>
        </w:rPr>
        <w:t>10.2  Nineteen permissions across eight domains</w:t>
      </w:r>
    </w:p>
    <w:tbl>
      <w:tblPr>
        <w:tblW w:type="auto" w:w="0"/>
        <w:jc w:val="left"/>
        <w:tblLook w:firstColumn="1" w:firstRow="1" w:lastColumn="0" w:lastRow="0" w:noHBand="0" w:noVBand="1" w:val="04A0"/>
        <w:tblBorders>
          <w:top w:val="single" w:sz="4" w:space="0" w:color="D8DEE2"/>
          <w:left w:val="single" w:sz="4" w:space="0" w:color="D8DEE2"/>
          <w:bottom w:val="single" w:sz="4" w:space="0" w:color="D8DEE2"/>
          <w:right w:val="single" w:sz="4" w:space="0" w:color="D8DEE2"/>
          <w:insideH w:val="single" w:sz="4" w:space="0" w:color="D8DEE2"/>
          <w:insideV w:val="single" w:sz="4" w:space="0" w:color="D8DEE2"/>
        </w:tblBorders>
      </w:tblPr>
      <w:tblGrid>
        <w:gridCol w:w="4896"/>
        <w:gridCol w:w="4896"/>
      </w:tblGrid>
      <w:tr>
        <w:tc>
          <w:tcPr>
            <w:tcW w:type="dxa" w:w="1440"/>
            <w:shd w:val="clear" w:fill="F0F3F4"/>
          </w:tcPr>
          <w:p>
            <w:r/>
            <w:r>
              <w:rPr>
                <w:rFonts w:ascii="Calibri" w:hAnsi="Calibri"/>
                <w:b/>
                <w:color w:val="667279"/>
                <w:sz w:val="14"/>
              </w:rPr>
              <w:t>DOMAIN</w:t>
            </w:r>
          </w:p>
        </w:tc>
        <w:tc>
          <w:tcPr>
            <w:tcW w:type="dxa" w:w="8064"/>
            <w:shd w:val="clear" w:fill="F0F3F4"/>
          </w:tcPr>
          <w:p>
            <w:r/>
            <w:r>
              <w:rPr>
                <w:rFonts w:ascii="Calibri" w:hAnsi="Calibri"/>
                <w:b/>
                <w:color w:val="667279"/>
                <w:sz w:val="14"/>
              </w:rPr>
              <w:t>PERMISSIONS</w:t>
            </w:r>
          </w:p>
        </w:tc>
      </w:tr>
      <w:tr>
        <w:tc>
          <w:tcPr>
            <w:tcW w:type="dxa" w:w="1440"/>
          </w:tcPr>
          <w:p>
            <w:pPr>
              <w:spacing w:line="288" w:lineRule="auto" w:after="20"/>
            </w:pPr>
            <w:r/>
            <w:r>
              <w:rPr>
                <w:rFonts w:ascii="Calibri" w:hAnsi="Calibri"/>
                <w:b/>
                <w:color w:val="172126"/>
                <w:sz w:val="17"/>
              </w:rPr>
              <w:t>admin</w:t>
            </w:r>
          </w:p>
        </w:tc>
        <w:tc>
          <w:tcPr>
            <w:tcW w:type="dxa" w:w="8064"/>
          </w:tcPr>
          <w:p>
            <w:pPr>
              <w:spacing w:line="288" w:lineRule="auto" w:after="20"/>
            </w:pPr>
            <w:r/>
            <w:r>
              <w:rPr>
                <w:rFonts w:ascii="Consolas" w:hAnsi="Consolas"/>
                <w:b w:val="0"/>
                <w:color w:val="526068"/>
                <w:sz w:val="17"/>
              </w:rPr>
              <w:t>admin.branding · admin.settings · admin.users</w:t>
            </w:r>
          </w:p>
        </w:tc>
      </w:tr>
      <w:tr>
        <w:tc>
          <w:tcPr>
            <w:tcW w:type="dxa" w:w="1440"/>
          </w:tcPr>
          <w:p>
            <w:pPr>
              <w:spacing w:line="288" w:lineRule="auto" w:after="20"/>
            </w:pPr>
            <w:r/>
            <w:r>
              <w:rPr>
                <w:rFonts w:ascii="Calibri" w:hAnsi="Calibri"/>
                <w:b/>
                <w:color w:val="172126"/>
                <w:sz w:val="17"/>
              </w:rPr>
              <w:t>artifact</w:t>
            </w:r>
          </w:p>
        </w:tc>
        <w:tc>
          <w:tcPr>
            <w:tcW w:type="dxa" w:w="8064"/>
          </w:tcPr>
          <w:p>
            <w:pPr>
              <w:spacing w:line="288" w:lineRule="auto" w:after="20"/>
            </w:pPr>
            <w:r/>
            <w:r>
              <w:rPr>
                <w:rFonts w:ascii="Consolas" w:hAnsi="Consolas"/>
                <w:b w:val="0"/>
                <w:color w:val="526068"/>
                <w:sz w:val="17"/>
              </w:rPr>
              <w:t>artifact.read · artifact.edit · artifact.confirm</w:t>
            </w:r>
          </w:p>
        </w:tc>
      </w:tr>
      <w:tr>
        <w:tc>
          <w:tcPr>
            <w:tcW w:type="dxa" w:w="1440"/>
          </w:tcPr>
          <w:p>
            <w:pPr>
              <w:spacing w:line="288" w:lineRule="auto" w:after="20"/>
            </w:pPr>
            <w:r/>
            <w:r>
              <w:rPr>
                <w:rFonts w:ascii="Calibri" w:hAnsi="Calibri"/>
                <w:b/>
                <w:color w:val="172126"/>
                <w:sz w:val="17"/>
              </w:rPr>
              <w:t>project</w:t>
            </w:r>
          </w:p>
        </w:tc>
        <w:tc>
          <w:tcPr>
            <w:tcW w:type="dxa" w:w="8064"/>
          </w:tcPr>
          <w:p>
            <w:pPr>
              <w:spacing w:line="288" w:lineRule="auto" w:after="20"/>
            </w:pPr>
            <w:r/>
            <w:r>
              <w:rPr>
                <w:rFonts w:ascii="Consolas" w:hAnsi="Consolas"/>
                <w:b w:val="0"/>
                <w:color w:val="526068"/>
                <w:sz w:val="17"/>
              </w:rPr>
              <w:t>project.create · project.read · project.read_all · project.update · project.archive · project.member.manage</w:t>
            </w:r>
          </w:p>
        </w:tc>
      </w:tr>
      <w:tr>
        <w:tc>
          <w:tcPr>
            <w:tcW w:type="dxa" w:w="1440"/>
          </w:tcPr>
          <w:p>
            <w:pPr>
              <w:spacing w:line="288" w:lineRule="auto" w:after="20"/>
            </w:pPr>
            <w:r/>
            <w:r>
              <w:rPr>
                <w:rFonts w:ascii="Calibri" w:hAnsi="Calibri"/>
                <w:b/>
                <w:color w:val="172126"/>
                <w:sz w:val="17"/>
              </w:rPr>
              <w:t>library</w:t>
            </w:r>
          </w:p>
        </w:tc>
        <w:tc>
          <w:tcPr>
            <w:tcW w:type="dxa" w:w="8064"/>
          </w:tcPr>
          <w:p>
            <w:pPr>
              <w:spacing w:line="288" w:lineRule="auto" w:after="20"/>
            </w:pPr>
            <w:r/>
            <w:r>
              <w:rPr>
                <w:rFonts w:ascii="Consolas" w:hAnsi="Consolas"/>
                <w:b w:val="0"/>
                <w:color w:val="526068"/>
                <w:sz w:val="17"/>
              </w:rPr>
              <w:t>library.read · library.manage</w:t>
            </w:r>
          </w:p>
        </w:tc>
      </w:tr>
      <w:tr>
        <w:tc>
          <w:tcPr>
            <w:tcW w:type="dxa" w:w="1440"/>
          </w:tcPr>
          <w:p>
            <w:pPr>
              <w:spacing w:line="288" w:lineRule="auto" w:after="20"/>
            </w:pPr>
            <w:r/>
            <w:r>
              <w:rPr>
                <w:rFonts w:ascii="Calibri" w:hAnsi="Calibri"/>
                <w:b/>
                <w:color w:val="172126"/>
                <w:sz w:val="17"/>
              </w:rPr>
              <w:t>workflow</w:t>
            </w:r>
          </w:p>
        </w:tc>
        <w:tc>
          <w:tcPr>
            <w:tcW w:type="dxa" w:w="8064"/>
          </w:tcPr>
          <w:p>
            <w:pPr>
              <w:spacing w:line="288" w:lineRule="auto" w:after="20"/>
            </w:pPr>
            <w:r/>
            <w:r>
              <w:rPr>
                <w:rFonts w:ascii="Consolas" w:hAnsi="Consolas"/>
                <w:b w:val="0"/>
                <w:color w:val="526068"/>
                <w:sz w:val="17"/>
              </w:rPr>
              <w:t>workflow.read · workflow.run</w:t>
            </w:r>
          </w:p>
        </w:tc>
      </w:tr>
      <w:tr>
        <w:tc>
          <w:tcPr>
            <w:tcW w:type="dxa" w:w="1440"/>
          </w:tcPr>
          <w:p>
            <w:pPr>
              <w:spacing w:line="288" w:lineRule="auto" w:after="20"/>
            </w:pPr>
            <w:r/>
            <w:r>
              <w:rPr>
                <w:rFonts w:ascii="Calibri" w:hAnsi="Calibri"/>
                <w:b/>
                <w:color w:val="172126"/>
                <w:sz w:val="17"/>
              </w:rPr>
              <w:t>billing</w:t>
            </w:r>
          </w:p>
        </w:tc>
        <w:tc>
          <w:tcPr>
            <w:tcW w:type="dxa" w:w="8064"/>
          </w:tcPr>
          <w:p>
            <w:pPr>
              <w:spacing w:line="288" w:lineRule="auto" w:after="20"/>
            </w:pPr>
            <w:r/>
            <w:r>
              <w:rPr>
                <w:rFonts w:ascii="Consolas" w:hAnsi="Consolas"/>
                <w:b w:val="0"/>
                <w:color w:val="526068"/>
                <w:sz w:val="17"/>
              </w:rPr>
              <w:t>billing.view</w:t>
            </w:r>
          </w:p>
        </w:tc>
      </w:tr>
      <w:tr>
        <w:tc>
          <w:tcPr>
            <w:tcW w:type="dxa" w:w="1440"/>
          </w:tcPr>
          <w:p>
            <w:pPr>
              <w:spacing w:line="288" w:lineRule="auto" w:after="20"/>
            </w:pPr>
            <w:r/>
            <w:r>
              <w:rPr>
                <w:rFonts w:ascii="Calibri" w:hAnsi="Calibri"/>
                <w:b/>
                <w:color w:val="172126"/>
                <w:sz w:val="17"/>
              </w:rPr>
              <w:t>tenant</w:t>
            </w:r>
          </w:p>
        </w:tc>
        <w:tc>
          <w:tcPr>
            <w:tcW w:type="dxa" w:w="8064"/>
          </w:tcPr>
          <w:p>
            <w:pPr>
              <w:spacing w:line="288" w:lineRule="auto" w:after="20"/>
            </w:pPr>
            <w:r/>
            <w:r>
              <w:rPr>
                <w:rFonts w:ascii="Consolas" w:hAnsi="Consolas"/>
                <w:b w:val="0"/>
                <w:color w:val="526068"/>
                <w:sz w:val="17"/>
              </w:rPr>
              <w:t>tenant.transfer_ownership</w:t>
            </w:r>
          </w:p>
        </w:tc>
      </w:tr>
      <w:tr>
        <w:tc>
          <w:tcPr>
            <w:tcW w:type="dxa" w:w="1440"/>
          </w:tcPr>
          <w:p>
            <w:pPr>
              <w:spacing w:line="288" w:lineRule="auto" w:after="20"/>
            </w:pPr>
            <w:r/>
            <w:r>
              <w:rPr>
                <w:rFonts w:ascii="Calibri" w:hAnsi="Calibri"/>
                <w:b/>
                <w:color w:val="172126"/>
                <w:sz w:val="17"/>
              </w:rPr>
              <w:t>tender</w:t>
            </w:r>
          </w:p>
        </w:tc>
        <w:tc>
          <w:tcPr>
            <w:tcW w:type="dxa" w:w="8064"/>
          </w:tcPr>
          <w:p>
            <w:pPr>
              <w:spacing w:line="288" w:lineRule="auto" w:after="20"/>
            </w:pPr>
            <w:r/>
            <w:r>
              <w:rPr>
                <w:rFonts w:ascii="Consolas" w:hAnsi="Consolas"/>
                <w:b w:val="0"/>
                <w:color w:val="526068"/>
                <w:sz w:val="17"/>
              </w:rPr>
              <w:t>bid.approve</w:t>
            </w:r>
          </w:p>
        </w:tc>
      </w:tr>
    </w:tbl>
    <w:p>
      <w:pPr>
        <w:spacing w:after="60"/>
      </w:pPr>
    </w:p>
    <w:p>
      <w:pPr>
        <w:spacing w:before="280" w:after="100" w:line="312" w:lineRule="auto"/>
      </w:pPr>
      <w:r>
        <w:rPr>
          <w:rFonts w:ascii="Calibri" w:hAnsi="Calibri"/>
          <w:b/>
          <w:i w:val="0"/>
          <w:color w:val="172126"/>
          <w:sz w:val="24"/>
        </w:rPr>
        <w:t>10.3  Six system roles, four tiers</w:t>
      </w:r>
    </w:p>
    <w:tbl>
      <w:tblPr>
        <w:tblW w:type="auto" w:w="0"/>
        <w:jc w:val="left"/>
        <w:tblLook w:firstColumn="1" w:firstRow="1" w:lastColumn="0" w:lastRow="0" w:noHBand="0" w:noVBand="1" w:val="04A0"/>
        <w:tblBorders>
          <w:top w:val="single" w:sz="4" w:space="0" w:color="D8DEE2"/>
          <w:left w:val="single" w:sz="4" w:space="0" w:color="D8DEE2"/>
          <w:bottom w:val="single" w:sz="4" w:space="0" w:color="D8DEE2"/>
          <w:right w:val="single" w:sz="4" w:space="0" w:color="D8DEE2"/>
          <w:insideH w:val="single" w:sz="4" w:space="0" w:color="D8DEE2"/>
          <w:insideV w:val="single" w:sz="4" w:space="0" w:color="D8DEE2"/>
        </w:tblBorders>
      </w:tblPr>
      <w:tblGrid>
        <w:gridCol w:w="4896"/>
        <w:gridCol w:w="4896"/>
      </w:tblGrid>
      <w:tr>
        <w:tc>
          <w:tcPr>
            <w:tcW w:type="dxa" w:w="2304"/>
            <w:shd w:val="clear" w:fill="F0F3F4"/>
          </w:tcPr>
          <w:p>
            <w:r/>
            <w:r>
              <w:rPr>
                <w:rFonts w:ascii="Calibri" w:hAnsi="Calibri"/>
                <w:b/>
                <w:color w:val="667279"/>
                <w:sz w:val="14"/>
              </w:rPr>
              <w:t>ROLE</w:t>
            </w:r>
          </w:p>
        </w:tc>
        <w:tc>
          <w:tcPr>
            <w:tcW w:type="dxa" w:w="2304"/>
            <w:shd w:val="clear" w:fill="F0F3F4"/>
          </w:tcPr>
          <w:p>
            <w:r/>
            <w:r>
              <w:rPr>
                <w:rFonts w:ascii="Calibri" w:hAnsi="Calibri"/>
                <w:b/>
                <w:color w:val="667279"/>
                <w:sz w:val="14"/>
              </w:rPr>
              <w:t>TIER</w:t>
            </w:r>
          </w:p>
        </w:tc>
      </w:tr>
      <w:tr>
        <w:tc>
          <w:tcPr>
            <w:tcW w:type="dxa" w:w="2304"/>
          </w:tcPr>
          <w:p>
            <w:pPr>
              <w:spacing w:line="288" w:lineRule="auto" w:after="20"/>
            </w:pPr>
            <w:r/>
            <w:r>
              <w:rPr>
                <w:rFonts w:ascii="Consolas" w:hAnsi="Consolas"/>
                <w:b/>
                <w:color w:val="172126"/>
                <w:sz w:val="17"/>
              </w:rPr>
              <w:t>owner</w:t>
            </w:r>
          </w:p>
        </w:tc>
        <w:tc>
          <w:tcPr>
            <w:tcW w:type="dxa" w:w="2304"/>
          </w:tcPr>
          <w:p>
            <w:pPr>
              <w:spacing w:line="288" w:lineRule="auto" w:after="20"/>
            </w:pPr>
            <w:r/>
            <w:r>
              <w:rPr>
                <w:rFonts w:ascii="Consolas" w:hAnsi="Consolas"/>
                <w:b w:val="0"/>
                <w:color w:val="526068"/>
                <w:sz w:val="17"/>
              </w:rPr>
              <w:t>owner_admin</w:t>
            </w:r>
          </w:p>
        </w:tc>
      </w:tr>
      <w:tr>
        <w:tc>
          <w:tcPr>
            <w:tcW w:type="dxa" w:w="2304"/>
          </w:tcPr>
          <w:p>
            <w:pPr>
              <w:spacing w:line="288" w:lineRule="auto" w:after="20"/>
            </w:pPr>
            <w:r/>
            <w:r>
              <w:rPr>
                <w:rFonts w:ascii="Consolas" w:hAnsi="Consolas"/>
                <w:b/>
                <w:color w:val="172126"/>
                <w:sz w:val="17"/>
              </w:rPr>
              <w:t>admin</w:t>
            </w:r>
          </w:p>
        </w:tc>
        <w:tc>
          <w:tcPr>
            <w:tcW w:type="dxa" w:w="2304"/>
          </w:tcPr>
          <w:p>
            <w:pPr>
              <w:spacing w:line="288" w:lineRule="auto" w:after="20"/>
            </w:pPr>
            <w:r/>
            <w:r>
              <w:rPr>
                <w:rFonts w:ascii="Consolas" w:hAnsi="Consolas"/>
                <w:b w:val="0"/>
                <w:color w:val="526068"/>
                <w:sz w:val="17"/>
              </w:rPr>
              <w:t>owner_admin</w:t>
            </w:r>
          </w:p>
        </w:tc>
      </w:tr>
      <w:tr>
        <w:tc>
          <w:tcPr>
            <w:tcW w:type="dxa" w:w="2304"/>
          </w:tcPr>
          <w:p>
            <w:pPr>
              <w:spacing w:line="288" w:lineRule="auto" w:after="20"/>
            </w:pPr>
            <w:r/>
            <w:r>
              <w:rPr>
                <w:rFonts w:ascii="Consolas" w:hAnsi="Consolas"/>
                <w:b/>
                <w:color w:val="172126"/>
                <w:sz w:val="17"/>
              </w:rPr>
              <w:t>estimator</w:t>
            </w:r>
          </w:p>
        </w:tc>
        <w:tc>
          <w:tcPr>
            <w:tcW w:type="dxa" w:w="2304"/>
          </w:tcPr>
          <w:p>
            <w:pPr>
              <w:spacing w:line="288" w:lineRule="auto" w:after="20"/>
            </w:pPr>
            <w:r/>
            <w:r>
              <w:rPr>
                <w:rFonts w:ascii="Consolas" w:hAnsi="Consolas"/>
                <w:b w:val="0"/>
                <w:color w:val="526068"/>
                <w:sz w:val="17"/>
              </w:rPr>
              <w:t>delivery</w:t>
            </w:r>
          </w:p>
        </w:tc>
      </w:tr>
      <w:tr>
        <w:tc>
          <w:tcPr>
            <w:tcW w:type="dxa" w:w="2304"/>
          </w:tcPr>
          <w:p>
            <w:pPr>
              <w:spacing w:line="288" w:lineRule="auto" w:after="20"/>
            </w:pPr>
            <w:r/>
            <w:r>
              <w:rPr>
                <w:rFonts w:ascii="Consolas" w:hAnsi="Consolas"/>
                <w:b/>
                <w:color w:val="172126"/>
                <w:sz w:val="17"/>
              </w:rPr>
              <w:t>precon_lead</w:t>
            </w:r>
          </w:p>
        </w:tc>
        <w:tc>
          <w:tcPr>
            <w:tcW w:type="dxa" w:w="2304"/>
          </w:tcPr>
          <w:p>
            <w:pPr>
              <w:spacing w:line="288" w:lineRule="auto" w:after="20"/>
            </w:pPr>
            <w:r/>
            <w:r>
              <w:rPr>
                <w:rFonts w:ascii="Consolas" w:hAnsi="Consolas"/>
                <w:b w:val="0"/>
                <w:color w:val="526068"/>
                <w:sz w:val="17"/>
              </w:rPr>
              <w:t>delivery</w:t>
            </w:r>
          </w:p>
        </w:tc>
      </w:tr>
      <w:tr>
        <w:tc>
          <w:tcPr>
            <w:tcW w:type="dxa" w:w="2304"/>
          </w:tcPr>
          <w:p>
            <w:pPr>
              <w:spacing w:line="288" w:lineRule="auto" w:after="20"/>
            </w:pPr>
            <w:r/>
            <w:r>
              <w:rPr>
                <w:rFonts w:ascii="Consolas" w:hAnsi="Consolas"/>
                <w:b/>
                <w:color w:val="172126"/>
                <w:sz w:val="17"/>
              </w:rPr>
              <w:t>qs_reviewer</w:t>
            </w:r>
          </w:p>
        </w:tc>
        <w:tc>
          <w:tcPr>
            <w:tcW w:type="dxa" w:w="2304"/>
          </w:tcPr>
          <w:p>
            <w:pPr>
              <w:spacing w:line="288" w:lineRule="auto" w:after="20"/>
            </w:pPr>
            <w:r/>
            <w:r>
              <w:rPr>
                <w:rFonts w:ascii="Consolas" w:hAnsi="Consolas"/>
                <w:b w:val="0"/>
                <w:color w:val="526068"/>
                <w:sz w:val="17"/>
              </w:rPr>
              <w:t>review</w:t>
            </w:r>
          </w:p>
        </w:tc>
      </w:tr>
      <w:tr>
        <w:tc>
          <w:tcPr>
            <w:tcW w:type="dxa" w:w="2304"/>
          </w:tcPr>
          <w:p>
            <w:pPr>
              <w:spacing w:line="288" w:lineRule="auto" w:after="20"/>
            </w:pPr>
            <w:r/>
            <w:r>
              <w:rPr>
                <w:rFonts w:ascii="Consolas" w:hAnsi="Consolas"/>
                <w:b/>
                <w:color w:val="172126"/>
                <w:sz w:val="17"/>
              </w:rPr>
              <w:t>viewer</w:t>
            </w:r>
          </w:p>
        </w:tc>
        <w:tc>
          <w:tcPr>
            <w:tcW w:type="dxa" w:w="2304"/>
          </w:tcPr>
          <w:p>
            <w:pPr>
              <w:spacing w:line="288" w:lineRule="auto" w:after="20"/>
            </w:pPr>
            <w:r/>
            <w:r>
              <w:rPr>
                <w:rFonts w:ascii="Consolas" w:hAnsi="Consolas"/>
                <w:b w:val="0"/>
                <w:color w:val="526068"/>
                <w:sz w:val="17"/>
              </w:rPr>
              <w:t>view</w:t>
            </w:r>
          </w:p>
        </w:tc>
      </w:tr>
    </w:tbl>
    <w:p>
      <w:pPr>
        <w:spacing w:after="60"/>
      </w:pPr>
    </w:p>
    <w:p>
      <w:pPr>
        <w:spacing w:before="0" w:after="160" w:line="312" w:lineRule="auto"/>
      </w:pPr>
      <w:r>
        <w:rPr>
          <w:rFonts w:ascii="Georgia" w:hAnsi="Georgia"/>
          <w:b w:val="0"/>
          <w:i w:val="0"/>
          <w:color w:val="526068"/>
          <w:sz w:val="20"/>
        </w:rPr>
        <w:t>A tier is a ceiling: a role's tier is fixed once it exists, because changing it would silently re-scope everyone already assigned to it. Customers may create their own roles within a tier.</w:t>
      </w:r>
    </w:p>
    <w:p>
      <w:pPr>
        <w:spacing w:before="280" w:after="100" w:line="312" w:lineRule="auto"/>
      </w:pPr>
      <w:r>
        <w:rPr>
          <w:rFonts w:ascii="Calibri" w:hAnsi="Calibri"/>
          <w:b/>
          <w:i w:val="0"/>
          <w:color w:val="172126"/>
          <w:sz w:val="24"/>
        </w:rPr>
        <w:t>10.4  Tenant isolation</w:t>
      </w:r>
    </w:p>
    <w:p>
      <w:pPr>
        <w:spacing w:before="0" w:after="160" w:line="312" w:lineRule="auto"/>
      </w:pPr>
      <w:r>
        <w:rPr>
          <w:rFonts w:ascii="Georgia" w:hAnsi="Georgia"/>
          <w:b w:val="0"/>
          <w:i w:val="0"/>
          <w:color w:val="526068"/>
          <w:sz w:val="20"/>
        </w:rPr>
        <w:t>MySQL has no row-level security, so there is no shared view to fall back on: every query names its tenant explicitly, and a static scan over every SQL statement holds that line. A WHERE project_id = ? on its own reads naturally and is wrong only in what it omits — which is exactly why it is checked mechanically rather than by review. A cross-tenant read by direct object id answers 404, not 403; a 403 confirms the id exists.</w:t>
      </w:r>
    </w:p>
    <w:p>
      <w:pPr>
        <w:spacing w:before="280" w:after="100" w:line="312" w:lineRule="auto"/>
      </w:pPr>
      <w:r>
        <w:rPr>
          <w:rFonts w:ascii="Calibri" w:hAnsi="Calibri"/>
          <w:b/>
          <w:i w:val="0"/>
          <w:color w:val="172126"/>
          <w:sz w:val="24"/>
        </w:rPr>
        <w:t>10.5  Authentication controls</w:t>
      </w:r>
    </w:p>
    <w:p>
      <w:pPr>
        <w:pStyle w:val="ListBullet"/>
        <w:spacing w:after="60" w:line="302" w:lineRule="auto"/>
        <w:ind w:left="360"/>
      </w:pPr>
      <w:r>
        <w:rPr>
          <w:rFonts w:ascii="Calibri" w:hAnsi="Calibri"/>
          <w:b/>
          <w:color w:val="172126"/>
          <w:sz w:val="19"/>
        </w:rPr>
        <w:t xml:space="preserve">Registration closed. </w:t>
      </w:r>
      <w:r>
        <w:rPr>
          <w:rFonts w:ascii="Georgia" w:hAnsi="Georgia"/>
          <w:color w:val="526068"/>
          <w:sz w:val="19"/>
        </w:rPr>
        <w:t>Neither console has a sign-up screen. The endpoint the auth library mounts by default is refused at the HTTP boundary; in-process provisioning and invitation are unaffected. The host gates it on a service credential and fails closed when none is set.</w:t>
      </w:r>
    </w:p>
    <w:p>
      <w:pPr>
        <w:pStyle w:val="ListBullet"/>
        <w:spacing w:after="60" w:line="302" w:lineRule="auto"/>
        <w:ind w:left="360"/>
      </w:pPr>
      <w:r>
        <w:rPr>
          <w:rFonts w:ascii="Calibri" w:hAnsi="Calibri"/>
          <w:b/>
          <w:color w:val="172126"/>
          <w:sz w:val="19"/>
        </w:rPr>
        <w:t xml:space="preserve">Per-IP throttling. </w:t>
      </w:r>
      <w:r>
        <w:rPr>
          <w:rFonts w:ascii="Georgia" w:hAnsi="Georgia"/>
          <w:color w:val="526068"/>
          <w:sz w:val="19"/>
        </w:rPr>
        <w:t>Keyed on the client address nginx forwards. A shared counter is worse than none: three attempts a minute across a whole firm means one script locks out every estimator.</w:t>
      </w:r>
    </w:p>
    <w:p>
      <w:pPr>
        <w:pStyle w:val="ListBullet"/>
        <w:spacing w:after="60" w:line="302" w:lineRule="auto"/>
        <w:ind w:left="360"/>
      </w:pPr>
      <w:r>
        <w:rPr>
          <w:rFonts w:ascii="Calibri" w:hAnsi="Calibri"/>
          <w:b/>
          <w:color w:val="172126"/>
          <w:sz w:val="19"/>
        </w:rPr>
        <w:t xml:space="preserve">Session. </w:t>
      </w:r>
      <w:r>
        <w:rPr>
          <w:rFonts w:ascii="Georgia" w:hAnsi="Georgia"/>
          <w:color w:val="526068"/>
          <w:sz w:val="19"/>
        </w:rPr>
        <w:t>Twelve hours, refreshed hourly. Two-factor TOTP with single-use backup codes; verification required before the factor is enabled.</w:t>
      </w:r>
    </w:p>
    <w:p>
      <w:pPr>
        <w:spacing w:after="40"/>
      </w:pPr>
    </w:p>
    <w:p>
      <w:r>
        <w:br w:type="page"/>
      </w:r>
    </w:p>
    <w:p>
      <w:pPr>
        <w:spacing w:before="0" w:after="60" w:line="312" w:lineRule="auto"/>
      </w:pPr>
      <w:r>
        <w:rPr>
          <w:rFonts w:ascii="Consolas" w:hAnsi="Consolas"/>
          <w:b/>
          <w:i w:val="0"/>
          <w:color w:val="087E75"/>
          <w:sz w:val="15"/>
        </w:rPr>
        <w:t>CHAPTER 11</w:t>
      </w:r>
    </w:p>
    <w:p>
      <w:pPr>
        <w:spacing w:before="0" w:after="160" w:line="252" w:lineRule="auto"/>
      </w:pPr>
      <w:r>
        <w:rPr>
          <w:rFonts w:ascii="Georgia" w:hAnsi="Georgia"/>
          <w:b/>
          <w:i w:val="0"/>
          <w:color w:val="172126"/>
          <w:sz w:val="40"/>
        </w:rPr>
        <w:t>Operations</w:t>
      </w:r>
    </w:p>
    <w:p>
      <w:pPr>
        <w:spacing w:before="280" w:after="100" w:line="312" w:lineRule="auto"/>
      </w:pPr>
      <w:r>
        <w:rPr>
          <w:rFonts w:ascii="Calibri" w:hAnsi="Calibri"/>
          <w:b/>
          <w:i w:val="0"/>
          <w:color w:val="172126"/>
          <w:sz w:val="24"/>
        </w:rPr>
        <w:t>11.1  Transport and exposure</w:t>
      </w:r>
    </w:p>
    <w:p>
      <w:pPr>
        <w:pStyle w:val="ListBullet"/>
        <w:spacing w:after="60" w:line="302" w:lineRule="auto"/>
        <w:ind w:left="360"/>
      </w:pPr>
      <w:r>
        <w:rPr>
          <w:rFonts w:ascii="Calibri" w:hAnsi="Calibri"/>
          <w:b/>
          <w:color w:val="172126"/>
          <w:sz w:val="19"/>
        </w:rPr>
        <w:t xml:space="preserve">TLS. </w:t>
      </w:r>
      <w:r>
        <w:rPr>
          <w:rFonts w:ascii="Georgia" w:hAnsi="Georgia"/>
          <w:color w:val="526068"/>
          <w:sz w:val="19"/>
        </w:rPr>
        <w:t>nginx terminates; Let's Encrypt; http redirects to https on every vhost.</w:t>
      </w:r>
    </w:p>
    <w:p>
      <w:pPr>
        <w:pStyle w:val="ListBullet"/>
        <w:spacing w:after="60" w:line="302" w:lineRule="auto"/>
        <w:ind w:left="360"/>
      </w:pPr>
      <w:r>
        <w:rPr>
          <w:rFonts w:ascii="Calibri" w:hAnsi="Calibri"/>
          <w:b/>
          <w:color w:val="172126"/>
          <w:sz w:val="19"/>
        </w:rPr>
        <w:t xml:space="preserve">Headers. </w:t>
      </w:r>
      <w:r>
        <w:rPr>
          <w:rFonts w:ascii="Georgia" w:hAnsi="Georgia"/>
          <w:color w:val="526068"/>
          <w:sz w:val="19"/>
        </w:rPr>
        <w:t>HSTS (two years, includeSubDomains), CSP, frame-ancestors none, nosniff, Referrer-Policy, Permissions-Policy. The CSP names no external script host, so an injected tag has nowhere to load from.</w:t>
      </w:r>
    </w:p>
    <w:p>
      <w:pPr>
        <w:pStyle w:val="ListBullet"/>
        <w:spacing w:after="60" w:line="302" w:lineRule="auto"/>
        <w:ind w:left="360"/>
      </w:pPr>
      <w:r>
        <w:rPr>
          <w:rFonts w:ascii="Calibri" w:hAnsi="Calibri"/>
          <w:b/>
          <w:color w:val="172126"/>
          <w:sz w:val="19"/>
        </w:rPr>
        <w:t xml:space="preserve">Ports. </w:t>
      </w:r>
      <w:r>
        <w:rPr>
          <w:rFonts w:ascii="Georgia" w:hAnsi="Georgia"/>
          <w:color w:val="526068"/>
          <w:sz w:val="19"/>
        </w:rPr>
        <w:t>Every published container port binds to 127.0.0.1. Docker writes its own iptables rules ahead of ufw, so the bind address is the control that works — a firewall rule on a published port reports success and leaves it open.</w:t>
      </w:r>
    </w:p>
    <w:p>
      <w:pPr>
        <w:spacing w:after="40"/>
      </w:pPr>
    </w:p>
    <w:p>
      <w:pPr>
        <w:spacing w:before="280" w:after="100" w:line="312" w:lineRule="auto"/>
      </w:pPr>
      <w:r>
        <w:rPr>
          <w:rFonts w:ascii="Calibri" w:hAnsi="Calibri"/>
          <w:b/>
          <w:i w:val="0"/>
          <w:color w:val="172126"/>
          <w:sz w:val="24"/>
        </w:rPr>
        <w:t>11.2  Deploy</w:t>
      </w:r>
    </w:p>
    <w:p>
      <w:pPr>
        <w:spacing w:before="40" w:after="160" w:line="300" w:lineRule="auto"/>
        <w:ind w:left="259"/>
      </w:pPr>
      <w:r>
        <w:rPr>
          <w:rFonts w:ascii="Consolas" w:hAnsi="Consolas"/>
          <w:color w:val="526068"/>
          <w:sz w:val="17"/>
        </w:rPr>
        <w:t>$env:PRECKON_HOST = "&lt;host&gt;"</w:t>
        <w:br/>
        <w:t>powershell -ExecutionPolicy Bypass -File preckon-tenant\deploy.ps1</w:t>
      </w:r>
    </w:p>
    <w:p>
      <w:pPr>
        <w:spacing w:before="0" w:after="160" w:line="312" w:lineRule="auto"/>
      </w:pPr>
      <w:r>
        <w:rPr>
          <w:rFonts w:ascii="Georgia" w:hAnsi="Georgia"/>
          <w:b w:val="0"/>
          <w:i w:val="0"/>
          <w:color w:val="526068"/>
          <w:sz w:val="20"/>
        </w:rPr>
        <w:t>The script packages from the repository root, verifies the bundle by SHA-256 after transfer, and rebuilds app, worker and cad. It refuses to run anywhere but Windows, resolves the host before packaging, and probes the server once before entering the retry loop — an unreachable host costs one attempt rather than twenty-five.</w:t>
      </w:r>
    </w:p>
    <w:p>
      <w:pPr>
        <w:spacing w:before="280" w:after="100" w:line="312" w:lineRule="auto"/>
      </w:pPr>
      <w:r>
        <w:rPr>
          <w:rFonts w:ascii="Calibri" w:hAnsi="Calibri"/>
          <w:b/>
          <w:i w:val="0"/>
          <w:color w:val="172126"/>
          <w:sz w:val="24"/>
        </w:rPr>
        <w:t>11.3  Migrations</w:t>
      </w:r>
    </w:p>
    <w:p>
      <w:pPr>
        <w:spacing w:before="0" w:after="160" w:line="312" w:lineRule="auto"/>
      </w:pPr>
      <w:r>
        <w:rPr>
          <w:rFonts w:ascii="Georgia" w:hAnsi="Georgia"/>
          <w:b w:val="0"/>
          <w:i w:val="0"/>
          <w:color w:val="526068"/>
          <w:sz w:val="20"/>
        </w:rPr>
        <w:t>Twenty-eight migrations, applied by scripts/migrate.mjs and re-runnable: CI applies them twice and fails if the second application is not a no-op.</w:t>
      </w:r>
    </w:p>
    <w:p>
      <w:pPr>
        <w:spacing w:before="280" w:after="100" w:line="312" w:lineRule="auto"/>
      </w:pPr>
      <w:r>
        <w:rPr>
          <w:rFonts w:ascii="Calibri" w:hAnsi="Calibri"/>
          <w:b/>
          <w:i w:val="0"/>
          <w:color w:val="172126"/>
          <w:sz w:val="24"/>
        </w:rPr>
        <w:t>11.4  Test surface</w:t>
      </w:r>
    </w:p>
    <w:tbl>
      <w:tblPr>
        <w:tblW w:type="auto" w:w="0"/>
        <w:jc w:val="left"/>
        <w:tblLook w:firstColumn="1" w:firstRow="1" w:lastColumn="0" w:lastRow="0" w:noHBand="0" w:noVBand="1" w:val="04A0"/>
        <w:tblBorders>
          <w:top w:val="single" w:sz="4" w:space="0" w:color="D8DEE2"/>
          <w:left w:val="single" w:sz="4" w:space="0" w:color="D8DEE2"/>
          <w:bottom w:val="single" w:sz="4" w:space="0" w:color="D8DEE2"/>
          <w:right w:val="single" w:sz="4" w:space="0" w:color="D8DEE2"/>
          <w:insideH w:val="single" w:sz="4" w:space="0" w:color="D8DEE2"/>
          <w:insideV w:val="single" w:sz="4" w:space="0" w:color="D8DEE2"/>
        </w:tblBorders>
      </w:tblPr>
      <w:tblGrid>
        <w:gridCol w:w="3264"/>
        <w:gridCol w:w="3264"/>
        <w:gridCol w:w="3264"/>
      </w:tblGrid>
      <w:tr>
        <w:tc>
          <w:tcPr>
            <w:tcW w:type="dxa" w:w="2016"/>
            <w:shd w:val="clear" w:fill="F0F3F4"/>
          </w:tcPr>
          <w:p>
            <w:r/>
            <w:r>
              <w:rPr>
                <w:rFonts w:ascii="Calibri" w:hAnsi="Calibri"/>
                <w:b/>
                <w:color w:val="667279"/>
                <w:sz w:val="14"/>
              </w:rPr>
              <w:t>LAYER</w:t>
            </w:r>
          </w:p>
        </w:tc>
        <w:tc>
          <w:tcPr>
            <w:tcW w:type="dxa" w:w="1296"/>
            <w:shd w:val="clear" w:fill="F0F3F4"/>
          </w:tcPr>
          <w:p>
            <w:r/>
            <w:r>
              <w:rPr>
                <w:rFonts w:ascii="Calibri" w:hAnsi="Calibri"/>
                <w:b/>
                <w:color w:val="667279"/>
                <w:sz w:val="14"/>
              </w:rPr>
              <w:t>COUNT</w:t>
            </w:r>
          </w:p>
        </w:tc>
        <w:tc>
          <w:tcPr>
            <w:tcW w:type="dxa" w:w="6192"/>
            <w:shd w:val="clear" w:fill="F0F3F4"/>
          </w:tcPr>
          <w:p>
            <w:r/>
            <w:r>
              <w:rPr>
                <w:rFonts w:ascii="Calibri" w:hAnsi="Calibri"/>
                <w:b/>
                <w:color w:val="667279"/>
                <w:sz w:val="14"/>
              </w:rPr>
              <w:t>WHAT IT COVERS</w:t>
            </w:r>
          </w:p>
        </w:tc>
      </w:tr>
      <w:tr>
        <w:tc>
          <w:tcPr>
            <w:tcW w:type="dxa" w:w="2016"/>
          </w:tcPr>
          <w:p>
            <w:pPr>
              <w:spacing w:line="288" w:lineRule="auto" w:after="20"/>
            </w:pPr>
            <w:r/>
            <w:r>
              <w:rPr>
                <w:rFonts w:ascii="Calibri" w:hAnsi="Calibri"/>
                <w:b/>
                <w:color w:val="172126"/>
                <w:sz w:val="17"/>
              </w:rPr>
              <w:t>Unit / integration</w:t>
            </w:r>
          </w:p>
        </w:tc>
        <w:tc>
          <w:tcPr>
            <w:tcW w:type="dxa" w:w="1296"/>
          </w:tcPr>
          <w:p>
            <w:pPr>
              <w:spacing w:line="288" w:lineRule="auto" w:after="20"/>
            </w:pPr>
            <w:r/>
            <w:r>
              <w:rPr>
                <w:rFonts w:ascii="Calibri" w:hAnsi="Calibri"/>
                <w:b w:val="0"/>
                <w:color w:val="526068"/>
                <w:sz w:val="17"/>
              </w:rPr>
              <w:t>77 files</w:t>
            </w:r>
          </w:p>
        </w:tc>
        <w:tc>
          <w:tcPr>
            <w:tcW w:type="dxa" w:w="6192"/>
          </w:tcPr>
          <w:p>
            <w:pPr>
              <w:spacing w:line="288" w:lineRule="auto" w:after="20"/>
            </w:pPr>
            <w:r/>
            <w:r>
              <w:rPr>
                <w:rFonts w:ascii="Calibri" w:hAnsi="Calibri"/>
                <w:b w:val="0"/>
                <w:color w:val="526068"/>
                <w:sz w:val="17"/>
              </w:rPr>
              <w:t>Domain engines, AI governance, retrieval scorers, regression pins for defects that have actually occurred.</w:t>
            </w:r>
          </w:p>
        </w:tc>
      </w:tr>
      <w:tr>
        <w:tc>
          <w:tcPr>
            <w:tcW w:type="dxa" w:w="2016"/>
          </w:tcPr>
          <w:p>
            <w:pPr>
              <w:spacing w:line="288" w:lineRule="auto" w:after="20"/>
            </w:pPr>
            <w:r/>
            <w:r>
              <w:rPr>
                <w:rFonts w:ascii="Calibri" w:hAnsi="Calibri"/>
                <w:b/>
                <w:color w:val="172126"/>
                <w:sz w:val="17"/>
              </w:rPr>
              <w:t>End-to-end</w:t>
            </w:r>
          </w:p>
        </w:tc>
        <w:tc>
          <w:tcPr>
            <w:tcW w:type="dxa" w:w="1296"/>
          </w:tcPr>
          <w:p>
            <w:pPr>
              <w:spacing w:line="288" w:lineRule="auto" w:after="20"/>
            </w:pPr>
            <w:r/>
            <w:r>
              <w:rPr>
                <w:rFonts w:ascii="Calibri" w:hAnsi="Calibri"/>
                <w:b w:val="0"/>
                <w:color w:val="526068"/>
                <w:sz w:val="17"/>
              </w:rPr>
              <w:t>5 specs</w:t>
            </w:r>
          </w:p>
        </w:tc>
        <w:tc>
          <w:tcPr>
            <w:tcW w:type="dxa" w:w="6192"/>
          </w:tcPr>
          <w:p>
            <w:pPr>
              <w:spacing w:line="288" w:lineRule="auto" w:after="20"/>
            </w:pPr>
            <w:r/>
            <w:r>
              <w:rPr>
                <w:rFonts w:ascii="Calibri" w:hAnsi="Calibri"/>
                <w:b w:val="0"/>
                <w:color w:val="526068"/>
                <w:sz w:val="17"/>
              </w:rPr>
              <w:t>Golden path, chain surfaces, programme, i18n, core loop — against a real browser and database.</w:t>
            </w:r>
          </w:p>
        </w:tc>
      </w:tr>
      <w:tr>
        <w:tc>
          <w:tcPr>
            <w:tcW w:type="dxa" w:w="2016"/>
          </w:tcPr>
          <w:p>
            <w:pPr>
              <w:spacing w:line="288" w:lineRule="auto" w:after="20"/>
            </w:pPr>
            <w:r/>
            <w:r>
              <w:rPr>
                <w:rFonts w:ascii="Calibri" w:hAnsi="Calibri"/>
                <w:b/>
                <w:color w:val="172126"/>
                <w:sz w:val="17"/>
              </w:rPr>
              <w:t>AI evaluation</w:t>
            </w:r>
          </w:p>
        </w:tc>
        <w:tc>
          <w:tcPr>
            <w:tcW w:type="dxa" w:w="1296"/>
          </w:tcPr>
          <w:p>
            <w:pPr>
              <w:spacing w:line="288" w:lineRule="auto" w:after="20"/>
            </w:pPr>
            <w:r/>
            <w:r>
              <w:rPr>
                <w:rFonts w:ascii="Calibri" w:hAnsi="Calibri"/>
                <w:b w:val="0"/>
                <w:color w:val="526068"/>
                <w:sz w:val="17"/>
              </w:rPr>
              <w:t>2 suites</w:t>
            </w:r>
          </w:p>
        </w:tc>
        <w:tc>
          <w:tcPr>
            <w:tcW w:type="dxa" w:w="6192"/>
          </w:tcPr>
          <w:p>
            <w:pPr>
              <w:spacing w:line="288" w:lineRule="auto" w:after="20"/>
            </w:pPr>
            <w:r/>
            <w:r>
              <w:rPr>
                <w:rFonts w:ascii="Calibri" w:hAnsi="Calibri"/>
                <w:b w:val="0"/>
                <w:color w:val="526068"/>
                <w:sz w:val="17"/>
              </w:rPr>
              <w:t>Tool selection and grounding; retrieval precision and citation fidelity. Both deterministic, both able to gate a deploy.</w:t>
            </w:r>
          </w:p>
        </w:tc>
      </w:tr>
    </w:tbl>
    <w:p>
      <w:pPr>
        <w:spacing w:after="60"/>
      </w:pPr>
    </w:p>
    <w:p>
      <w:r>
        <w:br w:type="page"/>
      </w:r>
    </w:p>
    <w:p>
      <w:pPr>
        <w:spacing w:before="0" w:after="60" w:line="312" w:lineRule="auto"/>
      </w:pPr>
      <w:r>
        <w:rPr>
          <w:rFonts w:ascii="Consolas" w:hAnsi="Consolas"/>
          <w:b/>
          <w:i w:val="0"/>
          <w:color w:val="087E75"/>
          <w:sz w:val="15"/>
        </w:rPr>
        <w:t>CHAPTER 12</w:t>
      </w:r>
    </w:p>
    <w:p>
      <w:pPr>
        <w:spacing w:before="0" w:after="160" w:line="252" w:lineRule="auto"/>
      </w:pPr>
      <w:r>
        <w:rPr>
          <w:rFonts w:ascii="Georgia" w:hAnsi="Georgia"/>
          <w:b/>
          <w:i w:val="0"/>
          <w:color w:val="172126"/>
          <w:sz w:val="40"/>
        </w:rPr>
        <w:t>Known gaps</w:t>
      </w:r>
    </w:p>
    <w:p>
      <w:pPr>
        <w:spacing w:before="0" w:after="200" w:line="312" w:lineRule="auto"/>
      </w:pPr>
      <w:r>
        <w:rPr>
          <w:rFonts w:ascii="Georgia" w:hAnsi="Georgia"/>
          <w:b w:val="0"/>
          <w:i w:val="0"/>
          <w:color w:val="526068"/>
          <w:sz w:val="22"/>
        </w:rPr>
        <w:t>Stated because a reference that lists only strengths is a brochure.</w:t>
      </w:r>
    </w:p>
    <w:tbl>
      <w:tblPr>
        <w:tblW w:type="auto" w:w="0"/>
        <w:jc w:val="left"/>
        <w:tblLook w:firstColumn="1" w:firstRow="1" w:lastColumn="0" w:lastRow="0" w:noHBand="0" w:noVBand="1" w:val="04A0"/>
        <w:tblBorders>
          <w:top w:val="single" w:sz="4" w:space="0" w:color="D8DEE2"/>
          <w:left w:val="single" w:sz="4" w:space="0" w:color="D8DEE2"/>
          <w:bottom w:val="single" w:sz="4" w:space="0" w:color="D8DEE2"/>
          <w:right w:val="single" w:sz="4" w:space="0" w:color="D8DEE2"/>
          <w:insideH w:val="single" w:sz="4" w:space="0" w:color="D8DEE2"/>
          <w:insideV w:val="single" w:sz="4" w:space="0" w:color="D8DEE2"/>
        </w:tblBorders>
      </w:tblPr>
      <w:tblGrid>
        <w:gridCol w:w="4896"/>
        <w:gridCol w:w="4896"/>
      </w:tblGrid>
      <w:tr>
        <w:tc>
          <w:tcPr>
            <w:tcW w:type="dxa" w:w="1872"/>
            <w:shd w:val="clear" w:fill="F0F3F4"/>
          </w:tcPr>
          <w:p>
            <w:r/>
            <w:r>
              <w:rPr>
                <w:rFonts w:ascii="Calibri" w:hAnsi="Calibri"/>
                <w:b/>
                <w:color w:val="667279"/>
                <w:sz w:val="14"/>
              </w:rPr>
              <w:t>GAP</w:t>
            </w:r>
          </w:p>
        </w:tc>
        <w:tc>
          <w:tcPr>
            <w:tcW w:type="dxa" w:w="7632"/>
            <w:shd w:val="clear" w:fill="F0F3F4"/>
          </w:tcPr>
          <w:p>
            <w:r/>
            <w:r>
              <w:rPr>
                <w:rFonts w:ascii="Calibri" w:hAnsi="Calibri"/>
                <w:b/>
                <w:color w:val="667279"/>
                <w:sz w:val="14"/>
              </w:rPr>
              <w:t>WHERE IT STANDS</w:t>
            </w:r>
          </w:p>
        </w:tc>
      </w:tr>
      <w:tr>
        <w:tc>
          <w:tcPr>
            <w:tcW w:type="dxa" w:w="1872"/>
          </w:tcPr>
          <w:p>
            <w:pPr>
              <w:spacing w:line="288" w:lineRule="auto" w:after="20"/>
            </w:pPr>
            <w:r/>
            <w:r>
              <w:rPr>
                <w:rFonts w:ascii="Calibri" w:hAnsi="Calibri"/>
                <w:b/>
                <w:color w:val="172126"/>
                <w:sz w:val="17"/>
              </w:rPr>
              <w:t>Model routing</w:t>
            </w:r>
          </w:p>
        </w:tc>
        <w:tc>
          <w:tcPr>
            <w:tcW w:type="dxa" w:w="7632"/>
          </w:tcPr>
          <w:p>
            <w:pPr>
              <w:spacing w:line="288" w:lineRule="auto" w:after="20"/>
            </w:pPr>
            <w:r/>
            <w:r>
              <w:rPr>
                <w:rFonts w:ascii="Calibri" w:hAnsi="Calibri"/>
                <w:b w:val="0"/>
                <w:color w:val="526068"/>
                <w:sz w:val="17"/>
              </w:rPr>
              <w:t>Eighteen of twenty-three task types default to the frontier tier, against the governing rule that frontier is an escalation path. Recorded as a formal exception with an owner and an expiry. Blocked on an evaluation corpus that scores extraction accuracy, because re-routing changes what the models return.</w:t>
            </w:r>
          </w:p>
        </w:tc>
      </w:tr>
      <w:tr>
        <w:tc>
          <w:tcPr>
            <w:tcW w:type="dxa" w:w="1872"/>
          </w:tcPr>
          <w:p>
            <w:pPr>
              <w:spacing w:line="288" w:lineRule="auto" w:after="20"/>
            </w:pPr>
            <w:r/>
            <w:r>
              <w:rPr>
                <w:rFonts w:ascii="Calibri" w:hAnsi="Calibri"/>
                <w:b/>
                <w:color w:val="172126"/>
                <w:sz w:val="17"/>
              </w:rPr>
              <w:t>Prompt caching</w:t>
            </w:r>
          </w:p>
        </w:tc>
        <w:tc>
          <w:tcPr>
            <w:tcW w:type="dxa" w:w="7632"/>
          </w:tcPr>
          <w:p>
            <w:pPr>
              <w:spacing w:line="288" w:lineRule="auto" w:after="20"/>
            </w:pPr>
            <w:r/>
            <w:r>
              <w:rPr>
                <w:rFonts w:ascii="Calibri" w:hAnsi="Calibri"/>
                <w:b w:val="0"/>
                <w:color w:val="526068"/>
                <w:sz w:val="17"/>
              </w:rPr>
              <w:t>Enabled and producing no hits. The cache breakpoint sits after a per-specialist persona, so the shared prefix between two calls is twelve characters. Every call writes a fresh entry at a 25% premium and reads nothing — worse than not caching.</w:t>
            </w:r>
          </w:p>
        </w:tc>
      </w:tr>
      <w:tr>
        <w:tc>
          <w:tcPr>
            <w:tcW w:type="dxa" w:w="1872"/>
          </w:tcPr>
          <w:p>
            <w:pPr>
              <w:spacing w:line="288" w:lineRule="auto" w:after="20"/>
            </w:pPr>
            <w:r/>
            <w:r>
              <w:rPr>
                <w:rFonts w:ascii="Calibri" w:hAnsi="Calibri"/>
                <w:b/>
                <w:color w:val="172126"/>
                <w:sz w:val="17"/>
              </w:rPr>
              <w:t>Cost arithmetic</w:t>
            </w:r>
          </w:p>
        </w:tc>
        <w:tc>
          <w:tcPr>
            <w:tcW w:type="dxa" w:w="7632"/>
          </w:tcPr>
          <w:p>
            <w:pPr>
              <w:spacing w:line="288" w:lineRule="auto" w:after="20"/>
            </w:pPr>
            <w:r/>
            <w:r>
              <w:rPr>
                <w:rFonts w:ascii="Calibri" w:hAnsi="Calibri"/>
                <w:b w:val="0"/>
                <w:color w:val="526068"/>
                <w:sz w:val="17"/>
              </w:rPr>
              <w:t>Cache reads and writes are priced as ordinary input tokens. The ledger under-reports while caching is broken and would over-report the saving once it works.</w:t>
            </w:r>
          </w:p>
        </w:tc>
      </w:tr>
      <w:tr>
        <w:tc>
          <w:tcPr>
            <w:tcW w:type="dxa" w:w="1872"/>
          </w:tcPr>
          <w:p>
            <w:pPr>
              <w:spacing w:line="288" w:lineRule="auto" w:after="20"/>
            </w:pPr>
            <w:r/>
            <w:r>
              <w:rPr>
                <w:rFonts w:ascii="Calibri" w:hAnsi="Calibri"/>
                <w:b/>
                <w:color w:val="172126"/>
                <w:sz w:val="17"/>
              </w:rPr>
              <w:t>Evaluation</w:t>
            </w:r>
          </w:p>
        </w:tc>
        <w:tc>
          <w:tcPr>
            <w:tcW w:type="dxa" w:w="7632"/>
          </w:tcPr>
          <w:p>
            <w:pPr>
              <w:spacing w:line="288" w:lineRule="auto" w:after="20"/>
            </w:pPr>
            <w:r/>
            <w:r>
              <w:rPr>
                <w:rFonts w:ascii="Calibri" w:hAnsi="Calibri"/>
                <w:b w:val="0"/>
                <w:color w:val="526068"/>
                <w:sz w:val="17"/>
              </w:rPr>
              <w:t>Retrieval and citation fidelity are scored deterministically. Extraction accuracy, BOQ completeness and schedule correctness need a golden project with known-correct answers, which does not exist yet.</w:t>
            </w:r>
          </w:p>
        </w:tc>
      </w:tr>
      <w:tr>
        <w:tc>
          <w:tcPr>
            <w:tcW w:type="dxa" w:w="1872"/>
          </w:tcPr>
          <w:p>
            <w:pPr>
              <w:spacing w:line="288" w:lineRule="auto" w:after="20"/>
            </w:pPr>
            <w:r/>
            <w:r>
              <w:rPr>
                <w:rFonts w:ascii="Calibri" w:hAnsi="Calibri"/>
                <w:b/>
                <w:color w:val="172126"/>
                <w:sz w:val="17"/>
              </w:rPr>
              <w:t>Text extraction</w:t>
            </w:r>
          </w:p>
        </w:tc>
        <w:tc>
          <w:tcPr>
            <w:tcW w:type="dxa" w:w="7632"/>
          </w:tcPr>
          <w:p>
            <w:pPr>
              <w:spacing w:line="288" w:lineRule="auto" w:after="20"/>
            </w:pPr>
            <w:r/>
            <w:r>
              <w:rPr>
                <w:rFonts w:ascii="Calibri" w:hAnsi="Calibri"/>
                <w:b w:val="0"/>
                <w:color w:val="526068"/>
                <w:sz w:val="17"/>
              </w:rPr>
              <w:t>Seven of 123 production files yield no readable text — scanned sheets bound in with vector ones. Named rather than counted, but they need OCR.</w:t>
            </w:r>
          </w:p>
        </w:tc>
      </w:tr>
      <w:tr>
        <w:tc>
          <w:tcPr>
            <w:tcW w:type="dxa" w:w="1872"/>
          </w:tcPr>
          <w:p>
            <w:pPr>
              <w:spacing w:line="288" w:lineRule="auto" w:after="20"/>
            </w:pPr>
            <w:r/>
            <w:r>
              <w:rPr>
                <w:rFonts w:ascii="Calibri" w:hAnsi="Calibri"/>
                <w:b/>
                <w:color w:val="172126"/>
                <w:sz w:val="17"/>
              </w:rPr>
              <w:t>cost.price_lines</w:t>
            </w:r>
          </w:p>
        </w:tc>
        <w:tc>
          <w:tcPr>
            <w:tcW w:type="dxa" w:w="7632"/>
          </w:tcPr>
          <w:p>
            <w:pPr>
              <w:spacing w:line="288" w:lineRule="auto" w:after="20"/>
            </w:pPr>
            <w:r/>
            <w:r>
              <w:rPr>
                <w:rFonts w:ascii="Calibri" w:hAnsi="Calibri"/>
                <w:b w:val="0"/>
                <w:color w:val="526068"/>
                <w:sz w:val="17"/>
              </w:rPr>
              <w:t>Returns 'no usable outputs' on some runs after the model returned thirteen thousand characters — a parsing failure, not a model failure. Full-price calls producing nothing.</w:t>
            </w:r>
          </w:p>
        </w:tc>
      </w:tr>
      <w:tr>
        <w:tc>
          <w:tcPr>
            <w:tcW w:type="dxa" w:w="1872"/>
          </w:tcPr>
          <w:p>
            <w:pPr>
              <w:spacing w:line="288" w:lineRule="auto" w:after="20"/>
            </w:pPr>
            <w:r/>
            <w:r>
              <w:rPr>
                <w:rFonts w:ascii="Calibri" w:hAnsi="Calibri"/>
                <w:b/>
                <w:color w:val="172126"/>
                <w:sz w:val="17"/>
              </w:rPr>
              <w:t>Desktop parity</w:t>
            </w:r>
          </w:p>
        </w:tc>
        <w:tc>
          <w:tcPr>
            <w:tcW w:type="dxa" w:w="7632"/>
          </w:tcPr>
          <w:p>
            <w:pPr>
              <w:spacing w:line="288" w:lineRule="auto" w:after="20"/>
            </w:pPr>
            <w:r/>
            <w:r>
              <w:rPr>
                <w:rFonts w:ascii="Calibri" w:hAnsi="Calibri"/>
                <w:b w:val="0"/>
                <w:color w:val="526068"/>
                <w:sz w:val="17"/>
              </w:rPr>
              <w:t>The Electron shell shares the drawing studio with the browser; offline authoring and conflict resolution are not solved.</w:t>
            </w:r>
          </w:p>
        </w:tc>
      </w:tr>
      <w:tr>
        <w:tc>
          <w:tcPr>
            <w:tcW w:type="dxa" w:w="1872"/>
          </w:tcPr>
          <w:p>
            <w:pPr>
              <w:spacing w:line="288" w:lineRule="auto" w:after="20"/>
            </w:pPr>
            <w:r/>
            <w:r>
              <w:rPr>
                <w:rFonts w:ascii="Calibri" w:hAnsi="Calibri"/>
                <w:b/>
                <w:color w:val="172126"/>
                <w:sz w:val="17"/>
              </w:rPr>
              <w:t>Host history</w:t>
            </w:r>
          </w:p>
        </w:tc>
        <w:tc>
          <w:tcPr>
            <w:tcW w:type="dxa" w:w="7632"/>
          </w:tcPr>
          <w:p>
            <w:pPr>
              <w:spacing w:line="288" w:lineRule="auto" w:after="20"/>
            </w:pPr>
            <w:r/>
            <w:r>
              <w:rPr>
                <w:rFonts w:ascii="Calibri" w:hAnsi="Calibri"/>
                <w:b w:val="0"/>
                <w:color w:val="526068"/>
                <w:sz w:val="17"/>
              </w:rPr>
              <w:t>techsmeinc/preckon-host has no common ancestor with the monorepo subtree, so it is published by overlay rather than merge.</w:t>
            </w:r>
          </w:p>
        </w:tc>
      </w:tr>
    </w:tbl>
    <w:p>
      <w:pPr>
        <w:spacing w:after="60"/>
      </w:pPr>
    </w:p>
    <w:p>
      <w:pPr>
        <w:spacing w:before="320" w:after="160" w:line="360" w:lineRule="auto"/>
      </w:pPr>
      <w:r>
        <w:rPr>
          <w:rFonts w:ascii="Consolas" w:hAnsi="Consolas"/>
          <w:b w:val="0"/>
          <w:i w:val="0"/>
          <w:color w:val="667279"/>
          <w:sz w:val="16"/>
        </w:rPr>
        <w:t>Compiled from the running system on 2 September 2026: the tenant schema, the workflow and agent registries, the route tree, the deployed production topology, and the Preckon Engineering Bible. Every count is taken from the repository or the database, not estimated.</w:t>
      </w:r>
    </w:p>
    <w:sectPr w:rsidR="00FC693F" w:rsidRPr="0006063C" w:rsidSect="00034616">
      <w:pgSz w:w="12240" w:h="15840"/>
      <w:pgMar w:top="1152" w:right="1224" w:bottom="1152"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312" w:lineRule="auto"/>
    </w:pPr>
    <w:rPr>
      <w:rFonts w:ascii="Georgia" w:hAnsi="Georgia" w:eastAsia="Georgia"/>
      <w:color w:val="526068"/>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