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12" w:lineRule="auto"/>
      </w:pPr>
      <w:r>
        <w:rPr>
          <w:rFonts w:ascii="Consolas" w:hAnsi="Consolas"/>
          <w:b/>
          <w:color w:val="087E75"/>
          <w:sz w:val="16"/>
        </w:rPr>
        <w:t>PRECKON  ·  EXTERNAL INTEGRATIONS  ·  3 SEPTEMBER 2026</w:t>
      </w:r>
    </w:p>
    <w:p>
      <w:pPr>
        <w:spacing w:before="0" w:after="200" w:line="247" w:lineRule="auto"/>
      </w:pPr>
      <w:r>
        <w:rPr>
          <w:rFonts w:ascii="Georgia" w:hAnsi="Georgia"/>
          <w:b/>
          <w:color w:val="172126"/>
          <w:sz w:val="48"/>
        </w:rPr>
        <w:t>External integrations and secret handling</w:t>
      </w:r>
    </w:p>
    <w:p>
      <w:pPr>
        <w:spacing w:before="0" w:after="240" w:line="312" w:lineRule="auto"/>
      </w:pPr>
      <w:r>
        <w:rPr>
          <w:rFonts w:ascii="Georgia" w:hAnsi="Georgia"/>
          <w:b w:val="0"/>
          <w:color w:val="526068"/>
          <w:sz w:val="22"/>
        </w:rPr>
        <w:t>What each integration is for, which plane needs it, the variable that carries it, its shape, where it is set, and how it is rotated. Plus the honest status of each: two are live, one is mocked, two are seams with no implementation behind them, and two do not exist in the codebase at all.</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936"/>
      </w:tblGrid>
      <w:tr>
        <w:tc>
          <w:tcPr>
            <w:tcW w:type="dxa" w:w="9936"/>
            <w:shd w:val="clear" w:fill="FBEAE8"/>
          </w:tcPr>
          <w:p>
            <w:r/>
            <w:r>
              <w:rPr>
                <w:rFonts w:ascii="Calibri" w:hAnsi="Calibri"/>
                <w:b/>
                <w:color w:val="B42318"/>
                <w:sz w:val="14"/>
              </w:rPr>
              <w:t>THIS DOCUMENT CONTAINS NO SECRET VALUES, DELIBERATELY</w:t>
            </w:r>
          </w:p>
          <w:p>
            <w:pPr>
              <w:spacing w:before="60" w:line="302" w:lineRule="auto"/>
            </w:pPr>
            <w:r>
              <w:rPr>
                <w:rFonts w:ascii="Georgia" w:hAnsi="Georgia"/>
                <w:color w:val="172126"/>
                <w:sz w:val="18"/>
              </w:rPr>
              <w:t>It is committed to git, and one repository in that publish chain is public. A configuration reference is more useful without them anyway: what an operator needs is the variable name, the shape, the place it belongs and the rotation procedure. The value itself belongs in a secret store and in nothing that can be forwarded, printed or indexed.</w:t>
            </w:r>
          </w:p>
        </w:tc>
      </w:tr>
    </w:tbl>
    <w:p>
      <w:pPr>
        <w:spacing w:after="60"/>
      </w:pPr>
    </w:p>
    <w:p>
      <w:pPr>
        <w:spacing w:before="260" w:after="80" w:line="312" w:lineRule="auto"/>
      </w:pPr>
      <w:r>
        <w:rPr>
          <w:rFonts w:ascii="Calibri" w:hAnsi="Calibri"/>
          <w:b/>
          <w:color w:val="172126"/>
          <w:sz w:val="22"/>
        </w:rPr>
        <w:t>Status at a glance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1987"/>
        <w:gridCol w:w="1987"/>
        <w:gridCol w:w="1987"/>
        <w:gridCol w:w="1987"/>
        <w:gridCol w:w="1987"/>
      </w:tblGrid>
      <w:tr>
        <w:tc>
          <w:tcPr>
            <w:tcW w:type="dxa" w:w="1656"/>
            <w:shd w:val="clear" w:fill="F0F3F4"/>
          </w:tcPr>
          <w:p>
            <w:r/>
            <w:r>
              <w:rPr>
                <w:rFonts w:ascii="Calibri" w:hAnsi="Calibri"/>
                <w:b/>
                <w:color w:val="667279"/>
                <w:sz w:val="14"/>
              </w:rPr>
              <w:t>INTEGRATION</w:t>
            </w:r>
          </w:p>
        </w:tc>
        <w:tc>
          <w:tcPr>
            <w:tcW w:type="dxa" w:w="1080"/>
            <w:shd w:val="clear" w:fill="F0F3F4"/>
          </w:tcPr>
          <w:p>
            <w:r/>
            <w:r>
              <w:rPr>
                <w:rFonts w:ascii="Calibri" w:hAnsi="Calibri"/>
                <w:b/>
                <w:color w:val="667279"/>
                <w:sz w:val="14"/>
              </w:rPr>
              <w:t>STATUS</w:t>
            </w:r>
          </w:p>
        </w:tc>
        <w:tc>
          <w:tcPr>
            <w:tcW w:type="dxa" w:w="2232"/>
            <w:shd w:val="clear" w:fill="F0F3F4"/>
          </w:tcPr>
          <w:p>
            <w:r/>
            <w:r>
              <w:rPr>
                <w:rFonts w:ascii="Calibri" w:hAnsi="Calibri"/>
                <w:b/>
                <w:color w:val="667279"/>
                <w:sz w:val="14"/>
              </w:rPr>
              <w:t>VARIABLE</w:t>
            </w:r>
          </w:p>
        </w:tc>
        <w:tc>
          <w:tcPr>
            <w:tcW w:type="dxa" w:w="792"/>
            <w:shd w:val="clear" w:fill="F0F3F4"/>
          </w:tcPr>
          <w:p>
            <w:r/>
            <w:r>
              <w:rPr>
                <w:rFonts w:ascii="Calibri" w:hAnsi="Calibri"/>
                <w:b/>
                <w:color w:val="667279"/>
                <w:sz w:val="14"/>
              </w:rPr>
              <w:t>PLANE</w:t>
            </w:r>
          </w:p>
        </w:tc>
        <w:tc>
          <w:tcPr>
            <w:tcW w:type="dxa" w:w="3456"/>
            <w:shd w:val="clear" w:fill="F0F3F4"/>
          </w:tcPr>
          <w:p>
            <w:r/>
            <w:r>
              <w:rPr>
                <w:rFonts w:ascii="Calibri" w:hAnsi="Calibri"/>
                <w:b/>
                <w:color w:val="667279"/>
                <w:sz w:val="14"/>
              </w:rPr>
              <w:t>EVIDENCE</w:t>
            </w:r>
          </w:p>
        </w:tc>
      </w:tr>
      <w:tr>
        <w:tc>
          <w:tcPr>
            <w:tcW w:type="dxa" w:w="1656"/>
          </w:tcPr>
          <w:p>
            <w:pPr>
              <w:spacing w:line="283" w:lineRule="auto" w:after="20"/>
            </w:pPr>
            <w:r/>
            <w:r>
              <w:rPr>
                <w:rFonts w:ascii="Calibri" w:hAnsi="Calibri"/>
                <w:b/>
                <w:color w:val="172126"/>
                <w:sz w:val="16"/>
              </w:rPr>
              <w:t>Anthropic</w:t>
            </w:r>
          </w:p>
        </w:tc>
        <w:tc>
          <w:tcPr>
            <w:tcW w:type="dxa" w:w="1080"/>
            <w:shd w:val="clear" w:fill="E6F3F1"/>
          </w:tcPr>
          <w:p>
            <w:pPr>
              <w:spacing w:line="283" w:lineRule="auto" w:after="20"/>
            </w:pPr>
            <w:r/>
            <w:r>
              <w:rPr>
                <w:rFonts w:ascii="Calibri" w:hAnsi="Calibri"/>
                <w:b/>
                <w:color w:val="087E75"/>
                <w:sz w:val="16"/>
              </w:rPr>
              <w:t>Live</w:t>
            </w:r>
          </w:p>
        </w:tc>
        <w:tc>
          <w:tcPr>
            <w:tcW w:type="dxa" w:w="2232"/>
          </w:tcPr>
          <w:p>
            <w:pPr>
              <w:spacing w:line="283" w:lineRule="auto" w:after="20"/>
            </w:pPr>
            <w:r/>
            <w:r>
              <w:rPr>
                <w:rFonts w:ascii="Consolas" w:hAnsi="Consolas"/>
                <w:b w:val="0"/>
                <w:color w:val="526068"/>
                <w:sz w:val="16"/>
              </w:rPr>
              <w:t>ANTHROPIC_API_KEY</w:t>
            </w:r>
          </w:p>
        </w:tc>
        <w:tc>
          <w:tcPr>
            <w:tcW w:type="dxa" w:w="792"/>
          </w:tcPr>
          <w:p>
            <w:pPr>
              <w:spacing w:line="283" w:lineRule="auto" w:after="20"/>
            </w:pPr>
            <w:r/>
            <w:r>
              <w:rPr>
                <w:rFonts w:ascii="Calibri" w:hAnsi="Calibri"/>
                <w:b w:val="0"/>
                <w:color w:val="526068"/>
                <w:sz w:val="16"/>
              </w:rPr>
              <w:t>worker</w:t>
            </w:r>
          </w:p>
        </w:tc>
        <w:tc>
          <w:tcPr>
            <w:tcW w:type="dxa" w:w="3456"/>
          </w:tcPr>
          <w:p>
            <w:pPr>
              <w:spacing w:line="283" w:lineRule="auto" w:after="20"/>
            </w:pPr>
            <w:r/>
            <w:r>
              <w:rPr>
                <w:rFonts w:ascii="Calibri" w:hAnsi="Calibri"/>
                <w:b w:val="0"/>
                <w:color w:val="526068"/>
                <w:sz w:val="16"/>
              </w:rPr>
              <w:t>4 references; the only model provider wired</w:t>
            </w:r>
          </w:p>
        </w:tc>
      </w:tr>
      <w:tr>
        <w:tc>
          <w:tcPr>
            <w:tcW w:type="dxa" w:w="1656"/>
          </w:tcPr>
          <w:p>
            <w:pPr>
              <w:spacing w:line="283" w:lineRule="auto" w:after="20"/>
            </w:pPr>
            <w:r/>
            <w:r>
              <w:rPr>
                <w:rFonts w:ascii="Calibri" w:hAnsi="Calibri"/>
                <w:b/>
                <w:color w:val="172126"/>
                <w:sz w:val="16"/>
              </w:rPr>
              <w:t>Tenant bootstrap</w:t>
            </w:r>
          </w:p>
        </w:tc>
        <w:tc>
          <w:tcPr>
            <w:tcW w:type="dxa" w:w="1080"/>
            <w:shd w:val="clear" w:fill="E6F3F1"/>
          </w:tcPr>
          <w:p>
            <w:pPr>
              <w:spacing w:line="283" w:lineRule="auto" w:after="20"/>
            </w:pPr>
            <w:r/>
            <w:r>
              <w:rPr>
                <w:rFonts w:ascii="Calibri" w:hAnsi="Calibri"/>
                <w:b/>
                <w:color w:val="087E75"/>
                <w:sz w:val="16"/>
              </w:rPr>
              <w:t>Live</w:t>
            </w:r>
          </w:p>
        </w:tc>
        <w:tc>
          <w:tcPr>
            <w:tcW w:type="dxa" w:w="2232"/>
          </w:tcPr>
          <w:p>
            <w:pPr>
              <w:spacing w:line="283" w:lineRule="auto" w:after="20"/>
            </w:pPr>
            <w:r/>
            <w:r>
              <w:rPr>
                <w:rFonts w:ascii="Consolas" w:hAnsi="Consolas"/>
                <w:b w:val="0"/>
                <w:color w:val="526068"/>
                <w:sz w:val="16"/>
              </w:rPr>
              <w:t>INTERNAL_SERVICE_TOKEN</w:t>
            </w:r>
          </w:p>
        </w:tc>
        <w:tc>
          <w:tcPr>
            <w:tcW w:type="dxa" w:w="792"/>
          </w:tcPr>
          <w:p>
            <w:pPr>
              <w:spacing w:line="283" w:lineRule="auto" w:after="20"/>
            </w:pPr>
            <w:r/>
            <w:r>
              <w:rPr>
                <w:rFonts w:ascii="Calibri" w:hAnsi="Calibri"/>
                <w:b w:val="0"/>
                <w:color w:val="526068"/>
                <w:sz w:val="16"/>
              </w:rPr>
              <w:t>both</w:t>
            </w:r>
          </w:p>
        </w:tc>
        <w:tc>
          <w:tcPr>
            <w:tcW w:type="dxa" w:w="3456"/>
          </w:tcPr>
          <w:p>
            <w:pPr>
              <w:spacing w:line="283" w:lineRule="auto" w:after="20"/>
            </w:pPr>
            <w:r/>
            <w:r>
              <w:rPr>
                <w:rFonts w:ascii="Calibri" w:hAnsi="Calibri"/>
                <w:b w:val="0"/>
                <w:color w:val="526068"/>
                <w:sz w:val="16"/>
              </w:rPr>
              <w:t>11 tenant + 6 host references</w:t>
            </w:r>
          </w:p>
        </w:tc>
      </w:tr>
      <w:tr>
        <w:tc>
          <w:tcPr>
            <w:tcW w:type="dxa" w:w="1656"/>
          </w:tcPr>
          <w:p>
            <w:pPr>
              <w:spacing w:line="283" w:lineRule="auto" w:after="20"/>
            </w:pPr>
            <w:r/>
            <w:r>
              <w:rPr>
                <w:rFonts w:ascii="Calibri" w:hAnsi="Calibri"/>
                <w:b/>
                <w:color w:val="172126"/>
                <w:sz w:val="16"/>
              </w:rPr>
              <w:t>Email provider</w:t>
            </w:r>
          </w:p>
        </w:tc>
        <w:tc>
          <w:tcPr>
            <w:tcW w:type="dxa" w:w="1080"/>
            <w:shd w:val="clear" w:fill="FBF0E0"/>
          </w:tcPr>
          <w:p>
            <w:pPr>
              <w:spacing w:line="283" w:lineRule="auto" w:after="20"/>
            </w:pPr>
            <w:r/>
            <w:r>
              <w:rPr>
                <w:rFonts w:ascii="Calibri" w:hAnsi="Calibri"/>
                <w:b/>
                <w:color w:val="A56000"/>
                <w:sz w:val="16"/>
              </w:rPr>
              <w:t>Mocked</w:t>
            </w:r>
          </w:p>
        </w:tc>
        <w:tc>
          <w:tcPr>
            <w:tcW w:type="dxa" w:w="2232"/>
          </w:tcPr>
          <w:p>
            <w:pPr>
              <w:spacing w:line="283" w:lineRule="auto" w:after="20"/>
            </w:pPr>
            <w:r/>
            <w:r>
              <w:rPr>
                <w:rFonts w:ascii="Consolas" w:hAnsi="Consolas"/>
                <w:b w:val="0"/>
                <w:color w:val="526068"/>
                <w:sz w:val="16"/>
              </w:rPr>
              <w:t>EMAIL_API_KEY</w:t>
            </w:r>
          </w:p>
        </w:tc>
        <w:tc>
          <w:tcPr>
            <w:tcW w:type="dxa" w:w="792"/>
          </w:tcPr>
          <w:p>
            <w:pPr>
              <w:spacing w:line="283" w:lineRule="auto" w:after="20"/>
            </w:pPr>
            <w:r/>
            <w:r>
              <w:rPr>
                <w:rFonts w:ascii="Calibri" w:hAnsi="Calibri"/>
                <w:b w:val="0"/>
                <w:color w:val="526068"/>
                <w:sz w:val="16"/>
              </w:rPr>
              <w:t>host</w:t>
            </w:r>
          </w:p>
        </w:tc>
        <w:tc>
          <w:tcPr>
            <w:tcW w:type="dxa" w:w="3456"/>
          </w:tcPr>
          <w:p>
            <w:pPr>
              <w:spacing w:line="283" w:lineRule="auto" w:after="20"/>
            </w:pPr>
            <w:r/>
            <w:r>
              <w:rPr>
                <w:rFonts w:ascii="Calibri" w:hAnsi="Calibri"/>
                <w:b w:val="0"/>
                <w:color w:val="526068"/>
                <w:sz w:val="16"/>
              </w:rPr>
              <w:t>Falls back to logging the message; no send occurs</w:t>
            </w:r>
          </w:p>
        </w:tc>
      </w:tr>
      <w:tr>
        <w:tc>
          <w:tcPr>
            <w:tcW w:type="dxa" w:w="1656"/>
          </w:tcPr>
          <w:p>
            <w:pPr>
              <w:spacing w:line="283" w:lineRule="auto" w:after="20"/>
            </w:pPr>
            <w:r/>
            <w:r>
              <w:rPr>
                <w:rFonts w:ascii="Calibri" w:hAnsi="Calibri"/>
                <w:b/>
                <w:color w:val="172126"/>
                <w:sz w:val="16"/>
              </w:rPr>
              <w:t>Stripe</w:t>
            </w:r>
          </w:p>
        </w:tc>
        <w:tc>
          <w:tcPr>
            <w:tcW w:type="dxa" w:w="1080"/>
            <w:shd w:val="clear" w:fill="FBF0E0"/>
          </w:tcPr>
          <w:p>
            <w:pPr>
              <w:spacing w:line="283" w:lineRule="auto" w:after="20"/>
            </w:pPr>
            <w:r/>
            <w:r>
              <w:rPr>
                <w:rFonts w:ascii="Calibri" w:hAnsi="Calibri"/>
                <w:b/>
                <w:color w:val="A56000"/>
                <w:sz w:val="16"/>
              </w:rPr>
              <w:t>Seam only</w:t>
            </w:r>
          </w:p>
        </w:tc>
        <w:tc>
          <w:tcPr>
            <w:tcW w:type="dxa" w:w="2232"/>
          </w:tcPr>
          <w:p>
            <w:pPr>
              <w:spacing w:line="283" w:lineRule="auto" w:after="20"/>
            </w:pPr>
            <w:r/>
            <w:r>
              <w:rPr>
                <w:rFonts w:ascii="Consolas" w:hAnsi="Consolas"/>
                <w:b w:val="0"/>
                <w:color w:val="526068"/>
                <w:sz w:val="16"/>
              </w:rPr>
              <w:t>STRIPE_SECRET_KEY</w:t>
            </w:r>
          </w:p>
        </w:tc>
        <w:tc>
          <w:tcPr>
            <w:tcW w:type="dxa" w:w="792"/>
          </w:tcPr>
          <w:p>
            <w:pPr>
              <w:spacing w:line="283" w:lineRule="auto" w:after="20"/>
            </w:pPr>
            <w:r/>
            <w:r>
              <w:rPr>
                <w:rFonts w:ascii="Calibri" w:hAnsi="Calibri"/>
                <w:b w:val="0"/>
                <w:color w:val="526068"/>
                <w:sz w:val="16"/>
              </w:rPr>
              <w:t>host</w:t>
            </w:r>
          </w:p>
        </w:tc>
        <w:tc>
          <w:tcPr>
            <w:tcW w:type="dxa" w:w="3456"/>
          </w:tcPr>
          <w:p>
            <w:pPr>
              <w:spacing w:line="283" w:lineRule="auto" w:after="20"/>
            </w:pPr>
            <w:r/>
            <w:r>
              <w:rPr>
                <w:rFonts w:ascii="Calibri" w:hAnsi="Calibri"/>
                <w:b w:val="0"/>
                <w:color w:val="526068"/>
                <w:sz w:val="16"/>
              </w:rPr>
              <w:t>Mock returns; live mode throws 'not wired'</w:t>
            </w:r>
          </w:p>
        </w:tc>
      </w:tr>
      <w:tr>
        <w:tc>
          <w:tcPr>
            <w:tcW w:type="dxa" w:w="1656"/>
          </w:tcPr>
          <w:p>
            <w:pPr>
              <w:spacing w:line="283" w:lineRule="auto" w:after="20"/>
            </w:pPr>
            <w:r/>
            <w:r>
              <w:rPr>
                <w:rFonts w:ascii="Calibri" w:hAnsi="Calibri"/>
                <w:b/>
                <w:color w:val="172126"/>
                <w:sz w:val="16"/>
              </w:rPr>
              <w:t>Object storage</w:t>
            </w:r>
          </w:p>
        </w:tc>
        <w:tc>
          <w:tcPr>
            <w:tcW w:type="dxa" w:w="1080"/>
            <w:shd w:val="clear" w:fill="FBF0E0"/>
          </w:tcPr>
          <w:p>
            <w:pPr>
              <w:spacing w:line="283" w:lineRule="auto" w:after="20"/>
            </w:pPr>
            <w:r/>
            <w:r>
              <w:rPr>
                <w:rFonts w:ascii="Calibri" w:hAnsi="Calibri"/>
                <w:b/>
                <w:color w:val="A56000"/>
                <w:sz w:val="16"/>
              </w:rPr>
              <w:t>Seam only</w:t>
            </w:r>
          </w:p>
        </w:tc>
        <w:tc>
          <w:tcPr>
            <w:tcW w:type="dxa" w:w="2232"/>
          </w:tcPr>
          <w:p>
            <w:pPr>
              <w:spacing w:line="283" w:lineRule="auto" w:after="20"/>
            </w:pPr>
            <w:r/>
            <w:r>
              <w:rPr>
                <w:rFonts w:ascii="Consolas" w:hAnsi="Consolas"/>
                <w:b w:val="0"/>
                <w:color w:val="526068"/>
                <w:sz w:val="16"/>
              </w:rPr>
              <w:t>STORAGE_BUCKET</w:t>
            </w:r>
          </w:p>
        </w:tc>
        <w:tc>
          <w:tcPr>
            <w:tcW w:type="dxa" w:w="792"/>
          </w:tcPr>
          <w:p>
            <w:pPr>
              <w:spacing w:line="283" w:lineRule="auto" w:after="20"/>
            </w:pPr>
            <w:r/>
            <w:r>
              <w:rPr>
                <w:rFonts w:ascii="Calibri" w:hAnsi="Calibri"/>
                <w:b w:val="0"/>
                <w:color w:val="526068"/>
                <w:sz w:val="16"/>
              </w:rPr>
              <w:t>host</w:t>
            </w:r>
          </w:p>
        </w:tc>
        <w:tc>
          <w:tcPr>
            <w:tcW w:type="dxa" w:w="3456"/>
          </w:tcPr>
          <w:p>
            <w:pPr>
              <w:spacing w:line="283" w:lineRule="auto" w:after="20"/>
            </w:pPr>
            <w:r/>
            <w:r>
              <w:rPr>
                <w:rFonts w:ascii="Calibri" w:hAnsi="Calibri"/>
                <w:b w:val="0"/>
                <w:color w:val="526068"/>
                <w:sz w:val="16"/>
              </w:rPr>
              <w:t>Tenant writes to the local filesystem instead</w:t>
            </w:r>
          </w:p>
        </w:tc>
      </w:tr>
      <w:tr>
        <w:tc>
          <w:tcPr>
            <w:tcW w:type="dxa" w:w="1656"/>
          </w:tcPr>
          <w:p>
            <w:pPr>
              <w:spacing w:line="283" w:lineRule="auto" w:after="20"/>
            </w:pPr>
            <w:r/>
            <w:r>
              <w:rPr>
                <w:rFonts w:ascii="Calibri" w:hAnsi="Calibri"/>
                <w:b/>
                <w:color w:val="172126"/>
                <w:sz w:val="16"/>
              </w:rPr>
              <w:t>OpenAI</w:t>
            </w:r>
          </w:p>
        </w:tc>
        <w:tc>
          <w:tcPr>
            <w:tcW w:type="dxa" w:w="1080"/>
          </w:tcPr>
          <w:p>
            <w:pPr>
              <w:spacing w:line="283" w:lineRule="auto" w:after="20"/>
            </w:pPr>
            <w:r/>
            <w:r>
              <w:rPr>
                <w:rFonts w:ascii="Calibri" w:hAnsi="Calibri"/>
                <w:b/>
                <w:color w:val="526068"/>
                <w:sz w:val="16"/>
              </w:rPr>
              <w:t>Absent</w:t>
            </w:r>
          </w:p>
        </w:tc>
        <w:tc>
          <w:tcPr>
            <w:tcW w:type="dxa" w:w="2232"/>
          </w:tcPr>
          <w:p>
            <w:pPr>
              <w:spacing w:line="283" w:lineRule="auto" w:after="20"/>
            </w:pPr>
            <w:r/>
            <w:r>
              <w:rPr>
                <w:rFonts w:ascii="Consolas" w:hAnsi="Consolas"/>
                <w:b w:val="0"/>
                <w:color w:val="526068"/>
                <w:sz w:val="16"/>
              </w:rPr>
              <w:t>OPENAI_API_KEY</w:t>
            </w:r>
          </w:p>
        </w:tc>
        <w:tc>
          <w:tcPr>
            <w:tcW w:type="dxa" w:w="792"/>
          </w:tcPr>
          <w:p>
            <w:pPr>
              <w:spacing w:line="283" w:lineRule="auto" w:after="20"/>
            </w:pPr>
            <w:r/>
            <w:r>
              <w:rPr>
                <w:rFonts w:ascii="Calibri" w:hAnsi="Calibri"/>
                <w:b w:val="0"/>
                <w:color w:val="526068"/>
                <w:sz w:val="16"/>
              </w:rPr>
              <w:t>—</w:t>
            </w:r>
          </w:p>
        </w:tc>
        <w:tc>
          <w:tcPr>
            <w:tcW w:type="dxa" w:w="3456"/>
          </w:tcPr>
          <w:p>
            <w:pPr>
              <w:spacing w:line="283" w:lineRule="auto" w:after="20"/>
            </w:pPr>
            <w:r/>
            <w:r>
              <w:rPr>
                <w:rFonts w:ascii="Calibri" w:hAnsi="Calibri"/>
                <w:b w:val="0"/>
                <w:color w:val="526068"/>
                <w:sz w:val="16"/>
              </w:rPr>
              <w:t>Zero references in either plane</w:t>
            </w:r>
          </w:p>
        </w:tc>
      </w:tr>
      <w:tr>
        <w:tc>
          <w:tcPr>
            <w:tcW w:type="dxa" w:w="1656"/>
          </w:tcPr>
          <w:p>
            <w:pPr>
              <w:spacing w:line="283" w:lineRule="auto" w:after="20"/>
            </w:pPr>
            <w:r/>
            <w:r>
              <w:rPr>
                <w:rFonts w:ascii="Calibri" w:hAnsi="Calibri"/>
                <w:b/>
                <w:color w:val="172126"/>
                <w:sz w:val="16"/>
              </w:rPr>
              <w:t>Voyage AI</w:t>
            </w:r>
          </w:p>
        </w:tc>
        <w:tc>
          <w:tcPr>
            <w:tcW w:type="dxa" w:w="1080"/>
          </w:tcPr>
          <w:p>
            <w:pPr>
              <w:spacing w:line="283" w:lineRule="auto" w:after="20"/>
            </w:pPr>
            <w:r/>
            <w:r>
              <w:rPr>
                <w:rFonts w:ascii="Calibri" w:hAnsi="Calibri"/>
                <w:b/>
                <w:color w:val="526068"/>
                <w:sz w:val="16"/>
              </w:rPr>
              <w:t>Absent</w:t>
            </w:r>
          </w:p>
        </w:tc>
        <w:tc>
          <w:tcPr>
            <w:tcW w:type="dxa" w:w="2232"/>
          </w:tcPr>
          <w:p>
            <w:pPr>
              <w:spacing w:line="283" w:lineRule="auto" w:after="20"/>
            </w:pPr>
            <w:r/>
            <w:r>
              <w:rPr>
                <w:rFonts w:ascii="Consolas" w:hAnsi="Consolas"/>
                <w:b w:val="0"/>
                <w:color w:val="526068"/>
                <w:sz w:val="16"/>
              </w:rPr>
              <w:t>VOYAGE_API_KEY</w:t>
            </w:r>
          </w:p>
        </w:tc>
        <w:tc>
          <w:tcPr>
            <w:tcW w:type="dxa" w:w="792"/>
          </w:tcPr>
          <w:p>
            <w:pPr>
              <w:spacing w:line="283" w:lineRule="auto" w:after="20"/>
            </w:pPr>
            <w:r/>
            <w:r>
              <w:rPr>
                <w:rFonts w:ascii="Calibri" w:hAnsi="Calibri"/>
                <w:b w:val="0"/>
                <w:color w:val="526068"/>
                <w:sz w:val="16"/>
              </w:rPr>
              <w:t>—</w:t>
            </w:r>
          </w:p>
        </w:tc>
        <w:tc>
          <w:tcPr>
            <w:tcW w:type="dxa" w:w="3456"/>
          </w:tcPr>
          <w:p>
            <w:pPr>
              <w:spacing w:line="283" w:lineRule="auto" w:after="20"/>
            </w:pPr>
            <w:r/>
            <w:r>
              <w:rPr>
                <w:rFonts w:ascii="Calibri" w:hAnsi="Calibri"/>
                <w:b w:val="0"/>
                <w:color w:val="526068"/>
                <w:sz w:val="16"/>
              </w:rPr>
              <w:t>Zero references in either plane</w:t>
            </w:r>
          </w:p>
        </w:tc>
      </w:tr>
    </w:tbl>
    <w:p>
      <w:pPr>
        <w:spacing w:after="60"/>
      </w:pPr>
    </w:p>
    <w:p>
      <w:pPr>
        <w:spacing w:before="0" w:after="140" w:line="312" w:lineRule="auto"/>
      </w:pPr>
      <w:r>
        <w:rPr>
          <w:rFonts w:ascii="Georgia" w:hAnsi="Georgia"/>
          <w:b w:val="0"/>
          <w:color w:val="667279"/>
          <w:sz w:val="18"/>
        </w:rPr>
        <w:t>The two Absent rows matter for planning: retrieval today is lexical (MySQL full-text with an identifier boost), so no embedding provider is called and none is needed until a semantic layer is added. Nothing is half-built there — it is simply not built.</w:t>
      </w:r>
    </w:p>
    <w:p>
      <w:r>
        <w:br w:type="page"/>
      </w:r>
    </w:p>
    <w:p>
      <w:pPr>
        <w:spacing w:before="0" w:after="160" w:line="254" w:lineRule="auto"/>
      </w:pPr>
      <w:r>
        <w:rPr>
          <w:rFonts w:ascii="Georgia" w:hAnsi="Georgia"/>
          <w:b/>
          <w:color w:val="172126"/>
          <w:sz w:val="36"/>
        </w:rPr>
        <w:t>Findings</w:t>
      </w:r>
    </w:p>
    <w:p>
      <w:pPr>
        <w:spacing w:before="0" w:after="140" w:line="312" w:lineRule="auto"/>
      </w:pPr>
      <w:r>
        <w:rPr>
          <w:rFonts w:ascii="Georgia" w:hAnsi="Georgia"/>
          <w:b w:val="0"/>
          <w:color w:val="526068"/>
          <w:sz w:val="19"/>
        </w:rPr>
        <w:t>Two problems were found while compiling this document. Both are in the billing seam.</w:t>
      </w:r>
    </w:p>
    <w:p>
      <w:pPr>
        <w:spacing w:before="260" w:after="80" w:line="312" w:lineRule="auto"/>
      </w:pPr>
      <w:r>
        <w:rPr>
          <w:rFonts w:ascii="Calibri" w:hAnsi="Calibri"/>
          <w:b/>
          <w:color w:val="172126"/>
          <w:sz w:val="22"/>
        </w:rPr>
        <w:t>1.  The Stripe webhook accepts unsigned events — HIGH</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src/lib/integrations.ts</w:t>
              <w:br/>
              <w:t xml:space="preserve">  verifyWebhook(_payload, _sig): boolean {</w:t>
              <w:br/>
              <w:t xml:space="preserve">    // TODO(prod): stripe.webhooks.constructEvent with STRIPE_WEBHOOK_SECRET.</w:t>
              <w:br/>
              <w:t xml:space="preserve">    return enabled(process.env.STRIPE_WEBHOOK_SECRET) ? true : true;</w:t>
              <w:br/>
              <w:t xml:space="preserve">  }</w:t>
            </w:r>
          </w:p>
        </w:tc>
      </w:tr>
    </w:tbl>
    <w:p>
      <w:pPr>
        <w:spacing w:after="40"/>
      </w:pPr>
    </w:p>
    <w:p>
      <w:pPr>
        <w:spacing w:before="0" w:after="140" w:line="312" w:lineRule="auto"/>
      </w:pPr>
      <w:r>
        <w:rPr>
          <w:rFonts w:ascii="Georgia" w:hAnsi="Georgia"/>
          <w:b w:val="0"/>
          <w:color w:val="526068"/>
          <w:sz w:val="19"/>
        </w:rPr>
        <w:t>Both branches return true, so signature verification always passes. The route that calls it is documented as having no host authentication — correctly, because a real Stripe webhook cannot carry a session — and it acts on what it receives: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POST /api/host/v1/webhooks/stripe        no host auth, by design</w:t>
              <w:br/>
              <w:t xml:space="preserve">  customer.subscription.created | updated | deleted</w:t>
              <w:br/>
              <w:t xml:space="preserve">  invoice.paid</w:t>
            </w:r>
          </w:p>
        </w:tc>
      </w:tr>
    </w:tbl>
    <w:p>
      <w:pPr>
        <w:spacing w:after="40"/>
      </w:pPr>
    </w:p>
    <w:p>
      <w:pPr>
        <w:spacing w:before="0" w:after="140" w:line="312" w:lineRule="auto"/>
      </w:pPr>
      <w:r>
        <w:rPr>
          <w:rFonts w:ascii="Georgia" w:hAnsi="Georgia"/>
          <w:b w:val="0"/>
          <w:color w:val="526068"/>
          <w:sz w:val="19"/>
        </w:rPr>
        <w:t>Verified reachable on the live host with a payload that could not create anything: it answers 400 on a malformed body, which means authentication does not block it and the request reached the handler. A well-formed forged event would therefore be processed — subscription state written, invoices marked paid — by anyone who can reach the endpoint.</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9936"/>
      </w:tblGrid>
      <w:tr>
        <w:tc>
          <w:tcPr>
            <w:tcW w:type="dxa" w:w="9936"/>
            <w:shd w:val="clear" w:fill="FBEAE8"/>
          </w:tcPr>
          <w:p>
            <w:r/>
            <w:r>
              <w:rPr>
                <w:rFonts w:ascii="Calibri" w:hAnsi="Calibri"/>
                <w:b/>
                <w:color w:val="B42318"/>
                <w:sz w:val="14"/>
              </w:rPr>
              <w:t>THE FAIL-OPEN IS THE DEFECT, NOT THE TODO</w:t>
            </w:r>
          </w:p>
          <w:p>
            <w:pPr>
              <w:spacing w:before="60" w:line="302" w:lineRule="auto"/>
            </w:pPr>
            <w:r>
              <w:rPr>
                <w:rFonts w:ascii="Georgia" w:hAnsi="Georgia"/>
                <w:color w:val="172126"/>
                <w:sz w:val="18"/>
              </w:rPr>
              <w:t>Leaving the Stripe SDK call unwired is a reasonable staging decision. Writing the placeholder as `? true : true` makes the control fail OPEN, so the endpoint is permissive in exactly the configuration where someone would assume it is protected — with the webhook secret set. Until the SDK call exists, this should return false when no secret is configured, and the route should be unreachable from the internet.</w:t>
            </w:r>
          </w:p>
        </w:tc>
      </w:tr>
    </w:tbl>
    <w:p>
      <w:pPr>
        <w:spacing w:after="60"/>
      </w:pPr>
    </w:p>
    <w:p>
      <w:pPr>
        <w:spacing w:before="260" w:after="80" w:line="312" w:lineRule="auto"/>
      </w:pPr>
      <w:r>
        <w:rPr>
          <w:rFonts w:ascii="Calibri" w:hAnsi="Calibri"/>
          <w:b/>
          <w:color w:val="172126"/>
          <w:sz w:val="22"/>
        </w:rPr>
        <w:t>2.  Setting the Stripe key breaks billing rather than enabling it — MEDIUM</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9936"/>
      </w:tblGrid>
      <w:tr>
        <w:tc>
          <w:tcPr>
            <w:tcW w:type="dxa" w:w="9936"/>
            <w:shd w:val="clear" w:fill="F5F7F8"/>
          </w:tcPr>
          <w:p>
            <w:pPr>
              <w:spacing w:line="293" w:lineRule="auto"/>
            </w:pPr>
            <w:r/>
            <w:r>
              <w:rPr>
                <w:rFonts w:ascii="Consolas" w:hAnsi="Consolas"/>
                <w:color w:val="172126"/>
                <w:sz w:val="17"/>
              </w:rPr>
              <w:t>if (!this.live) { …mock… }</w:t>
              <w:br/>
              <w:t>throw new Error("Stripe live mode not wired — add the SDK call here");</w:t>
            </w:r>
          </w:p>
        </w:tc>
      </w:tr>
    </w:tbl>
    <w:p>
      <w:pPr>
        <w:spacing w:after="40"/>
      </w:pPr>
    </w:p>
    <w:p>
      <w:pPr>
        <w:spacing w:before="0" w:after="140" w:line="312" w:lineRule="auto"/>
      </w:pPr>
      <w:r>
        <w:rPr>
          <w:rFonts w:ascii="Georgia" w:hAnsi="Georgia"/>
          <w:b w:val="0"/>
          <w:color w:val="526068"/>
          <w:sz w:val="19"/>
        </w:rPr>
        <w:t>Every Stripe method mocks when no key is present and throws when one is. So adding STRIPE_SECRET_KEY to an environment turns working mock billing into hard failures on customer creation, subscription changes and refunds. This is honest — the error says exactly what is missing — but it means the key must not be set until the SDK calls land, and that ordering is not written down anywhere except in the throw.</w:t>
      </w:r>
    </w:p>
    <w:p>
      <w:r>
        <w:br w:type="page"/>
      </w:r>
    </w:p>
    <w:p>
      <w:pPr>
        <w:spacing w:before="0" w:after="160" w:line="254" w:lineRule="auto"/>
      </w:pPr>
      <w:r>
        <w:rPr>
          <w:rFonts w:ascii="Georgia" w:hAnsi="Georgia"/>
          <w:b/>
          <w:color w:val="172126"/>
          <w:sz w:val="36"/>
        </w:rPr>
        <w:t>Integration reference</w:t>
      </w:r>
    </w:p>
    <w:p>
      <w:pPr>
        <w:spacing w:before="0" w:after="140" w:line="312" w:lineRule="auto"/>
      </w:pPr>
      <w:r>
        <w:rPr>
          <w:rFonts w:ascii="Georgia" w:hAnsi="Georgia"/>
          <w:b w:val="0"/>
          <w:color w:val="526068"/>
          <w:sz w:val="19"/>
        </w:rPr>
        <w:t>One entry each. The Example column shows the SHAPE a value takes — prefix and length — which is what you need to recognise a malformed value. None is a real credential.</w:t>
      </w:r>
    </w:p>
    <w:p>
      <w:pPr>
        <w:spacing w:before="200" w:after="60" w:line="312" w:lineRule="auto"/>
      </w:pPr>
      <w:r>
        <w:rPr>
          <w:rFonts w:ascii="Calibri" w:hAnsi="Calibri"/>
          <w:b/>
          <w:color w:val="087E75"/>
          <w:sz w:val="19"/>
        </w:rPr>
        <w:t>Anthropic — the model provider</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968"/>
        <w:gridCol w:w="4968"/>
      </w:tblGrid>
      <w:tr>
        <w:tc>
          <w:tcPr>
            <w:tcW w:type="dxa" w:w="1656"/>
            <w:shd w:val="clear" w:fill="F0F3F4"/>
          </w:tcPr>
          <w:p>
            <w:r/>
            <w:r>
              <w:rPr>
                <w:rFonts w:ascii="Calibri" w:hAnsi="Calibri"/>
                <w:b/>
                <w:color w:val="667279"/>
                <w:sz w:val="14"/>
              </w:rPr>
              <w:t>FIELD</w:t>
            </w:r>
          </w:p>
        </w:tc>
        <w:tc>
          <w:tcPr>
            <w:tcW w:type="dxa" w:w="7704"/>
            <w:shd w:val="clear" w:fill="F0F3F4"/>
          </w:tcPr>
          <w:p>
            <w:r/>
            <w:r>
              <w:rPr>
                <w:rFonts w:ascii="Calibri" w:hAnsi="Calibri"/>
                <w:b/>
                <w:color w:val="667279"/>
                <w:sz w:val="14"/>
              </w:rPr>
              <w:t>VALUE</w:t>
            </w:r>
          </w:p>
        </w:tc>
      </w:tr>
      <w:tr>
        <w:tc>
          <w:tcPr>
            <w:tcW w:type="dxa" w:w="1656"/>
          </w:tcPr>
          <w:p>
            <w:pPr>
              <w:spacing w:line="283" w:lineRule="auto" w:after="20"/>
            </w:pPr>
            <w:r/>
            <w:r>
              <w:rPr>
                <w:rFonts w:ascii="Calibri" w:hAnsi="Calibri"/>
                <w:b/>
                <w:color w:val="172126"/>
                <w:sz w:val="16"/>
              </w:rPr>
              <w:t>Variable</w:t>
            </w:r>
          </w:p>
        </w:tc>
        <w:tc>
          <w:tcPr>
            <w:tcW w:type="dxa" w:w="7704"/>
          </w:tcPr>
          <w:p>
            <w:pPr>
              <w:spacing w:line="283" w:lineRule="auto" w:after="20"/>
            </w:pPr>
            <w:r/>
            <w:r>
              <w:rPr>
                <w:rFonts w:ascii="Consolas" w:hAnsi="Consolas"/>
                <w:b w:val="0"/>
                <w:color w:val="526068"/>
                <w:sz w:val="16"/>
              </w:rPr>
              <w:t>ANTHROPIC_API_KEY</w:t>
            </w:r>
          </w:p>
        </w:tc>
      </w:tr>
      <w:tr>
        <w:tc>
          <w:tcPr>
            <w:tcW w:type="dxa" w:w="1656"/>
          </w:tcPr>
          <w:p>
            <w:pPr>
              <w:spacing w:line="283" w:lineRule="auto" w:after="20"/>
            </w:pPr>
            <w:r/>
            <w:r>
              <w:rPr>
                <w:rFonts w:ascii="Calibri" w:hAnsi="Calibri"/>
                <w:b/>
                <w:color w:val="172126"/>
                <w:sz w:val="16"/>
              </w:rPr>
              <w:t>Plane</w:t>
            </w:r>
          </w:p>
        </w:tc>
        <w:tc>
          <w:tcPr>
            <w:tcW w:type="dxa" w:w="7704"/>
          </w:tcPr>
          <w:p>
            <w:pPr>
              <w:spacing w:line="283" w:lineRule="auto" w:after="20"/>
            </w:pPr>
            <w:r/>
            <w:r>
              <w:rPr>
                <w:rFonts w:ascii="Consolas" w:hAnsi="Consolas"/>
                <w:b w:val="0"/>
                <w:color w:val="526068"/>
                <w:sz w:val="16"/>
              </w:rPr>
              <w:t>AI worker only. Core never sees it — that is the trust boundary.</w:t>
            </w:r>
          </w:p>
        </w:tc>
      </w:tr>
      <w:tr>
        <w:tc>
          <w:tcPr>
            <w:tcW w:type="dxa" w:w="1656"/>
          </w:tcPr>
          <w:p>
            <w:pPr>
              <w:spacing w:line="283" w:lineRule="auto" w:after="20"/>
            </w:pPr>
            <w:r/>
            <w:r>
              <w:rPr>
                <w:rFonts w:ascii="Calibri" w:hAnsi="Calibri"/>
                <w:b/>
                <w:color w:val="172126"/>
                <w:sz w:val="16"/>
              </w:rPr>
              <w:t>Shape</w:t>
            </w:r>
          </w:p>
        </w:tc>
        <w:tc>
          <w:tcPr>
            <w:tcW w:type="dxa" w:w="7704"/>
          </w:tcPr>
          <w:p>
            <w:pPr>
              <w:spacing w:line="283" w:lineRule="auto" w:after="20"/>
            </w:pPr>
            <w:r/>
            <w:r>
              <w:rPr>
                <w:rFonts w:ascii="Consolas" w:hAnsi="Consolas"/>
                <w:b w:val="0"/>
                <w:color w:val="526068"/>
                <w:sz w:val="16"/>
              </w:rPr>
              <w:t>sk-ant-api03-&lt;≈95 url-safe chars&gt;</w:t>
            </w:r>
          </w:p>
        </w:tc>
      </w:tr>
      <w:tr>
        <w:tc>
          <w:tcPr>
            <w:tcW w:type="dxa" w:w="1656"/>
          </w:tcPr>
          <w:p>
            <w:pPr>
              <w:spacing w:line="283" w:lineRule="auto" w:after="20"/>
            </w:pPr>
            <w:r/>
            <w:r>
              <w:rPr>
                <w:rFonts w:ascii="Calibri" w:hAnsi="Calibri"/>
                <w:b/>
                <w:color w:val="172126"/>
                <w:sz w:val="16"/>
              </w:rPr>
              <w:t>Example</w:t>
            </w:r>
          </w:p>
        </w:tc>
        <w:tc>
          <w:tcPr>
            <w:tcW w:type="dxa" w:w="7704"/>
          </w:tcPr>
          <w:p>
            <w:pPr>
              <w:spacing w:line="283" w:lineRule="auto" w:after="20"/>
            </w:pPr>
            <w:r/>
            <w:r>
              <w:rPr>
                <w:rFonts w:ascii="Consolas" w:hAnsi="Consolas"/>
                <w:b w:val="0"/>
                <w:color w:val="526068"/>
                <w:sz w:val="16"/>
              </w:rPr>
              <w:t>sk-ant-api03-XXXXXXXX…XXXX   (placeholder, not a key)</w:t>
            </w:r>
          </w:p>
        </w:tc>
      </w:tr>
      <w:tr>
        <w:tc>
          <w:tcPr>
            <w:tcW w:type="dxa" w:w="1656"/>
          </w:tcPr>
          <w:p>
            <w:pPr>
              <w:spacing w:line="283" w:lineRule="auto" w:after="20"/>
            </w:pPr>
            <w:r/>
            <w:r>
              <w:rPr>
                <w:rFonts w:ascii="Calibri" w:hAnsi="Calibri"/>
                <w:b/>
                <w:color w:val="172126"/>
                <w:sz w:val="16"/>
              </w:rPr>
              <w:t>Set in</w:t>
            </w:r>
          </w:p>
        </w:tc>
        <w:tc>
          <w:tcPr>
            <w:tcW w:type="dxa" w:w="7704"/>
          </w:tcPr>
          <w:p>
            <w:pPr>
              <w:spacing w:line="283" w:lineRule="auto" w:after="20"/>
            </w:pPr>
            <w:r/>
            <w:r>
              <w:rPr>
                <w:rFonts w:ascii="Consolas" w:hAnsi="Consolas"/>
                <w:b w:val="0"/>
                <w:color w:val="526068"/>
                <w:sz w:val="16"/>
              </w:rPr>
              <w:t>preckon-tenant/.env — gitignored, and the autosync guard blocks a staged sk-ant- string</w:t>
            </w:r>
          </w:p>
        </w:tc>
      </w:tr>
      <w:tr>
        <w:tc>
          <w:tcPr>
            <w:tcW w:type="dxa" w:w="1656"/>
          </w:tcPr>
          <w:p>
            <w:pPr>
              <w:spacing w:line="283" w:lineRule="auto" w:after="20"/>
            </w:pPr>
            <w:r/>
            <w:r>
              <w:rPr>
                <w:rFonts w:ascii="Calibri" w:hAnsi="Calibri"/>
                <w:b/>
                <w:color w:val="172126"/>
                <w:sz w:val="16"/>
              </w:rPr>
              <w:t>Absent behaviour</w:t>
            </w:r>
          </w:p>
        </w:tc>
        <w:tc>
          <w:tcPr>
            <w:tcW w:type="dxa" w:w="7704"/>
          </w:tcPr>
          <w:p>
            <w:pPr>
              <w:spacing w:line="283" w:lineRule="auto" w:after="20"/>
            </w:pPr>
            <w:r/>
            <w:r>
              <w:rPr>
                <w:rFonts w:ascii="Consolas" w:hAnsi="Consolas"/>
                <w:b w:val="0"/>
                <w:color w:val="526068"/>
                <w:sz w:val="16"/>
              </w:rPr>
              <w:t>Worker logs 'Claude: not configured'. In production it REFUSES rather than returning stub output, so invented quantities never look like a real bill.</w:t>
            </w:r>
          </w:p>
        </w:tc>
      </w:tr>
      <w:tr>
        <w:tc>
          <w:tcPr>
            <w:tcW w:type="dxa" w:w="1656"/>
          </w:tcPr>
          <w:p>
            <w:pPr>
              <w:spacing w:line="283" w:lineRule="auto" w:after="20"/>
            </w:pPr>
            <w:r/>
            <w:r>
              <w:rPr>
                <w:rFonts w:ascii="Calibri" w:hAnsi="Calibri"/>
                <w:b/>
                <w:color w:val="172126"/>
                <w:sz w:val="16"/>
              </w:rPr>
              <w:t>Rotation</w:t>
            </w:r>
          </w:p>
        </w:tc>
        <w:tc>
          <w:tcPr>
            <w:tcW w:type="dxa" w:w="7704"/>
          </w:tcPr>
          <w:p>
            <w:pPr>
              <w:spacing w:line="283" w:lineRule="auto" w:after="20"/>
            </w:pPr>
            <w:r/>
            <w:r>
              <w:rPr>
                <w:rFonts w:ascii="Consolas" w:hAnsi="Consolas"/>
                <w:b w:val="0"/>
                <w:color w:val="526068"/>
                <w:sz w:val="16"/>
              </w:rPr>
              <w:t>Create the new key in the Anthropic console, update .env, `docker compose up -d --build worker`, then revoke the old key. No downtime: existing in-flight calls complete.</w:t>
            </w:r>
          </w:p>
        </w:tc>
      </w:tr>
      <w:tr>
        <w:tc>
          <w:tcPr>
            <w:tcW w:type="dxa" w:w="1656"/>
          </w:tcPr>
          <w:p>
            <w:pPr>
              <w:spacing w:line="283" w:lineRule="auto" w:after="20"/>
            </w:pPr>
            <w:r/>
            <w:r>
              <w:rPr>
                <w:rFonts w:ascii="Calibri" w:hAnsi="Calibri"/>
                <w:b/>
                <w:color w:val="172126"/>
                <w:sz w:val="16"/>
              </w:rPr>
              <w:t>Also used by</w:t>
            </w:r>
          </w:p>
        </w:tc>
        <w:tc>
          <w:tcPr>
            <w:tcW w:type="dxa" w:w="7704"/>
          </w:tcPr>
          <w:p>
            <w:pPr>
              <w:spacing w:line="283" w:lineRule="auto" w:after="20"/>
            </w:pPr>
            <w:r/>
            <w:r>
              <w:rPr>
                <w:rFonts w:ascii="Consolas" w:hAnsi="Consolas"/>
                <w:b w:val="0"/>
                <w:color w:val="526068"/>
                <w:sz w:val="16"/>
              </w:rPr>
              <w:t>ANTHROPIC_MODEL_ROUTING / _STANDARD / _DEEP override the tier-to-model mapping without a deploy.</w:t>
            </w:r>
          </w:p>
        </w:tc>
      </w:tr>
    </w:tbl>
    <w:p>
      <w:pPr>
        <w:spacing w:after="60"/>
      </w:pPr>
    </w:p>
    <w:p>
      <w:pPr>
        <w:spacing w:before="200" w:after="60" w:line="312" w:lineRule="auto"/>
      </w:pPr>
      <w:r>
        <w:rPr>
          <w:rFonts w:ascii="Calibri" w:hAnsi="Calibri"/>
          <w:b/>
          <w:color w:val="087E75"/>
          <w:sz w:val="19"/>
        </w:rPr>
        <w:t>Internal service token — the tenant-plane bootstrap</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968"/>
        <w:gridCol w:w="4968"/>
      </w:tblGrid>
      <w:tr>
        <w:tc>
          <w:tcPr>
            <w:tcW w:type="dxa" w:w="1656"/>
            <w:shd w:val="clear" w:fill="F0F3F4"/>
          </w:tcPr>
          <w:p>
            <w:r/>
            <w:r>
              <w:rPr>
                <w:rFonts w:ascii="Calibri" w:hAnsi="Calibri"/>
                <w:b/>
                <w:color w:val="667279"/>
                <w:sz w:val="14"/>
              </w:rPr>
              <w:t>FIELD</w:t>
            </w:r>
          </w:p>
        </w:tc>
        <w:tc>
          <w:tcPr>
            <w:tcW w:type="dxa" w:w="7704"/>
            <w:shd w:val="clear" w:fill="F0F3F4"/>
          </w:tcPr>
          <w:p>
            <w:r/>
            <w:r>
              <w:rPr>
                <w:rFonts w:ascii="Calibri" w:hAnsi="Calibri"/>
                <w:b/>
                <w:color w:val="667279"/>
                <w:sz w:val="14"/>
              </w:rPr>
              <w:t>VALUE</w:t>
            </w:r>
          </w:p>
        </w:tc>
      </w:tr>
      <w:tr>
        <w:tc>
          <w:tcPr>
            <w:tcW w:type="dxa" w:w="1656"/>
          </w:tcPr>
          <w:p>
            <w:pPr>
              <w:spacing w:line="283" w:lineRule="auto" w:after="20"/>
            </w:pPr>
            <w:r/>
            <w:r>
              <w:rPr>
                <w:rFonts w:ascii="Calibri" w:hAnsi="Calibri"/>
                <w:b/>
                <w:color w:val="172126"/>
                <w:sz w:val="16"/>
              </w:rPr>
              <w:t>Variable</w:t>
            </w:r>
          </w:p>
        </w:tc>
        <w:tc>
          <w:tcPr>
            <w:tcW w:type="dxa" w:w="7704"/>
          </w:tcPr>
          <w:p>
            <w:pPr>
              <w:spacing w:line="283" w:lineRule="auto" w:after="20"/>
            </w:pPr>
            <w:r/>
            <w:r>
              <w:rPr>
                <w:rFonts w:ascii="Consolas" w:hAnsi="Consolas"/>
                <w:b w:val="0"/>
                <w:color w:val="526068"/>
                <w:sz w:val="16"/>
              </w:rPr>
              <w:t>INTERNAL_SERVICE_TOKEN</w:t>
            </w:r>
          </w:p>
        </w:tc>
      </w:tr>
      <w:tr>
        <w:tc>
          <w:tcPr>
            <w:tcW w:type="dxa" w:w="1656"/>
          </w:tcPr>
          <w:p>
            <w:pPr>
              <w:spacing w:line="283" w:lineRule="auto" w:after="20"/>
            </w:pPr>
            <w:r/>
            <w:r>
              <w:rPr>
                <w:rFonts w:ascii="Calibri" w:hAnsi="Calibri"/>
                <w:b/>
                <w:color w:val="172126"/>
                <w:sz w:val="16"/>
              </w:rPr>
              <w:t>Plane</w:t>
            </w:r>
          </w:p>
        </w:tc>
        <w:tc>
          <w:tcPr>
            <w:tcW w:type="dxa" w:w="7704"/>
          </w:tcPr>
          <w:p>
            <w:pPr>
              <w:spacing w:line="283" w:lineRule="auto" w:after="20"/>
            </w:pPr>
            <w:r/>
            <w:r>
              <w:rPr>
                <w:rFonts w:ascii="Consolas" w:hAnsi="Consolas"/>
                <w:b w:val="0"/>
                <w:color w:val="526068"/>
                <w:sz w:val="16"/>
              </w:rPr>
              <w:t>Both. Shared secret between host and tenant, and between the seed and the app.</w:t>
            </w:r>
          </w:p>
        </w:tc>
      </w:tr>
      <w:tr>
        <w:tc>
          <w:tcPr>
            <w:tcW w:type="dxa" w:w="1656"/>
          </w:tcPr>
          <w:p>
            <w:pPr>
              <w:spacing w:line="283" w:lineRule="auto" w:after="20"/>
            </w:pPr>
            <w:r/>
            <w:r>
              <w:rPr>
                <w:rFonts w:ascii="Calibri" w:hAnsi="Calibri"/>
                <w:b/>
                <w:color w:val="172126"/>
                <w:sz w:val="16"/>
              </w:rPr>
              <w:t>Shape</w:t>
            </w:r>
          </w:p>
        </w:tc>
        <w:tc>
          <w:tcPr>
            <w:tcW w:type="dxa" w:w="7704"/>
          </w:tcPr>
          <w:p>
            <w:pPr>
              <w:spacing w:line="283" w:lineRule="auto" w:after="20"/>
            </w:pPr>
            <w:r/>
            <w:r>
              <w:rPr>
                <w:rFonts w:ascii="Consolas" w:hAnsi="Consolas"/>
                <w:b w:val="0"/>
                <w:color w:val="526068"/>
                <w:sz w:val="16"/>
              </w:rPr>
              <w:t>48 hex characters</w:t>
            </w:r>
          </w:p>
        </w:tc>
      </w:tr>
      <w:tr>
        <w:tc>
          <w:tcPr>
            <w:tcW w:type="dxa" w:w="1656"/>
          </w:tcPr>
          <w:p>
            <w:pPr>
              <w:spacing w:line="283" w:lineRule="auto" w:after="20"/>
            </w:pPr>
            <w:r/>
            <w:r>
              <w:rPr>
                <w:rFonts w:ascii="Calibri" w:hAnsi="Calibri"/>
                <w:b/>
                <w:color w:val="172126"/>
                <w:sz w:val="16"/>
              </w:rPr>
              <w:t>Example</w:t>
            </w:r>
          </w:p>
        </w:tc>
        <w:tc>
          <w:tcPr>
            <w:tcW w:type="dxa" w:w="7704"/>
          </w:tcPr>
          <w:p>
            <w:pPr>
              <w:spacing w:line="283" w:lineRule="auto" w:after="20"/>
            </w:pPr>
            <w:r/>
            <w:r>
              <w:rPr>
                <w:rFonts w:ascii="Consolas" w:hAnsi="Consolas"/>
                <w:b w:val="0"/>
                <w:color w:val="526068"/>
                <w:sz w:val="16"/>
              </w:rPr>
              <w:t>&lt;48 hex characters — openssl rand -hex 24&gt;</w:t>
            </w:r>
          </w:p>
        </w:tc>
      </w:tr>
      <w:tr>
        <w:tc>
          <w:tcPr>
            <w:tcW w:type="dxa" w:w="1656"/>
          </w:tcPr>
          <w:p>
            <w:pPr>
              <w:spacing w:line="283" w:lineRule="auto" w:after="20"/>
            </w:pPr>
            <w:r/>
            <w:r>
              <w:rPr>
                <w:rFonts w:ascii="Calibri" w:hAnsi="Calibri"/>
                <w:b/>
                <w:color w:val="172126"/>
                <w:sz w:val="16"/>
              </w:rPr>
              <w:t>Carries</w:t>
            </w:r>
          </w:p>
        </w:tc>
        <w:tc>
          <w:tcPr>
            <w:tcW w:type="dxa" w:w="7704"/>
          </w:tcPr>
          <w:p>
            <w:pPr>
              <w:spacing w:line="283" w:lineRule="auto" w:after="20"/>
            </w:pPr>
            <w:r/>
            <w:r>
              <w:rPr>
                <w:rFonts w:ascii="Consolas" w:hAnsi="Consolas"/>
                <w:b w:val="0"/>
                <w:color w:val="526068"/>
                <w:sz w:val="16"/>
              </w:rPr>
              <w:t>The /internal surface: job result callback, tenant bootstrap, entitlement read. Also gates host registration — the seed presents it to create the first Owner.</w:t>
            </w:r>
          </w:p>
        </w:tc>
      </w:tr>
      <w:tr>
        <w:tc>
          <w:tcPr>
            <w:tcW w:type="dxa" w:w="1656"/>
          </w:tcPr>
          <w:p>
            <w:pPr>
              <w:spacing w:line="283" w:lineRule="auto" w:after="20"/>
            </w:pPr>
            <w:r/>
            <w:r>
              <w:rPr>
                <w:rFonts w:ascii="Calibri" w:hAnsi="Calibri"/>
                <w:b/>
                <w:color w:val="172126"/>
                <w:sz w:val="16"/>
              </w:rPr>
              <w:t>Absent behaviour</w:t>
            </w:r>
          </w:p>
        </w:tc>
        <w:tc>
          <w:tcPr>
            <w:tcW w:type="dxa" w:w="7704"/>
          </w:tcPr>
          <w:p>
            <w:pPr>
              <w:spacing w:line="283" w:lineRule="auto" w:after="20"/>
            </w:pPr>
            <w:r/>
            <w:r>
              <w:rPr>
                <w:rFonts w:ascii="Consolas" w:hAnsi="Consolas"/>
                <w:b w:val="0"/>
                <w:color w:val="526068"/>
                <w:sz w:val="16"/>
              </w:rPr>
              <w:t>Fails CLOSED. Host registration is refused outright when no token is configured, because no token means no way to authorise one.</w:t>
            </w:r>
          </w:p>
        </w:tc>
      </w:tr>
      <w:tr>
        <w:tc>
          <w:tcPr>
            <w:tcW w:type="dxa" w:w="1656"/>
          </w:tcPr>
          <w:p>
            <w:pPr>
              <w:spacing w:line="283" w:lineRule="auto" w:after="20"/>
            </w:pPr>
            <w:r/>
            <w:r>
              <w:rPr>
                <w:rFonts w:ascii="Calibri" w:hAnsi="Calibri"/>
                <w:b/>
                <w:color w:val="172126"/>
                <w:sz w:val="16"/>
              </w:rPr>
              <w:t>Rotation</w:t>
            </w:r>
          </w:p>
        </w:tc>
        <w:tc>
          <w:tcPr>
            <w:tcW w:type="dxa" w:w="7704"/>
          </w:tcPr>
          <w:p>
            <w:pPr>
              <w:spacing w:line="283" w:lineRule="auto" w:after="20"/>
            </w:pPr>
            <w:r/>
            <w:r>
              <w:rPr>
                <w:rFonts w:ascii="Consolas" w:hAnsi="Consolas"/>
                <w:b w:val="0"/>
                <w:color w:val="526068"/>
                <w:sz w:val="16"/>
              </w:rPr>
              <w:t>Update both planes together and restart both. A mismatch breaks job callbacks and tenant provisioning, so this is not a rolling change.</w:t>
            </w:r>
          </w:p>
        </w:tc>
      </w:tr>
      <w:tr>
        <w:tc>
          <w:tcPr>
            <w:tcW w:type="dxa" w:w="1656"/>
          </w:tcPr>
          <w:p>
            <w:pPr>
              <w:spacing w:line="283" w:lineRule="auto" w:after="20"/>
            </w:pPr>
            <w:r/>
            <w:r>
              <w:rPr>
                <w:rFonts w:ascii="Calibri" w:hAnsi="Calibri"/>
                <w:b/>
                <w:color w:val="172126"/>
                <w:sz w:val="16"/>
              </w:rPr>
              <w:t>Status</w:t>
            </w:r>
          </w:p>
        </w:tc>
        <w:tc>
          <w:tcPr>
            <w:tcW w:type="dxa" w:w="7704"/>
          </w:tcPr>
          <w:p>
            <w:pPr>
              <w:spacing w:line="283" w:lineRule="auto" w:after="20"/>
            </w:pPr>
            <w:r/>
            <w:r>
              <w:rPr>
                <w:rFonts w:ascii="Consolas" w:hAnsi="Consolas"/>
                <w:b w:val="0"/>
                <w:color w:val="526068"/>
                <w:sz w:val="16"/>
              </w:rPr>
              <w:t>Currently in plaintext in docker-compose.override.yml on the server, and printed into a working session. Treat as due for rotation.</w:t>
            </w:r>
          </w:p>
        </w:tc>
      </w:tr>
    </w:tbl>
    <w:p>
      <w:pPr>
        <w:spacing w:after="60"/>
      </w:pPr>
    </w:p>
    <w:p>
      <w:pPr>
        <w:spacing w:before="200" w:after="60" w:line="312" w:lineRule="auto"/>
      </w:pPr>
      <w:r>
        <w:rPr>
          <w:rFonts w:ascii="Calibri" w:hAnsi="Calibri"/>
          <w:b/>
          <w:color w:val="087E75"/>
          <w:sz w:val="19"/>
        </w:rPr>
        <w:t>Email provider — invitations and password reset</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968"/>
        <w:gridCol w:w="4968"/>
      </w:tblGrid>
      <w:tr>
        <w:tc>
          <w:tcPr>
            <w:tcW w:type="dxa" w:w="1656"/>
            <w:shd w:val="clear" w:fill="F0F3F4"/>
          </w:tcPr>
          <w:p>
            <w:r/>
            <w:r>
              <w:rPr>
                <w:rFonts w:ascii="Calibri" w:hAnsi="Calibri"/>
                <w:b/>
                <w:color w:val="667279"/>
                <w:sz w:val="14"/>
              </w:rPr>
              <w:t>FIELD</w:t>
            </w:r>
          </w:p>
        </w:tc>
        <w:tc>
          <w:tcPr>
            <w:tcW w:type="dxa" w:w="7704"/>
            <w:shd w:val="clear" w:fill="F0F3F4"/>
          </w:tcPr>
          <w:p>
            <w:r/>
            <w:r>
              <w:rPr>
                <w:rFonts w:ascii="Calibri" w:hAnsi="Calibri"/>
                <w:b/>
                <w:color w:val="667279"/>
                <w:sz w:val="14"/>
              </w:rPr>
              <w:t>VALUE</w:t>
            </w:r>
          </w:p>
        </w:tc>
      </w:tr>
      <w:tr>
        <w:tc>
          <w:tcPr>
            <w:tcW w:type="dxa" w:w="1656"/>
          </w:tcPr>
          <w:p>
            <w:pPr>
              <w:spacing w:line="283" w:lineRule="auto" w:after="20"/>
            </w:pPr>
            <w:r/>
            <w:r>
              <w:rPr>
                <w:rFonts w:ascii="Calibri" w:hAnsi="Calibri"/>
                <w:b/>
                <w:color w:val="172126"/>
                <w:sz w:val="16"/>
              </w:rPr>
              <w:t>Variables</w:t>
            </w:r>
          </w:p>
        </w:tc>
        <w:tc>
          <w:tcPr>
            <w:tcW w:type="dxa" w:w="7704"/>
          </w:tcPr>
          <w:p>
            <w:pPr>
              <w:spacing w:line="283" w:lineRule="auto" w:after="20"/>
            </w:pPr>
            <w:r/>
            <w:r>
              <w:rPr>
                <w:rFonts w:ascii="Consolas" w:hAnsi="Consolas"/>
                <w:b w:val="0"/>
                <w:color w:val="526068"/>
                <w:sz w:val="16"/>
              </w:rPr>
              <w:t>EMAIL_API_KEY · EMAIL_PROVIDER · EMAIL_FROM_ADDRESS</w:t>
            </w:r>
          </w:p>
        </w:tc>
      </w:tr>
      <w:tr>
        <w:tc>
          <w:tcPr>
            <w:tcW w:type="dxa" w:w="1656"/>
          </w:tcPr>
          <w:p>
            <w:pPr>
              <w:spacing w:line="283" w:lineRule="auto" w:after="20"/>
            </w:pPr>
            <w:r/>
            <w:r>
              <w:rPr>
                <w:rFonts w:ascii="Calibri" w:hAnsi="Calibri"/>
                <w:b/>
                <w:color w:val="172126"/>
                <w:sz w:val="16"/>
              </w:rPr>
              <w:t>Plane</w:t>
            </w:r>
          </w:p>
        </w:tc>
        <w:tc>
          <w:tcPr>
            <w:tcW w:type="dxa" w:w="7704"/>
          </w:tcPr>
          <w:p>
            <w:pPr>
              <w:spacing w:line="283" w:lineRule="auto" w:after="20"/>
            </w:pPr>
            <w:r/>
            <w:r>
              <w:rPr>
                <w:rFonts w:ascii="Consolas" w:hAnsi="Consolas"/>
                <w:b w:val="0"/>
                <w:color w:val="526068"/>
                <w:sz w:val="16"/>
              </w:rPr>
              <w:t>Host (staff invites, reset) and tenant (user invites, reset).</w:t>
            </w:r>
          </w:p>
        </w:tc>
      </w:tr>
      <w:tr>
        <w:tc>
          <w:tcPr>
            <w:tcW w:type="dxa" w:w="1656"/>
          </w:tcPr>
          <w:p>
            <w:pPr>
              <w:spacing w:line="283" w:lineRule="auto" w:after="20"/>
            </w:pPr>
            <w:r/>
            <w:r>
              <w:rPr>
                <w:rFonts w:ascii="Calibri" w:hAnsi="Calibri"/>
                <w:b/>
                <w:color w:val="172126"/>
                <w:sz w:val="16"/>
              </w:rPr>
              <w:t>Shape</w:t>
            </w:r>
          </w:p>
        </w:tc>
        <w:tc>
          <w:tcPr>
            <w:tcW w:type="dxa" w:w="7704"/>
          </w:tcPr>
          <w:p>
            <w:pPr>
              <w:spacing w:line="283" w:lineRule="auto" w:after="20"/>
            </w:pPr>
            <w:r/>
            <w:r>
              <w:rPr>
                <w:rFonts w:ascii="Consolas" w:hAnsi="Consolas"/>
                <w:b w:val="0"/>
                <w:color w:val="526068"/>
                <w:sz w:val="16"/>
              </w:rPr>
              <w:t>Provider-dependent. Postmark server tokens are a UUID; SendGrid is SG.&lt;id&gt;.&lt;secret&gt;.</w:t>
            </w:r>
          </w:p>
        </w:tc>
      </w:tr>
      <w:tr>
        <w:tc>
          <w:tcPr>
            <w:tcW w:type="dxa" w:w="1656"/>
          </w:tcPr>
          <w:p>
            <w:pPr>
              <w:spacing w:line="283" w:lineRule="auto" w:after="20"/>
            </w:pPr>
            <w:r/>
            <w:r>
              <w:rPr>
                <w:rFonts w:ascii="Calibri" w:hAnsi="Calibri"/>
                <w:b/>
                <w:color w:val="172126"/>
                <w:sz w:val="16"/>
              </w:rPr>
              <w:t>Example</w:t>
            </w:r>
          </w:p>
        </w:tc>
        <w:tc>
          <w:tcPr>
            <w:tcW w:type="dxa" w:w="7704"/>
          </w:tcPr>
          <w:p>
            <w:pPr>
              <w:spacing w:line="283" w:lineRule="auto" w:after="20"/>
            </w:pPr>
            <w:r/>
            <w:r>
              <w:rPr>
                <w:rFonts w:ascii="Consolas" w:hAnsi="Consolas"/>
                <w:b w:val="0"/>
                <w:color w:val="526068"/>
                <w:sz w:val="16"/>
              </w:rPr>
              <w:t>EMAIL_PROVIDER=postmark · EMAIL_API_KEY=00000000-0000-0000-0000-000000000000</w:t>
            </w:r>
          </w:p>
        </w:tc>
      </w:tr>
      <w:tr>
        <w:tc>
          <w:tcPr>
            <w:tcW w:type="dxa" w:w="1656"/>
          </w:tcPr>
          <w:p>
            <w:pPr>
              <w:spacing w:line="283" w:lineRule="auto" w:after="20"/>
            </w:pPr>
            <w:r/>
            <w:r>
              <w:rPr>
                <w:rFonts w:ascii="Calibri" w:hAnsi="Calibri"/>
                <w:b/>
                <w:color w:val="172126"/>
                <w:sz w:val="16"/>
              </w:rPr>
              <w:t>Absent behaviour</w:t>
            </w:r>
          </w:p>
        </w:tc>
        <w:tc>
          <w:tcPr>
            <w:tcW w:type="dxa" w:w="7704"/>
          </w:tcPr>
          <w:p>
            <w:pPr>
              <w:spacing w:line="283" w:lineRule="auto" w:after="20"/>
            </w:pPr>
            <w:r/>
            <w:r>
              <w:rPr>
                <w:rFonts w:ascii="Consolas" w:hAnsi="Consolas"/>
                <w:b w:val="0"/>
                <w:color w:val="526068"/>
                <w:sz w:val="16"/>
              </w:rPr>
              <w:t>Mirror-only: the message is logged, not sent. In non-production the password-reset URL is written to the server console so a developer can complete the flow.</w:t>
            </w:r>
          </w:p>
        </w:tc>
      </w:tr>
      <w:tr>
        <w:tc>
          <w:tcPr>
            <w:tcW w:type="dxa" w:w="1656"/>
          </w:tcPr>
          <w:p>
            <w:pPr>
              <w:spacing w:line="283" w:lineRule="auto" w:after="20"/>
            </w:pPr>
            <w:r/>
            <w:r>
              <w:rPr>
                <w:rFonts w:ascii="Calibri" w:hAnsi="Calibri"/>
                <w:b/>
                <w:color w:val="172126"/>
                <w:sz w:val="16"/>
              </w:rPr>
              <w:t>Consequence today</w:t>
            </w:r>
          </w:p>
        </w:tc>
        <w:tc>
          <w:tcPr>
            <w:tcW w:type="dxa" w:w="7704"/>
          </w:tcPr>
          <w:p>
            <w:pPr>
              <w:spacing w:line="283" w:lineRule="auto" w:after="20"/>
            </w:pPr>
            <w:r/>
            <w:r>
              <w:rPr>
                <w:rFonts w:ascii="Consolas" w:hAnsi="Consolas"/>
                <w:b w:val="0"/>
                <w:color w:val="526068"/>
                <w:sz w:val="16"/>
              </w:rPr>
              <w:t>No invitation or reset email reaches a real inbox. Any onboarding that depends on email does not work in production.</w:t>
            </w:r>
          </w:p>
        </w:tc>
      </w:tr>
      <w:tr>
        <w:tc>
          <w:tcPr>
            <w:tcW w:type="dxa" w:w="1656"/>
          </w:tcPr>
          <w:p>
            <w:pPr>
              <w:spacing w:line="283" w:lineRule="auto" w:after="20"/>
            </w:pPr>
            <w:r/>
            <w:r>
              <w:rPr>
                <w:rFonts w:ascii="Calibri" w:hAnsi="Calibri"/>
                <w:b/>
                <w:color w:val="172126"/>
                <w:sz w:val="16"/>
              </w:rPr>
              <w:t>Rotation</w:t>
            </w:r>
          </w:p>
        </w:tc>
        <w:tc>
          <w:tcPr>
            <w:tcW w:type="dxa" w:w="7704"/>
          </w:tcPr>
          <w:p>
            <w:pPr>
              <w:spacing w:line="283" w:lineRule="auto" w:after="20"/>
            </w:pPr>
            <w:r/>
            <w:r>
              <w:rPr>
                <w:rFonts w:ascii="Consolas" w:hAnsi="Consolas"/>
                <w:b w:val="0"/>
                <w:color w:val="526068"/>
                <w:sz w:val="16"/>
              </w:rPr>
              <w:t>Provider console, update .env, restart the plane. Safe to rotate independently per plane.</w:t>
            </w:r>
          </w:p>
        </w:tc>
      </w:tr>
    </w:tbl>
    <w:p>
      <w:pPr>
        <w:spacing w:after="60"/>
      </w:pPr>
    </w:p>
    <w:p>
      <w:pPr>
        <w:spacing w:before="200" w:after="60" w:line="312" w:lineRule="auto"/>
      </w:pPr>
      <w:r>
        <w:rPr>
          <w:rFonts w:ascii="Calibri" w:hAnsi="Calibri"/>
          <w:b/>
          <w:color w:val="087E75"/>
          <w:sz w:val="19"/>
        </w:rPr>
        <w:t>Stripe — billing</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968"/>
        <w:gridCol w:w="4968"/>
      </w:tblGrid>
      <w:tr>
        <w:tc>
          <w:tcPr>
            <w:tcW w:type="dxa" w:w="1656"/>
            <w:shd w:val="clear" w:fill="F0F3F4"/>
          </w:tcPr>
          <w:p>
            <w:r/>
            <w:r>
              <w:rPr>
                <w:rFonts w:ascii="Calibri" w:hAnsi="Calibri"/>
                <w:b/>
                <w:color w:val="667279"/>
                <w:sz w:val="14"/>
              </w:rPr>
              <w:t>FIELD</w:t>
            </w:r>
          </w:p>
        </w:tc>
        <w:tc>
          <w:tcPr>
            <w:tcW w:type="dxa" w:w="7704"/>
            <w:shd w:val="clear" w:fill="F0F3F4"/>
          </w:tcPr>
          <w:p>
            <w:r/>
            <w:r>
              <w:rPr>
                <w:rFonts w:ascii="Calibri" w:hAnsi="Calibri"/>
                <w:b/>
                <w:color w:val="667279"/>
                <w:sz w:val="14"/>
              </w:rPr>
              <w:t>VALUE</w:t>
            </w:r>
          </w:p>
        </w:tc>
      </w:tr>
      <w:tr>
        <w:tc>
          <w:tcPr>
            <w:tcW w:type="dxa" w:w="1656"/>
          </w:tcPr>
          <w:p>
            <w:pPr>
              <w:spacing w:line="283" w:lineRule="auto" w:after="20"/>
            </w:pPr>
            <w:r/>
            <w:r>
              <w:rPr>
                <w:rFonts w:ascii="Calibri" w:hAnsi="Calibri"/>
                <w:b/>
                <w:color w:val="172126"/>
                <w:sz w:val="16"/>
              </w:rPr>
              <w:t>Variables</w:t>
            </w:r>
          </w:p>
        </w:tc>
        <w:tc>
          <w:tcPr>
            <w:tcW w:type="dxa" w:w="7704"/>
          </w:tcPr>
          <w:p>
            <w:pPr>
              <w:spacing w:line="283" w:lineRule="auto" w:after="20"/>
            </w:pPr>
            <w:r/>
            <w:r>
              <w:rPr>
                <w:rFonts w:ascii="Consolas" w:hAnsi="Consolas"/>
                <w:b w:val="0"/>
                <w:color w:val="526068"/>
                <w:sz w:val="16"/>
              </w:rPr>
              <w:t>STRIPE_SECRET_KEY · STRIPE_WEBHOOK_SECRET</w:t>
            </w:r>
          </w:p>
        </w:tc>
      </w:tr>
      <w:tr>
        <w:tc>
          <w:tcPr>
            <w:tcW w:type="dxa" w:w="1656"/>
          </w:tcPr>
          <w:p>
            <w:pPr>
              <w:spacing w:line="283" w:lineRule="auto" w:after="20"/>
            </w:pPr>
            <w:r/>
            <w:r>
              <w:rPr>
                <w:rFonts w:ascii="Calibri" w:hAnsi="Calibri"/>
                <w:b/>
                <w:color w:val="172126"/>
                <w:sz w:val="16"/>
              </w:rPr>
              <w:t>Plane</w:t>
            </w:r>
          </w:p>
        </w:tc>
        <w:tc>
          <w:tcPr>
            <w:tcW w:type="dxa" w:w="7704"/>
          </w:tcPr>
          <w:p>
            <w:pPr>
              <w:spacing w:line="283" w:lineRule="auto" w:after="20"/>
            </w:pPr>
            <w:r/>
            <w:r>
              <w:rPr>
                <w:rFonts w:ascii="Consolas" w:hAnsi="Consolas"/>
                <w:b w:val="0"/>
                <w:color w:val="526068"/>
                <w:sz w:val="16"/>
              </w:rPr>
              <w:t>Host only. The tenant plane has no billing code.</w:t>
            </w:r>
          </w:p>
        </w:tc>
      </w:tr>
      <w:tr>
        <w:tc>
          <w:tcPr>
            <w:tcW w:type="dxa" w:w="1656"/>
          </w:tcPr>
          <w:p>
            <w:pPr>
              <w:spacing w:line="283" w:lineRule="auto" w:after="20"/>
            </w:pPr>
            <w:r/>
            <w:r>
              <w:rPr>
                <w:rFonts w:ascii="Calibri" w:hAnsi="Calibri"/>
                <w:b/>
                <w:color w:val="172126"/>
                <w:sz w:val="16"/>
              </w:rPr>
              <w:t>Shape</w:t>
            </w:r>
          </w:p>
        </w:tc>
        <w:tc>
          <w:tcPr>
            <w:tcW w:type="dxa" w:w="7704"/>
          </w:tcPr>
          <w:p>
            <w:pPr>
              <w:spacing w:line="283" w:lineRule="auto" w:after="20"/>
            </w:pPr>
            <w:r/>
            <w:r>
              <w:rPr>
                <w:rFonts w:ascii="Consolas" w:hAnsi="Consolas"/>
                <w:b w:val="0"/>
                <w:color w:val="526068"/>
                <w:sz w:val="16"/>
              </w:rPr>
              <w:t>sk_live_&lt;24+&gt; or sk_test_&lt;24+&gt; · whsec_&lt;32+&gt;</w:t>
            </w:r>
          </w:p>
        </w:tc>
      </w:tr>
      <w:tr>
        <w:tc>
          <w:tcPr>
            <w:tcW w:type="dxa" w:w="1656"/>
          </w:tcPr>
          <w:p>
            <w:pPr>
              <w:spacing w:line="283" w:lineRule="auto" w:after="20"/>
            </w:pPr>
            <w:r/>
            <w:r>
              <w:rPr>
                <w:rFonts w:ascii="Calibri" w:hAnsi="Calibri"/>
                <w:b/>
                <w:color w:val="172126"/>
                <w:sz w:val="16"/>
              </w:rPr>
              <w:t>Example</w:t>
            </w:r>
          </w:p>
        </w:tc>
        <w:tc>
          <w:tcPr>
            <w:tcW w:type="dxa" w:w="7704"/>
          </w:tcPr>
          <w:p>
            <w:pPr>
              <w:spacing w:line="283" w:lineRule="auto" w:after="20"/>
            </w:pPr>
            <w:r/>
            <w:r>
              <w:rPr>
                <w:rFonts w:ascii="Consolas" w:hAnsi="Consolas"/>
                <w:b w:val="0"/>
                <w:color w:val="526068"/>
                <w:sz w:val="16"/>
              </w:rPr>
              <w:t>sk_test_XXXXXXXXXXXXXXXXXXXXXXXX · whsec_XXXXXXXXXXXXXXXXXXXXXXXXXXXXXXXX</w:t>
            </w:r>
          </w:p>
        </w:tc>
      </w:tr>
      <w:tr>
        <w:tc>
          <w:tcPr>
            <w:tcW w:type="dxa" w:w="1656"/>
          </w:tcPr>
          <w:p>
            <w:pPr>
              <w:spacing w:line="283" w:lineRule="auto" w:after="20"/>
            </w:pPr>
            <w:r/>
            <w:r>
              <w:rPr>
                <w:rFonts w:ascii="Calibri" w:hAnsi="Calibri"/>
                <w:b/>
                <w:color w:val="172126"/>
                <w:sz w:val="16"/>
              </w:rPr>
              <w:t>Absent behaviour</w:t>
            </w:r>
          </w:p>
        </w:tc>
        <w:tc>
          <w:tcPr>
            <w:tcW w:type="dxa" w:w="7704"/>
          </w:tcPr>
          <w:p>
            <w:pPr>
              <w:spacing w:line="283" w:lineRule="auto" w:after="20"/>
            </w:pPr>
            <w:r/>
            <w:r>
              <w:rPr>
                <w:rFonts w:ascii="Consolas" w:hAnsi="Consolas"/>
                <w:b w:val="0"/>
                <w:color w:val="526068"/>
                <w:sz w:val="16"/>
              </w:rPr>
              <w:t>Mock: returns cus_mock_… / sub_mock_… ids and logs. The control plane is fully exercisable.</w:t>
            </w:r>
          </w:p>
        </w:tc>
      </w:tr>
      <w:tr>
        <w:tc>
          <w:tcPr>
            <w:tcW w:type="dxa" w:w="1656"/>
          </w:tcPr>
          <w:p>
            <w:pPr>
              <w:spacing w:line="283" w:lineRule="auto" w:after="20"/>
            </w:pPr>
            <w:r/>
            <w:r>
              <w:rPr>
                <w:rFonts w:ascii="Calibri" w:hAnsi="Calibri"/>
                <w:b/>
                <w:color w:val="172126"/>
                <w:sz w:val="16"/>
              </w:rPr>
              <w:t>DO NOT SET YET</w:t>
            </w:r>
          </w:p>
        </w:tc>
        <w:tc>
          <w:tcPr>
            <w:tcW w:type="dxa" w:w="7704"/>
          </w:tcPr>
          <w:p>
            <w:pPr>
              <w:spacing w:line="283" w:lineRule="auto" w:after="20"/>
            </w:pPr>
            <w:r/>
            <w:r>
              <w:rPr>
                <w:rFonts w:ascii="Consolas" w:hAnsi="Consolas"/>
                <w:b w:val="0"/>
                <w:color w:val="526068"/>
                <w:sz w:val="16"/>
              </w:rPr>
              <w:t>With a key present every method throws 'live mode not wired'. See Finding 2.</w:t>
            </w:r>
          </w:p>
        </w:tc>
      </w:tr>
      <w:tr>
        <w:tc>
          <w:tcPr>
            <w:tcW w:type="dxa" w:w="1656"/>
          </w:tcPr>
          <w:p>
            <w:pPr>
              <w:spacing w:line="283" w:lineRule="auto" w:after="20"/>
            </w:pPr>
            <w:r/>
            <w:r>
              <w:rPr>
                <w:rFonts w:ascii="Calibri" w:hAnsi="Calibri"/>
                <w:b/>
                <w:color w:val="172126"/>
                <w:sz w:val="16"/>
              </w:rPr>
              <w:t>Rotation</w:t>
            </w:r>
          </w:p>
        </w:tc>
        <w:tc>
          <w:tcPr>
            <w:tcW w:type="dxa" w:w="7704"/>
          </w:tcPr>
          <w:p>
            <w:pPr>
              <w:spacing w:line="283" w:lineRule="auto" w:after="20"/>
            </w:pPr>
            <w:r/>
            <w:r>
              <w:rPr>
                <w:rFonts w:ascii="Consolas" w:hAnsi="Consolas"/>
                <w:b w:val="0"/>
                <w:color w:val="526068"/>
                <w:sz w:val="16"/>
              </w:rPr>
              <w:t>Roll in the Stripe dashboard; the webhook secret is per-endpoint and must be updated with it.</w:t>
            </w:r>
          </w:p>
        </w:tc>
      </w:tr>
    </w:tbl>
    <w:p>
      <w:pPr>
        <w:spacing w:after="60"/>
      </w:pPr>
    </w:p>
    <w:p>
      <w:pPr>
        <w:spacing w:before="200" w:after="60" w:line="312" w:lineRule="auto"/>
      </w:pPr>
      <w:r>
        <w:rPr>
          <w:rFonts w:ascii="Calibri" w:hAnsi="Calibri"/>
          <w:b/>
          <w:color w:val="087E75"/>
          <w:sz w:val="19"/>
        </w:rPr>
        <w:t>Object storage — uploaded drawings and documents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968"/>
        <w:gridCol w:w="4968"/>
      </w:tblGrid>
      <w:tr>
        <w:tc>
          <w:tcPr>
            <w:tcW w:type="dxa" w:w="1656"/>
            <w:shd w:val="clear" w:fill="F0F3F4"/>
          </w:tcPr>
          <w:p>
            <w:r/>
            <w:r>
              <w:rPr>
                <w:rFonts w:ascii="Calibri" w:hAnsi="Calibri"/>
                <w:b/>
                <w:color w:val="667279"/>
                <w:sz w:val="14"/>
              </w:rPr>
              <w:t>FIELD</w:t>
            </w:r>
          </w:p>
        </w:tc>
        <w:tc>
          <w:tcPr>
            <w:tcW w:type="dxa" w:w="7704"/>
            <w:shd w:val="clear" w:fill="F0F3F4"/>
          </w:tcPr>
          <w:p>
            <w:r/>
            <w:r>
              <w:rPr>
                <w:rFonts w:ascii="Calibri" w:hAnsi="Calibri"/>
                <w:b/>
                <w:color w:val="667279"/>
                <w:sz w:val="14"/>
              </w:rPr>
              <w:t>VALUE</w:t>
            </w:r>
          </w:p>
        </w:tc>
      </w:tr>
      <w:tr>
        <w:tc>
          <w:tcPr>
            <w:tcW w:type="dxa" w:w="1656"/>
          </w:tcPr>
          <w:p>
            <w:pPr>
              <w:spacing w:line="283" w:lineRule="auto" w:after="20"/>
            </w:pPr>
            <w:r/>
            <w:r>
              <w:rPr>
                <w:rFonts w:ascii="Calibri" w:hAnsi="Calibri"/>
                <w:b/>
                <w:color w:val="172126"/>
                <w:sz w:val="16"/>
              </w:rPr>
              <w:t>Variables</w:t>
            </w:r>
          </w:p>
        </w:tc>
        <w:tc>
          <w:tcPr>
            <w:tcW w:type="dxa" w:w="7704"/>
          </w:tcPr>
          <w:p>
            <w:pPr>
              <w:spacing w:line="283" w:lineRule="auto" w:after="20"/>
            </w:pPr>
            <w:r/>
            <w:r>
              <w:rPr>
                <w:rFonts w:ascii="Consolas" w:hAnsi="Consolas"/>
                <w:b w:val="0"/>
                <w:color w:val="526068"/>
                <w:sz w:val="16"/>
              </w:rPr>
              <w:t>STORAGE_BUCKET (host) · FILE_STORAGE_DIR (tenant)</w:t>
            </w:r>
          </w:p>
        </w:tc>
      </w:tr>
      <w:tr>
        <w:tc>
          <w:tcPr>
            <w:tcW w:type="dxa" w:w="1656"/>
          </w:tcPr>
          <w:p>
            <w:pPr>
              <w:spacing w:line="283" w:lineRule="auto" w:after="20"/>
            </w:pPr>
            <w:r/>
            <w:r>
              <w:rPr>
                <w:rFonts w:ascii="Calibri" w:hAnsi="Calibri"/>
                <w:b/>
                <w:color w:val="172126"/>
                <w:sz w:val="16"/>
              </w:rPr>
              <w:t>Reality</w:t>
            </w:r>
          </w:p>
        </w:tc>
        <w:tc>
          <w:tcPr>
            <w:tcW w:type="dxa" w:w="7704"/>
          </w:tcPr>
          <w:p>
            <w:pPr>
              <w:spacing w:line="283" w:lineRule="auto" w:after="20"/>
            </w:pPr>
            <w:r/>
            <w:r>
              <w:rPr>
                <w:rFonts w:ascii="Consolas" w:hAnsi="Consolas"/>
                <w:b w:val="0"/>
                <w:color w:val="526068"/>
                <w:sz w:val="16"/>
              </w:rPr>
              <w:t>The tenant writes uploads to the LOCAL FILESYSTEM at FILE_STORAGE_DIR, mounted as a Docker volume. There is no S3-compatible client wired; STORAGE_ACCESS_KEY and STORAGE_SECRET_KEY appear in no source file.</w:t>
            </w:r>
          </w:p>
        </w:tc>
      </w:tr>
      <w:tr>
        <w:tc>
          <w:tcPr>
            <w:tcW w:type="dxa" w:w="1656"/>
          </w:tcPr>
          <w:p>
            <w:pPr>
              <w:spacing w:line="283" w:lineRule="auto" w:after="20"/>
            </w:pPr>
            <w:r/>
            <w:r>
              <w:rPr>
                <w:rFonts w:ascii="Calibri" w:hAnsi="Calibri"/>
                <w:b/>
                <w:color w:val="172126"/>
                <w:sz w:val="16"/>
              </w:rPr>
              <w:t>Example</w:t>
            </w:r>
          </w:p>
        </w:tc>
        <w:tc>
          <w:tcPr>
            <w:tcW w:type="dxa" w:w="7704"/>
          </w:tcPr>
          <w:p>
            <w:pPr>
              <w:spacing w:line="283" w:lineRule="auto" w:after="20"/>
            </w:pPr>
            <w:r/>
            <w:r>
              <w:rPr>
                <w:rFonts w:ascii="Consolas" w:hAnsi="Consolas"/>
                <w:b w:val="0"/>
                <w:color w:val="526068"/>
                <w:sz w:val="16"/>
              </w:rPr>
              <w:t>FILE_STORAGE_DIR=/app/.uploads · STORAGE_BUCKET=preckon-documents</w:t>
            </w:r>
          </w:p>
        </w:tc>
      </w:tr>
      <w:tr>
        <w:tc>
          <w:tcPr>
            <w:tcW w:type="dxa" w:w="1656"/>
          </w:tcPr>
          <w:p>
            <w:pPr>
              <w:spacing w:line="283" w:lineRule="auto" w:after="20"/>
            </w:pPr>
            <w:r/>
            <w:r>
              <w:rPr>
                <w:rFonts w:ascii="Calibri" w:hAnsi="Calibri"/>
                <w:b/>
                <w:color w:val="172126"/>
                <w:sz w:val="16"/>
              </w:rPr>
              <w:t>Consequence</w:t>
            </w:r>
          </w:p>
        </w:tc>
        <w:tc>
          <w:tcPr>
            <w:tcW w:type="dxa" w:w="7704"/>
          </w:tcPr>
          <w:p>
            <w:pPr>
              <w:spacing w:line="283" w:lineRule="auto" w:after="20"/>
            </w:pPr>
            <w:r/>
            <w:r>
              <w:rPr>
                <w:rFonts w:ascii="Consolas" w:hAnsi="Consolas"/>
                <w:b w:val="0"/>
                <w:color w:val="526068"/>
                <w:sz w:val="16"/>
              </w:rPr>
              <w:t>Uploads live on one server's disk. They are not replicated, and a host loss is a document loss. The backup script is the only protection.</w:t>
            </w:r>
          </w:p>
        </w:tc>
      </w:tr>
      <w:tr>
        <w:tc>
          <w:tcPr>
            <w:tcW w:type="dxa" w:w="1656"/>
          </w:tcPr>
          <w:p>
            <w:pPr>
              <w:spacing w:line="283" w:lineRule="auto" w:after="20"/>
            </w:pPr>
            <w:r/>
            <w:r>
              <w:rPr>
                <w:rFonts w:ascii="Calibri" w:hAnsi="Calibri"/>
                <w:b/>
                <w:color w:val="172126"/>
                <w:sz w:val="16"/>
              </w:rPr>
              <w:t>When wiring S3</w:t>
            </w:r>
          </w:p>
        </w:tc>
        <w:tc>
          <w:tcPr>
            <w:tcW w:type="dxa" w:w="7704"/>
          </w:tcPr>
          <w:p>
            <w:pPr>
              <w:spacing w:line="283" w:lineRule="auto" w:after="20"/>
            </w:pPr>
            <w:r/>
            <w:r>
              <w:rPr>
                <w:rFonts w:ascii="Consolas" w:hAnsi="Consolas"/>
                <w:b w:val="0"/>
                <w:color w:val="526068"/>
                <w:sz w:val="16"/>
              </w:rPr>
              <w:t>Add the two key variables, and mount the bucket read-only into the CAD service the way .uploads already is — the sidecar reads files it must never modify.</w:t>
            </w:r>
          </w:p>
        </w:tc>
      </w:tr>
    </w:tbl>
    <w:p>
      <w:pPr>
        <w:spacing w:after="60"/>
      </w:pPr>
    </w:p>
    <w:p>
      <w:pPr>
        <w:spacing w:before="200" w:after="60" w:line="312" w:lineRule="auto"/>
      </w:pPr>
      <w:r>
        <w:rPr>
          <w:rFonts w:ascii="Calibri" w:hAnsi="Calibri"/>
          <w:b/>
          <w:color w:val="087E75"/>
          <w:sz w:val="19"/>
        </w:rPr>
        <w:t>OpenAI and Voyage AI — not integrated</w:t>
      </w:r>
    </w:p>
    <w:p>
      <w:pPr>
        <w:spacing w:before="0" w:after="140" w:line="312" w:lineRule="auto"/>
      </w:pPr>
      <w:r>
        <w:rPr>
          <w:rFonts w:ascii="Georgia" w:hAnsi="Georgia"/>
          <w:b w:val="0"/>
          <w:color w:val="526068"/>
          <w:sz w:val="19"/>
        </w:rPr>
        <w:t>Neither name appears in either plane. Retrieval is lexical: MySQL FULLTEXT in natural-language mode, with an identifier boost and a LIKE fallback for identifiers that full-text drops as too short. That was a deliberate choice — construction questions are dominated by exact identifiers such as A-201 and BOQ-CIV-001, and a literal match on those beats a passage merely about the same topic.</w:t>
      </w:r>
    </w:p>
    <w:p>
      <w:pPr>
        <w:spacing w:before="0" w:after="140" w:line="312" w:lineRule="auto"/>
      </w:pPr>
      <w:r>
        <w:rPr>
          <w:rFonts w:ascii="Georgia" w:hAnsi="Georgia"/>
          <w:b w:val="0"/>
          <w:color w:val="526068"/>
          <w:sz w:val="19"/>
        </w:rPr>
        <w:t>An embedding provider becomes necessary only when semantic retrieval is added on top. At that point the chunk table already has an embedding column waiting, and the model registry already carries provider-neutral aliases, so the wiring is a new adapter rather than a new architecture.</w:t>
      </w:r>
    </w:p>
    <w:p>
      <w:r>
        <w:br w:type="page"/>
      </w:r>
    </w:p>
    <w:p>
      <w:pPr>
        <w:spacing w:before="0" w:after="160" w:line="254" w:lineRule="auto"/>
      </w:pPr>
      <w:r>
        <w:rPr>
          <w:rFonts w:ascii="Georgia" w:hAnsi="Georgia"/>
          <w:b/>
          <w:color w:val="172126"/>
          <w:sz w:val="36"/>
        </w:rPr>
        <w:t>Secret handling</w:t>
      </w:r>
    </w:p>
    <w:p>
      <w:pPr>
        <w:spacing w:before="260" w:after="80" w:line="312" w:lineRule="auto"/>
      </w:pPr>
      <w:r>
        <w:rPr>
          <w:rFonts w:ascii="Calibri" w:hAnsi="Calibri"/>
          <w:b/>
          <w:color w:val="172126"/>
          <w:sz w:val="22"/>
        </w:rPr>
        <w:t>Where a value belongs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12"/>
        <w:gridCol w:w="3312"/>
        <w:gridCol w:w="3312"/>
      </w:tblGrid>
      <w:tr>
        <w:tc>
          <w:tcPr>
            <w:tcW w:type="dxa" w:w="2448"/>
            <w:shd w:val="clear" w:fill="F0F3F4"/>
          </w:tcPr>
          <w:p>
            <w:r/>
            <w:r>
              <w:rPr>
                <w:rFonts w:ascii="Calibri" w:hAnsi="Calibri"/>
                <w:b/>
                <w:color w:val="667279"/>
                <w:sz w:val="14"/>
              </w:rPr>
              <w:t>LOCATION</w:t>
            </w:r>
          </w:p>
        </w:tc>
        <w:tc>
          <w:tcPr>
            <w:tcW w:type="dxa" w:w="2160"/>
            <w:shd w:val="clear" w:fill="F0F3F4"/>
          </w:tcPr>
          <w:p>
            <w:r/>
            <w:r>
              <w:rPr>
                <w:rFonts w:ascii="Calibri" w:hAnsi="Calibri"/>
                <w:b/>
                <w:color w:val="667279"/>
                <w:sz w:val="14"/>
              </w:rPr>
              <w:t>USE</w:t>
            </w:r>
          </w:p>
        </w:tc>
        <w:tc>
          <w:tcPr>
            <w:tcW w:type="dxa" w:w="4752"/>
            <w:shd w:val="clear" w:fill="F0F3F4"/>
          </w:tcPr>
          <w:p>
            <w:r/>
            <w:r>
              <w:rPr>
                <w:rFonts w:ascii="Calibri" w:hAnsi="Calibri"/>
                <w:b/>
                <w:color w:val="667279"/>
                <w:sz w:val="14"/>
              </w:rPr>
              <w:t>NOTES</w:t>
            </w:r>
          </w:p>
        </w:tc>
      </w:tr>
      <w:tr>
        <w:tc>
          <w:tcPr>
            <w:tcW w:type="dxa" w:w="2448"/>
          </w:tcPr>
          <w:p>
            <w:pPr>
              <w:spacing w:line="283" w:lineRule="auto" w:after="20"/>
            </w:pPr>
            <w:r/>
            <w:r>
              <w:rPr>
                <w:rFonts w:ascii="Consolas" w:hAnsi="Consolas"/>
                <w:b/>
                <w:color w:val="172126"/>
                <w:sz w:val="16"/>
              </w:rPr>
              <w:t>.env beside the compose file</w:t>
            </w:r>
          </w:p>
        </w:tc>
        <w:tc>
          <w:tcPr>
            <w:tcW w:type="dxa" w:w="2160"/>
          </w:tcPr>
          <w:p>
            <w:pPr>
              <w:spacing w:line="283" w:lineRule="auto" w:after="20"/>
            </w:pPr>
            <w:r/>
            <w:r>
              <w:rPr>
                <w:rFonts w:ascii="Consolas" w:hAnsi="Consolas"/>
                <w:b w:val="0"/>
                <w:color w:val="526068"/>
                <w:sz w:val="16"/>
              </w:rPr>
              <w:t>Runtime configuration, per plane</w:t>
            </w:r>
          </w:p>
        </w:tc>
        <w:tc>
          <w:tcPr>
            <w:tcW w:type="dxa" w:w="4752"/>
          </w:tcPr>
          <w:p>
            <w:pPr>
              <w:spacing w:line="283" w:lineRule="auto" w:after="20"/>
            </w:pPr>
            <w:r/>
            <w:r>
              <w:rPr>
                <w:rFonts w:ascii="Calibri" w:hAnsi="Calibri"/>
                <w:b w:val="0"/>
                <w:color w:val="526068"/>
                <w:sz w:val="16"/>
              </w:rPr>
              <w:t>Gitignored. chmod 600. The only place a real value should sit on a server.</w:t>
            </w:r>
          </w:p>
        </w:tc>
      </w:tr>
      <w:tr>
        <w:tc>
          <w:tcPr>
            <w:tcW w:type="dxa" w:w="2448"/>
          </w:tcPr>
          <w:p>
            <w:pPr>
              <w:spacing w:line="283" w:lineRule="auto" w:after="20"/>
            </w:pPr>
            <w:r/>
            <w:r>
              <w:rPr>
                <w:rFonts w:ascii="Consolas" w:hAnsi="Consolas"/>
                <w:b/>
                <w:color w:val="172126"/>
                <w:sz w:val="16"/>
              </w:rPr>
              <w:t>.env.example</w:t>
            </w:r>
          </w:p>
        </w:tc>
        <w:tc>
          <w:tcPr>
            <w:tcW w:type="dxa" w:w="2160"/>
          </w:tcPr>
          <w:p>
            <w:pPr>
              <w:spacing w:line="283" w:lineRule="auto" w:after="20"/>
            </w:pPr>
            <w:r/>
            <w:r>
              <w:rPr>
                <w:rFonts w:ascii="Consolas" w:hAnsi="Consolas"/>
                <w:b w:val="0"/>
                <w:color w:val="526068"/>
                <w:sz w:val="16"/>
              </w:rPr>
              <w:t>The variable NAME and an empty value</w:t>
            </w:r>
          </w:p>
        </w:tc>
        <w:tc>
          <w:tcPr>
            <w:tcW w:type="dxa" w:w="4752"/>
          </w:tcPr>
          <w:p>
            <w:pPr>
              <w:spacing w:line="283" w:lineRule="auto" w:after="20"/>
            </w:pPr>
            <w:r/>
            <w:r>
              <w:rPr>
                <w:rFonts w:ascii="Calibri" w:hAnsi="Calibri"/>
                <w:b w:val="0"/>
                <w:color w:val="526068"/>
                <w:sz w:val="16"/>
              </w:rPr>
              <w:t>Committed. Empty, never a placeholder like change-me — a default is how a production database keeps a weak password for months.</w:t>
            </w:r>
          </w:p>
        </w:tc>
      </w:tr>
      <w:tr>
        <w:tc>
          <w:tcPr>
            <w:tcW w:type="dxa" w:w="2448"/>
          </w:tcPr>
          <w:p>
            <w:pPr>
              <w:spacing w:line="283" w:lineRule="auto" w:after="20"/>
            </w:pPr>
            <w:r/>
            <w:r>
              <w:rPr>
                <w:rFonts w:ascii="Consolas" w:hAnsi="Consolas"/>
                <w:b/>
                <w:color w:val="172126"/>
                <w:sz w:val="16"/>
              </w:rPr>
              <w:t>docker-compose.yml</w:t>
            </w:r>
          </w:p>
        </w:tc>
        <w:tc>
          <w:tcPr>
            <w:tcW w:type="dxa" w:w="2160"/>
          </w:tcPr>
          <w:p>
            <w:pPr>
              <w:spacing w:line="283" w:lineRule="auto" w:after="20"/>
            </w:pPr>
            <w:r/>
            <w:r>
              <w:rPr>
                <w:rFonts w:ascii="Consolas" w:hAnsi="Consolas"/>
                <w:b w:val="0"/>
                <w:color w:val="526068"/>
                <w:sz w:val="16"/>
              </w:rPr>
              <w:t>${VAR:?message}</w:t>
            </w:r>
          </w:p>
        </w:tc>
        <w:tc>
          <w:tcPr>
            <w:tcW w:type="dxa" w:w="4752"/>
          </w:tcPr>
          <w:p>
            <w:pPr>
              <w:spacing w:line="283" w:lineRule="auto" w:after="20"/>
            </w:pPr>
            <w:r/>
            <w:r>
              <w:rPr>
                <w:rFonts w:ascii="Calibri" w:hAnsi="Calibri"/>
                <w:b w:val="0"/>
                <w:color w:val="526068"/>
                <w:sz w:val="16"/>
              </w:rPr>
              <w:t>Committed. `:?` and never `:-`, so compose refuses to start rather than falling back.</w:t>
            </w:r>
          </w:p>
        </w:tc>
      </w:tr>
      <w:tr>
        <w:tc>
          <w:tcPr>
            <w:tcW w:type="dxa" w:w="2448"/>
          </w:tcPr>
          <w:p>
            <w:pPr>
              <w:spacing w:line="283" w:lineRule="auto" w:after="20"/>
            </w:pPr>
            <w:r/>
            <w:r>
              <w:rPr>
                <w:rFonts w:ascii="Consolas" w:hAnsi="Consolas"/>
                <w:b/>
                <w:color w:val="172126"/>
                <w:sz w:val="16"/>
              </w:rPr>
              <w:t>Documentation</w:t>
            </w:r>
          </w:p>
        </w:tc>
        <w:tc>
          <w:tcPr>
            <w:tcW w:type="dxa" w:w="2160"/>
          </w:tcPr>
          <w:p>
            <w:pPr>
              <w:spacing w:line="283" w:lineRule="auto" w:after="20"/>
            </w:pPr>
            <w:r/>
            <w:r>
              <w:rPr>
                <w:rFonts w:ascii="Consolas" w:hAnsi="Consolas"/>
                <w:b w:val="0"/>
                <w:color w:val="526068"/>
                <w:sz w:val="16"/>
              </w:rPr>
              <w:t>Names, shapes, procedures</w:t>
            </w:r>
          </w:p>
        </w:tc>
        <w:tc>
          <w:tcPr>
            <w:tcW w:type="dxa" w:w="4752"/>
          </w:tcPr>
          <w:p>
            <w:pPr>
              <w:spacing w:line="283" w:lineRule="auto" w:after="20"/>
            </w:pPr>
            <w:r/>
            <w:r>
              <w:rPr>
                <w:rFonts w:ascii="Calibri" w:hAnsi="Calibri"/>
                <w:b w:val="0"/>
                <w:color w:val="526068"/>
                <w:sz w:val="16"/>
              </w:rPr>
              <w:t>This document. No values.</w:t>
            </w:r>
          </w:p>
        </w:tc>
      </w:tr>
      <w:tr>
        <w:tc>
          <w:tcPr>
            <w:tcW w:type="dxa" w:w="2448"/>
          </w:tcPr>
          <w:p>
            <w:pPr>
              <w:spacing w:line="283" w:lineRule="auto" w:after="20"/>
            </w:pPr>
            <w:r/>
            <w:r>
              <w:rPr>
                <w:rFonts w:ascii="Consolas" w:hAnsi="Consolas"/>
                <w:b/>
                <w:color w:val="172126"/>
                <w:sz w:val="16"/>
              </w:rPr>
              <w:t>Chat, tickets, screenshots</w:t>
            </w:r>
          </w:p>
        </w:tc>
        <w:tc>
          <w:tcPr>
            <w:tcW w:type="dxa" w:w="2160"/>
          </w:tcPr>
          <w:p>
            <w:pPr>
              <w:spacing w:line="283" w:lineRule="auto" w:after="20"/>
            </w:pPr>
            <w:r/>
            <w:r>
              <w:rPr>
                <w:rFonts w:ascii="Consolas" w:hAnsi="Consolas"/>
                <w:b w:val="0"/>
                <w:color w:val="526068"/>
                <w:sz w:val="16"/>
              </w:rPr>
              <w:t>Nothing</w:t>
            </w:r>
          </w:p>
        </w:tc>
        <w:tc>
          <w:tcPr>
            <w:tcW w:type="dxa" w:w="4752"/>
          </w:tcPr>
          <w:p>
            <w:pPr>
              <w:spacing w:line="283" w:lineRule="auto" w:after="20"/>
            </w:pPr>
            <w:r/>
            <w:r>
              <w:rPr>
                <w:rFonts w:ascii="Calibri" w:hAnsi="Calibri"/>
                <w:b w:val="0"/>
                <w:color w:val="526068"/>
                <w:sz w:val="16"/>
              </w:rPr>
              <w:t>A value pasted into any of these is disclosed and must be rotated, whether or not it was ever committed.</w:t>
            </w:r>
          </w:p>
        </w:tc>
      </w:tr>
    </w:tbl>
    <w:p>
      <w:pPr>
        <w:spacing w:after="60"/>
      </w:pPr>
    </w:p>
    <w:p>
      <w:pPr>
        <w:spacing w:before="260" w:after="80" w:line="312" w:lineRule="auto"/>
      </w:pPr>
      <w:r>
        <w:rPr>
          <w:rFonts w:ascii="Calibri" w:hAnsi="Calibri"/>
          <w:b/>
          <w:color w:val="172126"/>
          <w:sz w:val="22"/>
        </w:rPr>
        <w:t>The guard, and what it does not catch</w:t>
      </w:r>
    </w:p>
    <w:p>
      <w:pPr>
        <w:spacing w:before="0" w:after="140" w:line="312" w:lineRule="auto"/>
      </w:pPr>
      <w:r>
        <w:rPr>
          <w:rFonts w:ascii="Georgia" w:hAnsi="Georgia"/>
          <w:b w:val="0"/>
          <w:color w:val="526068"/>
          <w:sz w:val="19"/>
        </w:rPr>
        <w:t>The autosync script scans only ADDED lines of a staged diff and aborts the push on a credential-shaped match: sk-ant-, sk-, AKIA, gh[pousr]_, AIza, xox[baprs]-, sk_live_, PRIVATE KEY blocks and JWTs.</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9936"/>
      </w:tblGrid>
      <w:tr>
        <w:tc>
          <w:tcPr>
            <w:tcW w:type="dxa" w:w="9936"/>
            <w:shd w:val="clear" w:fill="FBF0E0"/>
          </w:tcPr>
          <w:p>
            <w:r/>
            <w:r>
              <w:rPr>
                <w:rFonts w:ascii="Calibri" w:hAnsi="Calibri"/>
                <w:b/>
                <w:color w:val="A56000"/>
                <w:sz w:val="14"/>
              </w:rPr>
              <w:t>IT CANNOT CATCH A PASSWORD THAT LOOKS LIKE PROSE</w:t>
            </w:r>
          </w:p>
          <w:p>
            <w:pPr>
              <w:spacing w:before="60" w:line="302" w:lineRule="auto"/>
            </w:pPr>
            <w:r>
              <w:rPr>
                <w:rFonts w:ascii="Georgia" w:hAnsi="Georgia"/>
                <w:color w:val="172126"/>
                <w:sz w:val="18"/>
              </w:rPr>
              <w:t>A staff password of the form word-word-year matches none of those patterns, which is exactly how working production logins reached a public repository and stayed there. Pattern matching is a backstop for accidents, not a policy. The policy is that credentials are not written into files that git can see.</w:t>
            </w:r>
          </w:p>
        </w:tc>
      </w:tr>
    </w:tbl>
    <w:p>
      <w:pPr>
        <w:spacing w:after="60"/>
      </w:pPr>
    </w:p>
    <w:p>
      <w:pPr>
        <w:spacing w:before="260" w:after="80" w:line="312" w:lineRule="auto"/>
      </w:pPr>
      <w:r>
        <w:rPr>
          <w:rFonts w:ascii="Calibri" w:hAnsi="Calibri"/>
          <w:b/>
          <w:color w:val="172126"/>
          <w:sz w:val="22"/>
        </w:rPr>
        <w:t>Rotation checklist</w:t>
      </w:r>
    </w:p>
    <w:p>
      <w:pPr>
        <w:pStyle w:val="ListBullet"/>
        <w:spacing w:after="60" w:line="302" w:lineRule="auto"/>
        <w:ind w:left="360"/>
      </w:pPr>
      <w:r>
        <w:rPr>
          <w:rFonts w:ascii="Calibri" w:hAnsi="Calibri"/>
          <w:b/>
          <w:color w:val="172126"/>
          <w:sz w:val="18"/>
        </w:rPr>
        <w:t xml:space="preserve">Create first, revoke last. </w:t>
      </w:r>
      <w:r>
        <w:rPr>
          <w:rFonts w:ascii="Georgia" w:hAnsi="Georgia"/>
          <w:color w:val="526068"/>
          <w:sz w:val="18"/>
        </w:rPr>
        <w:t>Generate the replacement, deploy it, verify, then revoke the old value. Revoking first is an outage.</w:t>
      </w:r>
    </w:p>
    <w:p>
      <w:pPr>
        <w:pStyle w:val="ListBullet"/>
        <w:spacing w:after="60" w:line="302" w:lineRule="auto"/>
        <w:ind w:left="360"/>
      </w:pPr>
      <w:r>
        <w:rPr>
          <w:rFonts w:ascii="Calibri" w:hAnsi="Calibri"/>
          <w:b/>
          <w:color w:val="172126"/>
          <w:sz w:val="18"/>
        </w:rPr>
        <w:t xml:space="preserve">Rotate inside the system, not only in config. </w:t>
      </w:r>
      <w:r>
        <w:rPr>
          <w:rFonts w:ascii="Georgia" w:hAnsi="Georgia"/>
          <w:color w:val="526068"/>
          <w:sz w:val="18"/>
        </w:rPr>
        <w:t>A database password lives in the database. MYSQL_ROOT_PASSWORD applies only at first volume creation — editing compose rotates nothing on a live database; that is an ALTER USER.</w:t>
      </w:r>
    </w:p>
    <w:p>
      <w:pPr>
        <w:pStyle w:val="ListBullet"/>
        <w:spacing w:after="60" w:line="302" w:lineRule="auto"/>
        <w:ind w:left="360"/>
      </w:pPr>
      <w:r>
        <w:rPr>
          <w:rFonts w:ascii="Calibri" w:hAnsi="Calibri"/>
          <w:b/>
          <w:color w:val="172126"/>
          <w:sz w:val="18"/>
        </w:rPr>
        <w:t xml:space="preserve">Order matters. </w:t>
      </w:r>
      <w:r>
        <w:rPr>
          <w:rFonts w:ascii="Georgia" w:hAnsi="Georgia"/>
          <w:color w:val="526068"/>
          <w:sz w:val="18"/>
        </w:rPr>
        <w:t>Ship the configuration change, then rotate, then recreate. Rotating first leaves the application on the old value, alive only for as long as its pooled connections last, and dead on the next restart.</w:t>
      </w:r>
    </w:p>
    <w:p>
      <w:pPr>
        <w:pStyle w:val="ListBullet"/>
        <w:spacing w:after="60" w:line="302" w:lineRule="auto"/>
        <w:ind w:left="360"/>
      </w:pPr>
      <w:r>
        <w:rPr>
          <w:rFonts w:ascii="Calibri" w:hAnsi="Calibri"/>
          <w:b/>
          <w:color w:val="172126"/>
          <w:sz w:val="18"/>
        </w:rPr>
        <w:t xml:space="preserve">Both sides together for shared secrets. </w:t>
      </w:r>
      <w:r>
        <w:rPr>
          <w:rFonts w:ascii="Georgia" w:hAnsi="Georgia"/>
          <w:color w:val="526068"/>
          <w:sz w:val="18"/>
        </w:rPr>
        <w:t>INTERNAL_SERVICE_TOKEN is not a rolling change.</w:t>
      </w:r>
    </w:p>
    <w:p>
      <w:pPr>
        <w:pStyle w:val="ListBullet"/>
        <w:spacing w:after="60" w:line="302" w:lineRule="auto"/>
        <w:ind w:left="360"/>
      </w:pPr>
      <w:r>
        <w:rPr>
          <w:rFonts w:ascii="Calibri" w:hAnsi="Calibri"/>
          <w:b/>
          <w:color w:val="172126"/>
          <w:sz w:val="18"/>
        </w:rPr>
        <w:t xml:space="preserve">Verify from outside. </w:t>
      </w:r>
      <w:r>
        <w:rPr>
          <w:rFonts w:ascii="Georgia" w:hAnsi="Georgia"/>
          <w:color w:val="526068"/>
          <w:sz w:val="18"/>
        </w:rPr>
        <w:t>Check the running service answers, not that the file changed.</w:t>
      </w:r>
    </w:p>
    <w:p>
      <w:pPr>
        <w:spacing w:after="40"/>
      </w:pPr>
    </w:p>
    <w:p>
      <w:pPr>
        <w:spacing w:before="260" w:after="80" w:line="312" w:lineRule="auto"/>
      </w:pPr>
      <w:r>
        <w:rPr>
          <w:rFonts w:ascii="Calibri" w:hAnsi="Calibri"/>
          <w:b/>
          <w:color w:val="172126"/>
          <w:sz w:val="22"/>
        </w:rPr>
        <w:t>Currently due for rotation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12"/>
        <w:gridCol w:w="3312"/>
        <w:gridCol w:w="3312"/>
      </w:tblGrid>
      <w:tr>
        <w:tc>
          <w:tcPr>
            <w:tcW w:type="dxa" w:w="2448"/>
            <w:shd w:val="clear" w:fill="F0F3F4"/>
          </w:tcPr>
          <w:p>
            <w:r/>
            <w:r>
              <w:rPr>
                <w:rFonts w:ascii="Calibri" w:hAnsi="Calibri"/>
                <w:b/>
                <w:color w:val="667279"/>
                <w:sz w:val="14"/>
              </w:rPr>
              <w:t>SECRET</w:t>
            </w:r>
          </w:p>
        </w:tc>
        <w:tc>
          <w:tcPr>
            <w:tcW w:type="dxa" w:w="5616"/>
            <w:shd w:val="clear" w:fill="F0F3F4"/>
          </w:tcPr>
          <w:p>
            <w:r/>
            <w:r>
              <w:rPr>
                <w:rFonts w:ascii="Calibri" w:hAnsi="Calibri"/>
                <w:b/>
                <w:color w:val="667279"/>
                <w:sz w:val="14"/>
              </w:rPr>
              <w:t>WHY</w:t>
            </w:r>
          </w:p>
        </w:tc>
        <w:tc>
          <w:tcPr>
            <w:tcW w:type="dxa" w:w="1152"/>
            <w:shd w:val="clear" w:fill="F0F3F4"/>
          </w:tcPr>
          <w:p>
            <w:r/>
            <w:r>
              <w:rPr>
                <w:rFonts w:ascii="Calibri" w:hAnsi="Calibri"/>
                <w:b/>
                <w:color w:val="667279"/>
                <w:sz w:val="14"/>
              </w:rPr>
              <w:t>SEVERITY</w:t>
            </w:r>
          </w:p>
        </w:tc>
      </w:tr>
      <w:tr>
        <w:tc>
          <w:tcPr>
            <w:tcW w:type="dxa" w:w="2448"/>
          </w:tcPr>
          <w:p>
            <w:pPr>
              <w:spacing w:line="283" w:lineRule="auto" w:after="20"/>
            </w:pPr>
            <w:r/>
            <w:r>
              <w:rPr>
                <w:rFonts w:ascii="Consolas" w:hAnsi="Consolas"/>
                <w:b/>
                <w:color w:val="172126"/>
                <w:sz w:val="16"/>
              </w:rPr>
              <w:t>ANTHROPIC_API_KEY</w:t>
            </w:r>
          </w:p>
        </w:tc>
        <w:tc>
          <w:tcPr>
            <w:tcW w:type="dxa" w:w="5616"/>
          </w:tcPr>
          <w:p>
            <w:pPr>
              <w:spacing w:line="283" w:lineRule="auto" w:after="20"/>
            </w:pPr>
            <w:r/>
            <w:r>
              <w:rPr>
                <w:rFonts w:ascii="Calibri" w:hAnsi="Calibri"/>
                <w:b w:val="0"/>
                <w:color w:val="526068"/>
                <w:sz w:val="16"/>
              </w:rPr>
              <w:t>Pasted into a chat transcript. Not in git history, and .env is ignored — the transcript is the whole exposure.</w:t>
            </w:r>
          </w:p>
        </w:tc>
        <w:tc>
          <w:tcPr>
            <w:tcW w:type="dxa" w:w="1152"/>
            <w:shd w:val="clear" w:fill="FBEAE8"/>
          </w:tcPr>
          <w:p>
            <w:pPr>
              <w:spacing w:line="283" w:lineRule="auto" w:after="20"/>
            </w:pPr>
            <w:r/>
            <w:r>
              <w:rPr>
                <w:rFonts w:ascii="Calibri" w:hAnsi="Calibri"/>
                <w:b/>
                <w:color w:val="B42318"/>
                <w:sz w:val="16"/>
              </w:rPr>
              <w:t>High</w:t>
            </w:r>
          </w:p>
        </w:tc>
      </w:tr>
      <w:tr>
        <w:tc>
          <w:tcPr>
            <w:tcW w:type="dxa" w:w="2448"/>
          </w:tcPr>
          <w:p>
            <w:pPr>
              <w:spacing w:line="283" w:lineRule="auto" w:after="20"/>
            </w:pPr>
            <w:r/>
            <w:r>
              <w:rPr>
                <w:rFonts w:ascii="Consolas" w:hAnsi="Consolas"/>
                <w:b/>
                <w:color w:val="172126"/>
                <w:sz w:val="16"/>
              </w:rPr>
              <w:t>Three staff account passwords</w:t>
            </w:r>
          </w:p>
        </w:tc>
        <w:tc>
          <w:tcPr>
            <w:tcW w:type="dxa" w:w="5616"/>
          </w:tcPr>
          <w:p>
            <w:pPr>
              <w:spacing w:line="283" w:lineRule="auto" w:after="20"/>
            </w:pPr>
            <w:r/>
            <w:r>
              <w:rPr>
                <w:rFonts w:ascii="Calibri" w:hAnsi="Calibri"/>
                <w:b w:val="0"/>
                <w:color w:val="526068"/>
                <w:sz w:val="16"/>
              </w:rPr>
              <w:t>Committed to a PUBLIC repository in DEMO-CREDENTIALS.md, including the Platform Owner.</w:t>
            </w:r>
          </w:p>
        </w:tc>
        <w:tc>
          <w:tcPr>
            <w:tcW w:type="dxa" w:w="1152"/>
            <w:shd w:val="clear" w:fill="FBEAE8"/>
          </w:tcPr>
          <w:p>
            <w:pPr>
              <w:spacing w:line="283" w:lineRule="auto" w:after="20"/>
            </w:pPr>
            <w:r/>
            <w:r>
              <w:rPr>
                <w:rFonts w:ascii="Calibri" w:hAnsi="Calibri"/>
                <w:b/>
                <w:color w:val="B42318"/>
                <w:sz w:val="16"/>
              </w:rPr>
              <w:t>Critical</w:t>
            </w:r>
          </w:p>
        </w:tc>
      </w:tr>
      <w:tr>
        <w:tc>
          <w:tcPr>
            <w:tcW w:type="dxa" w:w="2448"/>
          </w:tcPr>
          <w:p>
            <w:pPr>
              <w:spacing w:line="283" w:lineRule="auto" w:after="20"/>
            </w:pPr>
            <w:r/>
            <w:r>
              <w:rPr>
                <w:rFonts w:ascii="Consolas" w:hAnsi="Consolas"/>
                <w:b/>
                <w:color w:val="172126"/>
                <w:sz w:val="16"/>
              </w:rPr>
              <w:t>BETTER_AUTH_SECRET</w:t>
            </w:r>
          </w:p>
        </w:tc>
        <w:tc>
          <w:tcPr>
            <w:tcW w:type="dxa" w:w="5616"/>
          </w:tcPr>
          <w:p>
            <w:pPr>
              <w:spacing w:line="283" w:lineRule="auto" w:after="20"/>
            </w:pPr>
            <w:r/>
            <w:r>
              <w:rPr>
                <w:rFonts w:ascii="Calibri" w:hAnsi="Calibri"/>
                <w:b w:val="0"/>
                <w:color w:val="526068"/>
                <w:sz w:val="16"/>
              </w:rPr>
              <w:t>Plaintext in docker-compose.override.yml and printed into a working session. Rotating drops every active session.</w:t>
            </w:r>
          </w:p>
        </w:tc>
        <w:tc>
          <w:tcPr>
            <w:tcW w:type="dxa" w:w="1152"/>
            <w:shd w:val="clear" w:fill="FBEAE8"/>
          </w:tcPr>
          <w:p>
            <w:pPr>
              <w:spacing w:line="283" w:lineRule="auto" w:after="20"/>
            </w:pPr>
            <w:r/>
            <w:r>
              <w:rPr>
                <w:rFonts w:ascii="Calibri" w:hAnsi="Calibri"/>
                <w:b/>
                <w:color w:val="B42318"/>
                <w:sz w:val="16"/>
              </w:rPr>
              <w:t>High</w:t>
            </w:r>
          </w:p>
        </w:tc>
      </w:tr>
      <w:tr>
        <w:tc>
          <w:tcPr>
            <w:tcW w:type="dxa" w:w="2448"/>
          </w:tcPr>
          <w:p>
            <w:pPr>
              <w:spacing w:line="283" w:lineRule="auto" w:after="20"/>
            </w:pPr>
            <w:r/>
            <w:r>
              <w:rPr>
                <w:rFonts w:ascii="Consolas" w:hAnsi="Consolas"/>
                <w:b/>
                <w:color w:val="172126"/>
                <w:sz w:val="16"/>
              </w:rPr>
              <w:t>INTERNAL_SERVICE_TOKEN</w:t>
            </w:r>
          </w:p>
        </w:tc>
        <w:tc>
          <w:tcPr>
            <w:tcW w:type="dxa" w:w="5616"/>
          </w:tcPr>
          <w:p>
            <w:pPr>
              <w:spacing w:line="283" w:lineRule="auto" w:after="20"/>
            </w:pPr>
            <w:r/>
            <w:r>
              <w:rPr>
                <w:rFonts w:ascii="Calibri" w:hAnsi="Calibri"/>
                <w:b w:val="0"/>
                <w:color w:val="526068"/>
                <w:sz w:val="16"/>
              </w:rPr>
              <w:t>Same file, same exposure.</w:t>
            </w:r>
          </w:p>
        </w:tc>
        <w:tc>
          <w:tcPr>
            <w:tcW w:type="dxa" w:w="1152"/>
            <w:shd w:val="clear" w:fill="FBEAE8"/>
          </w:tcPr>
          <w:p>
            <w:pPr>
              <w:spacing w:line="283" w:lineRule="auto" w:after="20"/>
            </w:pPr>
            <w:r/>
            <w:r>
              <w:rPr>
                <w:rFonts w:ascii="Calibri" w:hAnsi="Calibri"/>
                <w:b/>
                <w:color w:val="B42318"/>
                <w:sz w:val="16"/>
              </w:rPr>
              <w:t>High</w:t>
            </w:r>
          </w:p>
        </w:tc>
      </w:tr>
    </w:tbl>
    <w:p>
      <w:pPr>
        <w:spacing w:after="60"/>
      </w:pPr>
    </w:p>
    <w:p>
      <w:pPr>
        <w:spacing w:before="320" w:after="140" w:line="360" w:lineRule="auto"/>
      </w:pPr>
      <w:r>
        <w:rPr>
          <w:rFonts w:ascii="Consolas" w:hAnsi="Consolas"/>
          <w:b w:val="0"/>
          <w:color w:val="667279"/>
          <w:sz w:val="16"/>
        </w:rPr>
        <w:t>Compiled 3 September 2026 by reading the integration modules and both .env files in place, and by probing the live host with a payload that could create nothing. No credential value appears in this document, and none was copied out of the environment files it describes.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