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line="307" w:lineRule="auto"/>
      </w:pPr>
      <w:r>
        <w:rPr>
          <w:rFonts w:ascii="Consolas" w:hAnsi="Consolas"/>
          <w:b/>
          <w:color w:val="087E75"/>
          <w:sz w:val="16"/>
        </w:rPr>
        <w:t>PRECKON  ·  ACCESS, INFRASTRUCTURE AND OPERATIONS  ·  v3.0  ·  4 SEPTEMBER 2026</w:t>
      </w:r>
    </w:p>
    <w:p>
      <w:pPr>
        <w:spacing w:before="0" w:after="200" w:line="252" w:lineRule="auto"/>
      </w:pPr>
      <w:r>
        <w:rPr>
          <w:rFonts w:ascii="Georgia" w:hAnsi="Georgia"/>
          <w:b/>
          <w:color w:val="172126"/>
          <w:sz w:val="46"/>
        </w:rPr>
        <w:t>Everything needed to get in, run it, deploy it, and know whether it is working</w:t>
      </w:r>
    </w:p>
    <w:p>
      <w:pPr>
        <w:spacing w:before="0" w:after="160" w:line="307" w:lineRule="auto"/>
      </w:pPr>
      <w:r>
        <w:rPr>
          <w:rFonts w:ascii="Georgia" w:hAnsi="Georgia"/>
          <w:b w:val="0"/>
          <w:color w:val="526068"/>
          <w:sz w:val="22"/>
        </w:rPr>
        <w:t>The complete reference for the Preckon platform: two planes, one VPS, four repositories. It supersedes the 3 September consolidated document and the v2.x access revisions, and folds their content into a single document that can be read start to finish by someone who has never seen the system.</w:t>
      </w:r>
    </w:p>
    <w:p>
      <w:pPr>
        <w:spacing w:before="0" w:after="260" w:line="307" w:lineRule="auto"/>
      </w:pPr>
      <w:r>
        <w:rPr>
          <w:rFonts w:ascii="Georgia" w:hAnsi="Georgia"/>
          <w:b w:val="0"/>
          <w:color w:val="667279"/>
          <w:sz w:val="19"/>
        </w:rPr>
        <w:t>Everything here is read from the repository, the compose files and the git remotes on 4 September 2026. Where a fact can only come from the running server, it is marked OPEN and Part 10 gives the command that answers it. Nothing has been assumed to be true because it ought to be.</w:t>
      </w:r>
    </w:p>
    <w:tbl>
      <w:tblPr>
        <w:tblW w:type="auto" w:w="0"/>
        <w:tblLook w:firstColumn="1" w:firstRow="1" w:lastColumn="0" w:lastRow="0" w:noHBand="0" w:noVBand="1" w:val="04A0"/>
        <w:tblBorders>
          <w:top w:val="single" w:sz="2" w:space="0" w:color="D8DEE2"/>
          <w:left w:val="single" w:sz="2" w:space="0" w:color="D8DEE2"/>
          <w:bottom w:val="single" w:sz="2" w:space="0" w:color="D8DEE2"/>
          <w:right w:val="single" w:sz="2" w:space="0" w:color="D8DEE2"/>
          <w:insideH w:val="single" w:sz="2" w:space="0" w:color="D8DEE2"/>
          <w:insideV w:val="single" w:sz="2" w:space="0" w:color="D8DEE2"/>
        </w:tblBorders>
      </w:tblPr>
      <w:tblGrid>
        <w:gridCol w:w="2016"/>
        <w:gridCol w:w="2016"/>
        <w:gridCol w:w="2016"/>
        <w:gridCol w:w="2016"/>
        <w:gridCol w:w="2016"/>
      </w:tblGrid>
      <w:tr>
        <w:tc>
          <w:tcPr>
            <w:tcW w:type="dxa" w:w="2016"/>
            <w:shd w:val="clear" w:fill="F0F3F4"/>
          </w:tcPr>
          <w:p>
            <w:pPr>
              <w:jc w:val="center"/>
            </w:pPr>
            <w:r/>
            <w:r>
              <w:rPr>
                <w:rFonts w:ascii="Calibri" w:hAnsi="Calibri"/>
                <w:b/>
                <w:color w:val="667279"/>
                <w:sz w:val="12"/>
              </w:rPr>
              <w:t>PARTS</w:t>
              <w:br/>
            </w:r>
            <w:r>
              <w:rPr>
                <w:rFonts w:ascii="Consolas" w:hAnsi="Consolas"/>
                <w:color w:val="172126"/>
                <w:sz w:val="30"/>
              </w:rPr>
              <w:t>11</w:t>
            </w:r>
          </w:p>
        </w:tc>
        <w:tc>
          <w:tcPr>
            <w:tcW w:type="dxa" w:w="2016"/>
            <w:shd w:val="clear" w:fill="F0F3F4"/>
          </w:tcPr>
          <w:p>
            <w:pPr>
              <w:jc w:val="center"/>
            </w:pPr>
            <w:r/>
            <w:r>
              <w:rPr>
                <w:rFonts w:ascii="Calibri" w:hAnsi="Calibri"/>
                <w:b/>
                <w:color w:val="667279"/>
                <w:sz w:val="12"/>
              </w:rPr>
              <w:t>DEFECTS LOGGED</w:t>
              <w:br/>
            </w:r>
            <w:r>
              <w:rPr>
                <w:rFonts w:ascii="Consolas" w:hAnsi="Consolas"/>
                <w:color w:val="172126"/>
                <w:sz w:val="30"/>
              </w:rPr>
              <w:t>10</w:t>
            </w:r>
          </w:p>
        </w:tc>
        <w:tc>
          <w:tcPr>
            <w:tcW w:type="dxa" w:w="2016"/>
            <w:shd w:val="clear" w:fill="F0F3F4"/>
          </w:tcPr>
          <w:p>
            <w:pPr>
              <w:jc w:val="center"/>
            </w:pPr>
            <w:r/>
            <w:r>
              <w:rPr>
                <w:rFonts w:ascii="Calibri" w:hAnsi="Calibri"/>
                <w:b/>
                <w:color w:val="667279"/>
                <w:sz w:val="12"/>
              </w:rPr>
              <w:t>NEED ONE COMMAND</w:t>
              <w:br/>
            </w:r>
            <w:r>
              <w:rPr>
                <w:rFonts w:ascii="Consolas" w:hAnsi="Consolas"/>
                <w:color w:val="172126"/>
                <w:sz w:val="30"/>
              </w:rPr>
              <w:t>4</w:t>
            </w:r>
          </w:p>
        </w:tc>
        <w:tc>
          <w:tcPr>
            <w:tcW w:type="dxa" w:w="2016"/>
            <w:shd w:val="clear" w:fill="F0F3F4"/>
          </w:tcPr>
          <w:p>
            <w:pPr>
              <w:jc w:val="center"/>
            </w:pPr>
            <w:r/>
            <w:r>
              <w:rPr>
                <w:rFonts w:ascii="Calibri" w:hAnsi="Calibri"/>
                <w:b/>
                <w:color w:val="667279"/>
                <w:sz w:val="12"/>
              </w:rPr>
              <w:t>DECISIONS NEEDED</w:t>
              <w:br/>
            </w:r>
            <w:r>
              <w:rPr>
                <w:rFonts w:ascii="Consolas" w:hAnsi="Consolas"/>
                <w:color w:val="172126"/>
                <w:sz w:val="30"/>
              </w:rPr>
              <w:t>3</w:t>
            </w:r>
          </w:p>
        </w:tc>
        <w:tc>
          <w:tcPr>
            <w:tcW w:type="dxa" w:w="2016"/>
            <w:shd w:val="clear" w:fill="F0F3F4"/>
          </w:tcPr>
          <w:p>
            <w:pPr>
              <w:jc w:val="center"/>
            </w:pPr>
            <w:r/>
            <w:r>
              <w:rPr>
                <w:rFonts w:ascii="Calibri" w:hAnsi="Calibri"/>
                <w:b/>
                <w:color w:val="667279"/>
                <w:sz w:val="12"/>
              </w:rPr>
              <w:t>REVIEW POINTS CLOSED</w:t>
              <w:br/>
            </w:r>
            <w:r>
              <w:rPr>
                <w:rFonts w:ascii="Consolas" w:hAnsi="Consolas"/>
                <w:color w:val="172126"/>
                <w:sz w:val="30"/>
              </w:rPr>
              <w:t>9</w:t>
            </w:r>
          </w:p>
        </w:tc>
      </w:tr>
    </w:tbl>
    <w:p>
      <w:pPr>
        <w:spacing w:after="160"/>
      </w:pPr>
    </w:p>
    <w:tbl>
      <w:tblPr>
        <w:tblW w:type="auto" w:w="0"/>
        <w:tblLook w:firstColumn="1" w:firstRow="1" w:lastColumn="0" w:lastRow="0" w:noHBand="0" w:noVBand="1" w:val="04A0"/>
        <w:tblBorders>
          <w:top w:val="single" w:sz="2" w:space="0" w:color="FBEAE8"/>
          <w:left w:val="single" w:sz="2" w:space="0" w:color="FBEAE8"/>
          <w:bottom w:val="single" w:sz="2" w:space="0" w:color="FBEAE8"/>
          <w:right w:val="single" w:sz="2" w:space="0" w:color="FBEAE8"/>
          <w:insideH w:val="single" w:sz="2" w:space="0" w:color="FBEAE8"/>
          <w:insideV w:val="single" w:sz="2" w:space="0" w:color="FBEAE8"/>
        </w:tblBorders>
      </w:tblPr>
      <w:tblGrid>
        <w:gridCol w:w="10080"/>
      </w:tblGrid>
      <w:tr>
        <w:tc>
          <w:tcPr>
            <w:tcW w:type="dxa" w:w="10080"/>
            <w:shd w:val="clear" w:fill="FBEAE8"/>
          </w:tcPr>
          <w:p>
            <w:r/>
            <w:r>
              <w:rPr>
                <w:rFonts w:ascii="Calibri" w:hAnsi="Calibri"/>
                <w:b/>
                <w:color w:val="B42318"/>
                <w:sz w:val="14"/>
              </w:rPr>
              <w:t>READ THIS BEFORE ANYTHING ELSE</w:t>
            </w:r>
          </w:p>
          <w:p>
            <w:pPr>
              <w:spacing w:before="60" w:line="302" w:lineRule="auto"/>
            </w:pPr>
            <w:r>
              <w:rPr>
                <w:rFonts w:ascii="Georgia" w:hAnsi="Georgia"/>
                <w:color w:val="172126"/>
                <w:sz w:val="17"/>
              </w:rPr>
              <w:t>Earlier versions of this document listed the root server password and three console passwords in plain text. This monorepo autosyncs to a PUBLIC GitHub repository every ten minutes, and has since July. Those passwords are absent here — which is cleanup, not remediation. They are in the history of a public repository and cannot be taken back. Rotate all four. Part 7.4 gives the order that actually closes it, and Part 10 records that two more published passwords are still committed in README and compose files today.</w:t>
            </w:r>
          </w:p>
        </w:tc>
      </w:tr>
    </w:tbl>
    <w:p>
      <w:pPr>
        <w:spacing w:after="60"/>
      </w:pPr>
    </w:p>
    <w:p>
      <w:pPr>
        <w:spacing w:before="260" w:after="80" w:line="307" w:lineRule="auto"/>
      </w:pPr>
      <w:r>
        <w:rPr>
          <w:rFonts w:ascii="Calibri" w:hAnsi="Calibri"/>
          <w:b/>
          <w:color w:val="172126"/>
          <w:sz w:val="22"/>
        </w:rPr>
        <w:t>How to read this</w:t>
      </w:r>
    </w:p>
    <w:tbl>
      <w:tblPr>
        <w:tblW w:type="auto" w:w="0"/>
        <w:jc w:val="left"/>
        <w:tblLook w:firstColumn="1" w:firstRow="1" w:lastColumn="0" w:lastRow="0" w:noHBand="0" w:noVBand="1" w:val="04A0"/>
        <w:tblBorders>
          <w:top w:val="single" w:sz="4" w:space="0" w:color="D8DEE2"/>
          <w:left w:val="single" w:sz="4" w:space="0" w:color="D8DEE2"/>
          <w:bottom w:val="single" w:sz="4" w:space="0" w:color="D8DEE2"/>
          <w:right w:val="single" w:sz="4" w:space="0" w:color="D8DEE2"/>
          <w:insideH w:val="single" w:sz="4" w:space="0" w:color="D8DEE2"/>
          <w:insideV w:val="single" w:sz="4" w:space="0" w:color="D8DEE2"/>
        </w:tblBorders>
      </w:tblPr>
      <w:tblGrid>
        <w:gridCol w:w="5040"/>
        <w:gridCol w:w="5040"/>
      </w:tblGrid>
      <w:tr>
        <w:tc>
          <w:tcPr>
            <w:tcW w:type="dxa" w:w="3168"/>
            <w:shd w:val="clear" w:fill="F0F3F4"/>
          </w:tcPr>
          <w:p>
            <w:r/>
            <w:r>
              <w:rPr>
                <w:rFonts w:ascii="Calibri" w:hAnsi="Calibri"/>
                <w:b/>
                <w:color w:val="667279"/>
                <w:sz w:val="13"/>
              </w:rPr>
              <w:t>IF YOU ARE…</w:t>
            </w:r>
          </w:p>
        </w:tc>
        <w:tc>
          <w:tcPr>
            <w:tcW w:type="dxa" w:w="6264"/>
            <w:shd w:val="clear" w:fill="F0F3F4"/>
          </w:tcPr>
          <w:p>
            <w:r/>
            <w:r>
              <w:rPr>
                <w:rFonts w:ascii="Calibri" w:hAnsi="Calibri"/>
                <w:b/>
                <w:color w:val="667279"/>
                <w:sz w:val="13"/>
              </w:rPr>
              <w:t>START AT</w:t>
            </w:r>
          </w:p>
        </w:tc>
      </w:tr>
      <w:tr>
        <w:tc>
          <w:tcPr>
            <w:tcW w:type="dxa" w:w="3168"/>
          </w:tcPr>
          <w:p>
            <w:pPr>
              <w:spacing w:line="278" w:lineRule="auto" w:after="0"/>
            </w:pPr>
            <w:r/>
            <w:r>
              <w:rPr>
                <w:rFonts w:ascii="Calibri" w:hAnsi="Calibri"/>
                <w:b/>
                <w:color w:val="172126"/>
                <w:sz w:val="15"/>
              </w:rPr>
              <w:t>A new engineer getting access</w:t>
            </w:r>
          </w:p>
        </w:tc>
        <w:tc>
          <w:tcPr>
            <w:tcW w:type="dxa" w:w="6264"/>
          </w:tcPr>
          <w:p>
            <w:pPr>
              <w:spacing w:line="278" w:lineRule="auto" w:after="0"/>
            </w:pPr>
            <w:r/>
            <w:r>
              <w:rPr>
                <w:rFonts w:ascii="Calibri" w:hAnsi="Calibri"/>
                <w:b w:val="0"/>
                <w:color w:val="526068"/>
                <w:sz w:val="15"/>
              </w:rPr>
              <w:t>Part 2, then Part 3. Parts 2.3 and 3.4 are the two things that will otherwise cost you a day</w:t>
            </w:r>
          </w:p>
        </w:tc>
      </w:tr>
      <w:tr>
        <w:tc>
          <w:tcPr>
            <w:tcW w:type="dxa" w:w="3168"/>
          </w:tcPr>
          <w:p>
            <w:pPr>
              <w:spacing w:line="278" w:lineRule="auto" w:after="0"/>
            </w:pPr>
            <w:r/>
            <w:r>
              <w:rPr>
                <w:rFonts w:ascii="Calibri" w:hAnsi="Calibri"/>
                <w:b/>
                <w:color w:val="172126"/>
                <w:sz w:val="15"/>
              </w:rPr>
              <w:t>Standing the system up</w:t>
            </w:r>
          </w:p>
        </w:tc>
        <w:tc>
          <w:tcPr>
            <w:tcW w:type="dxa" w:w="6264"/>
          </w:tcPr>
          <w:p>
            <w:pPr>
              <w:spacing w:line="278" w:lineRule="auto" w:after="0"/>
            </w:pPr>
            <w:r/>
            <w:r>
              <w:rPr>
                <w:rFonts w:ascii="Calibri" w:hAnsi="Calibri"/>
                <w:b w:val="0"/>
                <w:color w:val="526068"/>
                <w:sz w:val="15"/>
              </w:rPr>
              <w:t>Part 3, then Part 4.4 for migrations and Part 9 to confirm it worked</w:t>
            </w:r>
          </w:p>
        </w:tc>
      </w:tr>
      <w:tr>
        <w:tc>
          <w:tcPr>
            <w:tcW w:type="dxa" w:w="3168"/>
          </w:tcPr>
          <w:p>
            <w:pPr>
              <w:spacing w:line="278" w:lineRule="auto" w:after="0"/>
            </w:pPr>
            <w:r/>
            <w:r>
              <w:rPr>
                <w:rFonts w:ascii="Calibri" w:hAnsi="Calibri"/>
                <w:b/>
                <w:color w:val="172126"/>
                <w:sz w:val="15"/>
              </w:rPr>
              <w:t>Deploying or rolling back</w:t>
            </w:r>
          </w:p>
        </w:tc>
        <w:tc>
          <w:tcPr>
            <w:tcW w:type="dxa" w:w="6264"/>
          </w:tcPr>
          <w:p>
            <w:pPr>
              <w:spacing w:line="278" w:lineRule="auto" w:after="0"/>
            </w:pPr>
            <w:r/>
            <w:r>
              <w:rPr>
                <w:rFonts w:ascii="Calibri" w:hAnsi="Calibri"/>
                <w:b w:val="0"/>
                <w:color w:val="526068"/>
                <w:sz w:val="15"/>
              </w:rPr>
              <w:t>Part 6. Read 6.3 before you need it, not during</w:t>
            </w:r>
          </w:p>
        </w:tc>
      </w:tr>
      <w:tr>
        <w:tc>
          <w:tcPr>
            <w:tcW w:type="dxa" w:w="3168"/>
          </w:tcPr>
          <w:p>
            <w:pPr>
              <w:spacing w:line="278" w:lineRule="auto" w:after="0"/>
            </w:pPr>
            <w:r/>
            <w:r>
              <w:rPr>
                <w:rFonts w:ascii="Calibri" w:hAnsi="Calibri"/>
                <w:b/>
                <w:color w:val="172126"/>
                <w:sz w:val="15"/>
              </w:rPr>
              <w:t>Reviewing the security posture</w:t>
            </w:r>
          </w:p>
        </w:tc>
        <w:tc>
          <w:tcPr>
            <w:tcW w:type="dxa" w:w="6264"/>
          </w:tcPr>
          <w:p>
            <w:pPr>
              <w:spacing w:line="278" w:lineRule="auto" w:after="0"/>
            </w:pPr>
            <w:r/>
            <w:r>
              <w:rPr>
                <w:rFonts w:ascii="Calibri" w:hAnsi="Calibri"/>
                <w:b w:val="0"/>
                <w:color w:val="526068"/>
                <w:sz w:val="15"/>
              </w:rPr>
              <w:t>Part 7, then the defect register in Part 10.1</w:t>
            </w:r>
          </w:p>
        </w:tc>
      </w:tr>
      <w:tr>
        <w:tc>
          <w:tcPr>
            <w:tcW w:type="dxa" w:w="3168"/>
          </w:tcPr>
          <w:p>
            <w:pPr>
              <w:spacing w:line="278" w:lineRule="auto" w:after="0"/>
            </w:pPr>
            <w:r/>
            <w:r>
              <w:rPr>
                <w:rFonts w:ascii="Calibri" w:hAnsi="Calibri"/>
                <w:b/>
                <w:color w:val="172126"/>
                <w:sz w:val="15"/>
              </w:rPr>
              <w:t>Looking for a specific value</w:t>
            </w:r>
          </w:p>
        </w:tc>
        <w:tc>
          <w:tcPr>
            <w:tcW w:type="dxa" w:w="6264"/>
          </w:tcPr>
          <w:p>
            <w:pPr>
              <w:spacing w:line="278" w:lineRule="auto" w:after="0"/>
            </w:pPr>
            <w:r/>
            <w:r>
              <w:rPr>
                <w:rFonts w:ascii="Calibri" w:hAnsi="Calibri"/>
                <w:b w:val="0"/>
                <w:color w:val="526068"/>
                <w:sz w:val="15"/>
              </w:rPr>
              <w:t>Part 11 is the reference. Part 2.2 is what somebody has to send you</w:t>
            </w:r>
          </w:p>
        </w:tc>
      </w:tr>
    </w:tbl>
    <w:p>
      <w:pPr>
        <w:spacing w:after="60"/>
      </w:pPr>
    </w:p>
    <w:p>
      <w:pPr>
        <w:spacing w:before="0" w:after="60" w:line="307" w:lineRule="auto"/>
      </w:pPr>
      <w:r>
        <w:rPr>
          <w:rFonts w:ascii="Consolas" w:hAnsi="Consolas"/>
          <w:b/>
          <w:color w:val="087E75"/>
          <w:sz w:val="15"/>
        </w:rPr>
        <w:t>PART 1</w:t>
      </w:r>
    </w:p>
    <w:p>
      <w:pPr>
        <w:spacing w:before="0" w:after="160" w:line="252" w:lineRule="auto"/>
      </w:pPr>
      <w:r>
        <w:rPr>
          <w:rFonts w:ascii="Georgia" w:hAnsi="Georgia"/>
          <w:b/>
          <w:color w:val="172126"/>
          <w:sz w:val="38"/>
        </w:rPr>
        <w:t>What the system is</w:t>
      </w:r>
    </w:p>
    <w:p>
      <w:pPr>
        <w:spacing w:before="0" w:after="200" w:line="307" w:lineRule="auto"/>
      </w:pPr>
      <w:r>
        <w:rPr>
          <w:rFonts w:ascii="Georgia" w:hAnsi="Georgia"/>
          <w:b w:val="0"/>
          <w:color w:val="526068"/>
          <w:sz w:val="21"/>
        </w:rPr>
        <w:t>Two independent planes with two identity pools, deployed as two Docker Compose stacks on one VPS behind one nginx. They share nothing but a token and a contract.</w:t>
      </w:r>
    </w:p>
    <w:p>
      <w:pPr>
        <w:spacing w:before="260" w:after="80" w:line="307" w:lineRule="auto"/>
      </w:pPr>
      <w:r>
        <w:rPr>
          <w:rFonts w:ascii="Calibri" w:hAnsi="Calibri"/>
          <w:b/>
          <w:color w:val="172126"/>
          <w:sz w:val="22"/>
        </w:rPr>
        <w:t>1.1  The two planes</w:t>
      </w:r>
    </w:p>
    <w:tbl>
      <w:tblPr>
        <w:tblW w:type="auto" w:w="0"/>
        <w:jc w:val="left"/>
        <w:tblLook w:firstColumn="1" w:firstRow="1" w:lastColumn="0" w:lastRow="0" w:noHBand="0" w:noVBand="1" w:val="04A0"/>
        <w:tblBorders>
          <w:top w:val="single" w:sz="4" w:space="0" w:color="D8DEE2"/>
          <w:left w:val="single" w:sz="4" w:space="0" w:color="D8DEE2"/>
          <w:bottom w:val="single" w:sz="4" w:space="0" w:color="D8DEE2"/>
          <w:right w:val="single" w:sz="4" w:space="0" w:color="D8DEE2"/>
          <w:insideH w:val="single" w:sz="4" w:space="0" w:color="D8DEE2"/>
          <w:insideV w:val="single" w:sz="4" w:space="0" w:color="D8DEE2"/>
        </w:tblBorders>
      </w:tblPr>
      <w:tblGrid>
        <w:gridCol w:w="2520"/>
        <w:gridCol w:w="2520"/>
        <w:gridCol w:w="2520"/>
        <w:gridCol w:w="2520"/>
      </w:tblGrid>
      <w:tr>
        <w:tc>
          <w:tcPr>
            <w:tcW w:type="dxa" w:w="1080"/>
            <w:shd w:val="clear" w:fill="F0F3F4"/>
          </w:tcPr>
          <w:p>
            <w:r/>
            <w:r>
              <w:rPr>
                <w:rFonts w:ascii="Calibri" w:hAnsi="Calibri"/>
                <w:b/>
                <w:color w:val="667279"/>
                <w:sz w:val="13"/>
              </w:rPr>
              <w:t>PLANE</w:t>
            </w:r>
          </w:p>
        </w:tc>
        <w:tc>
          <w:tcPr>
            <w:tcW w:type="dxa" w:w="5184"/>
            <w:shd w:val="clear" w:fill="F0F3F4"/>
          </w:tcPr>
          <w:p>
            <w:r/>
            <w:r>
              <w:rPr>
                <w:rFonts w:ascii="Calibri" w:hAnsi="Calibri"/>
                <w:b/>
                <w:color w:val="667279"/>
                <w:sz w:val="13"/>
              </w:rPr>
              <w:t>WHAT IT IS</w:t>
            </w:r>
          </w:p>
        </w:tc>
        <w:tc>
          <w:tcPr>
            <w:tcW w:type="dxa" w:w="1944"/>
            <w:shd w:val="clear" w:fill="F0F3F4"/>
          </w:tcPr>
          <w:p>
            <w:r/>
            <w:r>
              <w:rPr>
                <w:rFonts w:ascii="Calibri" w:hAnsi="Calibri"/>
                <w:b/>
                <w:color w:val="667279"/>
                <w:sz w:val="13"/>
              </w:rPr>
              <w:t>DIRECTORY</w:t>
            </w:r>
          </w:p>
        </w:tc>
        <w:tc>
          <w:tcPr>
            <w:tcW w:type="dxa" w:w="2016"/>
            <w:shd w:val="clear" w:fill="F0F3F4"/>
          </w:tcPr>
          <w:p>
            <w:r/>
            <w:r>
              <w:rPr>
                <w:rFonts w:ascii="Calibri" w:hAnsi="Calibri"/>
                <w:b/>
                <w:color w:val="667279"/>
                <w:sz w:val="13"/>
              </w:rPr>
              <w:t>ORIGIN</w:t>
            </w:r>
          </w:p>
        </w:tc>
      </w:tr>
      <w:tr>
        <w:tc>
          <w:tcPr>
            <w:tcW w:type="dxa" w:w="1080"/>
          </w:tcPr>
          <w:p>
            <w:pPr>
              <w:spacing w:line="278" w:lineRule="auto" w:after="0"/>
            </w:pPr>
            <w:r/>
            <w:r>
              <w:rPr>
                <w:rFonts w:ascii="Calibri" w:hAnsi="Calibri"/>
                <w:b/>
                <w:color w:val="172126"/>
                <w:sz w:val="15"/>
              </w:rPr>
              <w:t>Host</w:t>
            </w:r>
          </w:p>
        </w:tc>
        <w:tc>
          <w:tcPr>
            <w:tcW w:type="dxa" w:w="5184"/>
          </w:tcPr>
          <w:p>
            <w:pPr>
              <w:spacing w:line="278" w:lineRule="auto" w:after="0"/>
            </w:pPr>
            <w:r/>
            <w:r>
              <w:rPr>
                <w:rFonts w:ascii="Calibri" w:hAnsi="Calibri"/>
                <w:b w:val="0"/>
                <w:color w:val="526068"/>
                <w:sz w:val="15"/>
              </w:rPr>
              <w:t>The control plane. TechSME defines features → editions → pricing, manages every tenant, runs billing, operates the platform</w:t>
            </w:r>
          </w:p>
        </w:tc>
        <w:tc>
          <w:tcPr>
            <w:tcW w:type="dxa" w:w="1944"/>
          </w:tcPr>
          <w:p>
            <w:pPr>
              <w:spacing w:line="278" w:lineRule="auto" w:after="0"/>
            </w:pPr>
            <w:r/>
            <w:r>
              <w:rPr>
                <w:rFonts w:ascii="Consolas" w:hAnsi="Consolas"/>
                <w:b w:val="0"/>
                <w:color w:val="526068"/>
                <w:sz w:val="15"/>
              </w:rPr>
              <w:t>/opt/preckon-host</w:t>
            </w:r>
          </w:p>
        </w:tc>
        <w:tc>
          <w:tcPr>
            <w:tcW w:type="dxa" w:w="2016"/>
          </w:tcPr>
          <w:p>
            <w:pPr>
              <w:spacing w:line="278" w:lineRule="auto" w:after="0"/>
            </w:pPr>
            <w:r/>
            <w:r>
              <w:rPr>
                <w:rFonts w:ascii="Consolas" w:hAnsi="Consolas"/>
                <w:b w:val="0"/>
                <w:color w:val="526068"/>
                <w:sz w:val="15"/>
              </w:rPr>
              <w:t>host.preckon.com</w:t>
            </w:r>
          </w:p>
        </w:tc>
      </w:tr>
      <w:tr>
        <w:tc>
          <w:tcPr>
            <w:tcW w:type="dxa" w:w="1080"/>
          </w:tcPr>
          <w:p>
            <w:pPr>
              <w:spacing w:line="278" w:lineRule="auto" w:after="0"/>
            </w:pPr>
            <w:r/>
            <w:r>
              <w:rPr>
                <w:rFonts w:ascii="Calibri" w:hAnsi="Calibri"/>
                <w:b/>
                <w:color w:val="172126"/>
                <w:sz w:val="15"/>
              </w:rPr>
              <w:t>Tenant</w:t>
            </w:r>
          </w:p>
        </w:tc>
        <w:tc>
          <w:tcPr>
            <w:tcW w:type="dxa" w:w="5184"/>
          </w:tcPr>
          <w:p>
            <w:pPr>
              <w:spacing w:line="278" w:lineRule="auto" w:after="0"/>
            </w:pPr>
            <w:r/>
            <w:r>
              <w:rPr>
                <w:rFonts w:ascii="Calibri" w:hAnsi="Calibri"/>
                <w:b w:val="0"/>
                <w:color w:val="526068"/>
                <w:sz w:val="15"/>
              </w:rPr>
              <w:t>The product. An AI-native construction workspace where agents propose and humans dispose</w:t>
            </w:r>
          </w:p>
        </w:tc>
        <w:tc>
          <w:tcPr>
            <w:tcW w:type="dxa" w:w="1944"/>
          </w:tcPr>
          <w:p>
            <w:pPr>
              <w:spacing w:line="278" w:lineRule="auto" w:after="0"/>
            </w:pPr>
            <w:r/>
            <w:r>
              <w:rPr>
                <w:rFonts w:ascii="Consolas" w:hAnsi="Consolas"/>
                <w:b w:val="0"/>
                <w:color w:val="526068"/>
                <w:sz w:val="15"/>
              </w:rPr>
              <w:t>/opt/preckon-tenant</w:t>
            </w:r>
          </w:p>
        </w:tc>
        <w:tc>
          <w:tcPr>
            <w:tcW w:type="dxa" w:w="2016"/>
          </w:tcPr>
          <w:p>
            <w:pPr>
              <w:spacing w:line="278" w:lineRule="auto" w:after="0"/>
            </w:pPr>
            <w:r/>
            <w:r>
              <w:rPr>
                <w:rFonts w:ascii="Consolas" w:hAnsi="Consolas"/>
                <w:b w:val="0"/>
                <w:color w:val="526068"/>
                <w:sz w:val="15"/>
              </w:rPr>
              <w:t>app.preckon.com</w:t>
            </w:r>
          </w:p>
        </w:tc>
      </w:tr>
    </w:tbl>
    <w:p>
      <w:pPr>
        <w:spacing w:after="60"/>
      </w:pPr>
    </w:p>
    <w:p>
      <w:pPr>
        <w:spacing w:before="0" w:after="140" w:line="307" w:lineRule="auto"/>
      </w:pPr>
      <w:r>
        <w:rPr>
          <w:rFonts w:ascii="Georgia" w:hAnsi="Georgia"/>
          <w:b w:val="0"/>
          <w:color w:val="526068"/>
          <w:sz w:val="19"/>
        </w:rPr>
        <w:t>The tenant plane consumes exactly one thing from the Host: a resolved entitlement snapshot, fetched from GET /api/host/v1/internal/entitlements/{tenant_id} with the shared service token. Entitlements are computed from the resolution view and overrides, never stored, and never depend on Stripe — Stripe only mirrors money.</w:t>
      </w:r>
    </w:p>
    <w:tbl>
      <w:tblPr>
        <w:tblW w:type="auto" w:w="0"/>
        <w:tblLook w:firstColumn="1" w:firstRow="1" w:lastColumn="0" w:lastRow="0" w:noHBand="0" w:noVBand="1" w:val="04A0"/>
        <w:tblBorders>
          <w:top w:val="single" w:sz="2" w:space="0" w:color="FBF0E0"/>
          <w:left w:val="single" w:sz="2" w:space="0" w:color="FBF0E0"/>
          <w:bottom w:val="single" w:sz="2" w:space="0" w:color="FBF0E0"/>
          <w:right w:val="single" w:sz="2" w:space="0" w:color="FBF0E0"/>
          <w:insideH w:val="single" w:sz="2" w:space="0" w:color="FBF0E0"/>
          <w:insideV w:val="single" w:sz="2" w:space="0" w:color="FBF0E0"/>
        </w:tblBorders>
      </w:tblPr>
      <w:tblGrid>
        <w:gridCol w:w="10080"/>
      </w:tblGrid>
      <w:tr>
        <w:tc>
          <w:tcPr>
            <w:tcW w:type="dxa" w:w="10080"/>
            <w:shd w:val="clear" w:fill="FBF0E0"/>
          </w:tcPr>
          <w:p>
            <w:r/>
            <w:r>
              <w:rPr>
                <w:rFonts w:ascii="Calibri" w:hAnsi="Calibri"/>
                <w:b/>
                <w:color w:val="A56000"/>
                <w:sz w:val="14"/>
              </w:rPr>
              <w:t>TWO PLANES MEANS TWO IDENTITY POOLS</w:t>
            </w:r>
          </w:p>
          <w:p>
            <w:pPr>
              <w:spacing w:before="60" w:line="302" w:lineRule="auto"/>
            </w:pPr>
            <w:r>
              <w:rPr>
                <w:rFonts w:ascii="Georgia" w:hAnsi="Georgia"/>
                <w:color w:val="172126"/>
                <w:sz w:val="17"/>
              </w:rPr>
              <w:t>Host staff live in Better Auth plus host_user. Tenant users never appear on the Host plane at all. A Host login will not get you into a workspace and a workspace login will not get you into the console. This is the design, not a gap — and it is why Part 2.2 lists two separate sets of credentials.</w:t>
            </w:r>
          </w:p>
        </w:tc>
      </w:tr>
    </w:tbl>
    <w:p>
      <w:pPr>
        <w:spacing w:after="60"/>
      </w:pPr>
    </w:p>
    <w:p>
      <w:pPr>
        <w:spacing w:before="260" w:after="80" w:line="307" w:lineRule="auto"/>
      </w:pPr>
      <w:r>
        <w:rPr>
          <w:rFonts w:ascii="Calibri" w:hAnsi="Calibri"/>
          <w:b/>
          <w:color w:val="172126"/>
          <w:sz w:val="22"/>
        </w:rPr>
        <w:t>1.2  The containers</w:t>
      </w:r>
    </w:p>
    <w:tbl>
      <w:tblPr>
        <w:tblW w:type="auto" w:w="0"/>
        <w:jc w:val="left"/>
        <w:tblLook w:firstColumn="1" w:firstRow="1" w:lastColumn="0" w:lastRow="0" w:noHBand="0" w:noVBand="1" w:val="04A0"/>
        <w:tblBorders>
          <w:top w:val="single" w:sz="4" w:space="0" w:color="D8DEE2"/>
          <w:left w:val="single" w:sz="4" w:space="0" w:color="D8DEE2"/>
          <w:bottom w:val="single" w:sz="4" w:space="0" w:color="D8DEE2"/>
          <w:right w:val="single" w:sz="4" w:space="0" w:color="D8DEE2"/>
          <w:insideH w:val="single" w:sz="4" w:space="0" w:color="D8DEE2"/>
          <w:insideV w:val="single" w:sz="4" w:space="0" w:color="D8DEE2"/>
        </w:tblBorders>
      </w:tblPr>
      <w:tblGrid>
        <w:gridCol w:w="2520"/>
        <w:gridCol w:w="2520"/>
        <w:gridCol w:w="2520"/>
        <w:gridCol w:w="2520"/>
      </w:tblGrid>
      <w:tr>
        <w:tc>
          <w:tcPr>
            <w:tcW w:type="dxa" w:w="1224"/>
            <w:shd w:val="clear" w:fill="F0F3F4"/>
          </w:tcPr>
          <w:p>
            <w:r/>
            <w:r>
              <w:rPr>
                <w:rFonts w:ascii="Calibri" w:hAnsi="Calibri"/>
                <w:b/>
                <w:color w:val="667279"/>
                <w:sz w:val="13"/>
              </w:rPr>
              <w:t>SERVICE</w:t>
            </w:r>
          </w:p>
        </w:tc>
        <w:tc>
          <w:tcPr>
            <w:tcW w:type="dxa" w:w="1008"/>
            <w:shd w:val="clear" w:fill="F0F3F4"/>
          </w:tcPr>
          <w:p>
            <w:r/>
            <w:r>
              <w:rPr>
                <w:rFonts w:ascii="Calibri" w:hAnsi="Calibri"/>
                <w:b/>
                <w:color w:val="667279"/>
                <w:sz w:val="13"/>
              </w:rPr>
              <w:t>PLANE</w:t>
            </w:r>
          </w:p>
        </w:tc>
        <w:tc>
          <w:tcPr>
            <w:tcW w:type="dxa" w:w="5112"/>
            <w:shd w:val="clear" w:fill="F0F3F4"/>
          </w:tcPr>
          <w:p>
            <w:r/>
            <w:r>
              <w:rPr>
                <w:rFonts w:ascii="Calibri" w:hAnsi="Calibri"/>
                <w:b/>
                <w:color w:val="667279"/>
                <w:sz w:val="13"/>
              </w:rPr>
              <w:t>WHAT IT DOES</w:t>
            </w:r>
          </w:p>
        </w:tc>
        <w:tc>
          <w:tcPr>
            <w:tcW w:type="dxa" w:w="2016"/>
            <w:shd w:val="clear" w:fill="F0F3F4"/>
          </w:tcPr>
          <w:p>
            <w:r/>
            <w:r>
              <w:rPr>
                <w:rFonts w:ascii="Calibri" w:hAnsi="Calibri"/>
                <w:b/>
                <w:color w:val="667279"/>
                <w:sz w:val="13"/>
              </w:rPr>
              <w:t>HOLDS A DB HANDLE?</w:t>
            </w:r>
          </w:p>
        </w:tc>
      </w:tr>
      <w:tr>
        <w:tc>
          <w:tcPr>
            <w:tcW w:type="dxa" w:w="1224"/>
          </w:tcPr>
          <w:p>
            <w:pPr>
              <w:spacing w:line="278" w:lineRule="auto" w:after="0"/>
            </w:pPr>
            <w:r/>
            <w:r>
              <w:rPr>
                <w:rFonts w:ascii="Calibri" w:hAnsi="Calibri"/>
                <w:b/>
                <w:color w:val="172126"/>
                <w:sz w:val="15"/>
              </w:rPr>
              <w:t>app</w:t>
            </w:r>
          </w:p>
        </w:tc>
        <w:tc>
          <w:tcPr>
            <w:tcW w:type="dxa" w:w="1008"/>
          </w:tcPr>
          <w:p>
            <w:pPr>
              <w:spacing w:line="278" w:lineRule="auto" w:after="0"/>
            </w:pPr>
            <w:r/>
            <w:r>
              <w:rPr>
                <w:rFonts w:ascii="Calibri" w:hAnsi="Calibri"/>
                <w:b w:val="0"/>
                <w:color w:val="526068"/>
                <w:sz w:val="15"/>
              </w:rPr>
              <w:t>both</w:t>
            </w:r>
          </w:p>
        </w:tc>
        <w:tc>
          <w:tcPr>
            <w:tcW w:type="dxa" w:w="5112"/>
          </w:tcPr>
          <w:p>
            <w:pPr>
              <w:spacing w:line="278" w:lineRule="auto" w:after="0"/>
            </w:pPr>
            <w:r/>
            <w:r>
              <w:rPr>
                <w:rFonts w:ascii="Calibri" w:hAnsi="Calibri"/>
                <w:b w:val="0"/>
                <w:color w:val="526068"/>
                <w:sz w:val="15"/>
              </w:rPr>
              <w:t>Next.js 15 — the API and the UI in one process</w:t>
            </w:r>
          </w:p>
        </w:tc>
        <w:tc>
          <w:tcPr>
            <w:tcW w:type="dxa" w:w="2016"/>
            <w:shd w:val="clear" w:fill="E6F3F1"/>
          </w:tcPr>
          <w:p>
            <w:pPr>
              <w:spacing w:line="278" w:lineRule="auto" w:after="0"/>
            </w:pPr>
            <w:r/>
            <w:r>
              <w:rPr>
                <w:rFonts w:ascii="Calibri" w:hAnsi="Calibri"/>
                <w:b/>
                <w:color w:val="087E75"/>
                <w:sz w:val="15"/>
              </w:rPr>
              <w:t>Yes</w:t>
            </w:r>
          </w:p>
        </w:tc>
      </w:tr>
      <w:tr>
        <w:tc>
          <w:tcPr>
            <w:tcW w:type="dxa" w:w="1224"/>
          </w:tcPr>
          <w:p>
            <w:pPr>
              <w:spacing w:line="278" w:lineRule="auto" w:after="0"/>
            </w:pPr>
            <w:r/>
            <w:r>
              <w:rPr>
                <w:rFonts w:ascii="Calibri" w:hAnsi="Calibri"/>
                <w:b/>
                <w:color w:val="172126"/>
                <w:sz w:val="15"/>
              </w:rPr>
              <w:t>db</w:t>
            </w:r>
          </w:p>
        </w:tc>
        <w:tc>
          <w:tcPr>
            <w:tcW w:type="dxa" w:w="1008"/>
          </w:tcPr>
          <w:p>
            <w:pPr>
              <w:spacing w:line="278" w:lineRule="auto" w:after="0"/>
            </w:pPr>
            <w:r/>
            <w:r>
              <w:rPr>
                <w:rFonts w:ascii="Calibri" w:hAnsi="Calibri"/>
                <w:b w:val="0"/>
                <w:color w:val="526068"/>
                <w:sz w:val="15"/>
              </w:rPr>
              <w:t>both</w:t>
            </w:r>
          </w:p>
        </w:tc>
        <w:tc>
          <w:tcPr>
            <w:tcW w:type="dxa" w:w="5112"/>
          </w:tcPr>
          <w:p>
            <w:pPr>
              <w:spacing w:line="278" w:lineRule="auto" w:after="0"/>
            </w:pPr>
            <w:r/>
            <w:r>
              <w:rPr>
                <w:rFonts w:ascii="Calibri" w:hAnsi="Calibri"/>
                <w:b w:val="0"/>
                <w:color w:val="526068"/>
                <w:sz w:val="15"/>
              </w:rPr>
              <w:t>MySQL 8. Schema and seed auto-import on first init only</w:t>
            </w:r>
          </w:p>
        </w:tc>
        <w:tc>
          <w:tcPr>
            <w:tcW w:type="dxa" w:w="2016"/>
          </w:tcPr>
          <w:p>
            <w:pPr>
              <w:spacing w:line="278" w:lineRule="auto" w:after="0"/>
            </w:pPr>
            <w:r/>
            <w:r>
              <w:rPr>
                <w:rFonts w:ascii="Calibri" w:hAnsi="Calibri"/>
                <w:b/>
                <w:color w:val="526068"/>
                <w:sz w:val="15"/>
              </w:rPr>
              <w:t>—</w:t>
            </w:r>
          </w:p>
        </w:tc>
      </w:tr>
      <w:tr>
        <w:tc>
          <w:tcPr>
            <w:tcW w:type="dxa" w:w="1224"/>
          </w:tcPr>
          <w:p>
            <w:pPr>
              <w:spacing w:line="278" w:lineRule="auto" w:after="0"/>
            </w:pPr>
            <w:r/>
            <w:r>
              <w:rPr>
                <w:rFonts w:ascii="Calibri" w:hAnsi="Calibri"/>
                <w:b/>
                <w:color w:val="172126"/>
                <w:sz w:val="15"/>
              </w:rPr>
              <w:t>phpmyadmin</w:t>
            </w:r>
          </w:p>
        </w:tc>
        <w:tc>
          <w:tcPr>
            <w:tcW w:type="dxa" w:w="1008"/>
          </w:tcPr>
          <w:p>
            <w:pPr>
              <w:spacing w:line="278" w:lineRule="auto" w:after="0"/>
            </w:pPr>
            <w:r/>
            <w:r>
              <w:rPr>
                <w:rFonts w:ascii="Calibri" w:hAnsi="Calibri"/>
                <w:b w:val="0"/>
                <w:color w:val="526068"/>
                <w:sz w:val="15"/>
              </w:rPr>
              <w:t>tenant</w:t>
            </w:r>
          </w:p>
        </w:tc>
        <w:tc>
          <w:tcPr>
            <w:tcW w:type="dxa" w:w="5112"/>
          </w:tcPr>
          <w:p>
            <w:pPr>
              <w:spacing w:line="278" w:lineRule="auto" w:after="0"/>
            </w:pPr>
            <w:r/>
            <w:r>
              <w:rPr>
                <w:rFonts w:ascii="Calibri" w:hAnsi="Calibri"/>
                <w:b w:val="0"/>
                <w:color w:val="526068"/>
                <w:sz w:val="15"/>
              </w:rPr>
              <w:t>Database admin UI</w:t>
            </w:r>
          </w:p>
        </w:tc>
        <w:tc>
          <w:tcPr>
            <w:tcW w:type="dxa" w:w="2016"/>
            <w:shd w:val="clear" w:fill="E6F3F1"/>
          </w:tcPr>
          <w:p>
            <w:pPr>
              <w:spacing w:line="278" w:lineRule="auto" w:after="0"/>
            </w:pPr>
            <w:r/>
            <w:r>
              <w:rPr>
                <w:rFonts w:ascii="Calibri" w:hAnsi="Calibri"/>
                <w:b/>
                <w:color w:val="087E75"/>
                <w:sz w:val="15"/>
              </w:rPr>
              <w:t>Yes</w:t>
            </w:r>
          </w:p>
        </w:tc>
      </w:tr>
      <w:tr>
        <w:tc>
          <w:tcPr>
            <w:tcW w:type="dxa" w:w="1224"/>
          </w:tcPr>
          <w:p>
            <w:pPr>
              <w:spacing w:line="278" w:lineRule="auto" w:after="0"/>
            </w:pPr>
            <w:r/>
            <w:r>
              <w:rPr>
                <w:rFonts w:ascii="Calibri" w:hAnsi="Calibri"/>
                <w:b/>
                <w:color w:val="172126"/>
                <w:sz w:val="15"/>
              </w:rPr>
              <w:t>worker</w:t>
            </w:r>
          </w:p>
        </w:tc>
        <w:tc>
          <w:tcPr>
            <w:tcW w:type="dxa" w:w="1008"/>
          </w:tcPr>
          <w:p>
            <w:pPr>
              <w:spacing w:line="278" w:lineRule="auto" w:after="0"/>
            </w:pPr>
            <w:r/>
            <w:r>
              <w:rPr>
                <w:rFonts w:ascii="Calibri" w:hAnsi="Calibri"/>
                <w:b w:val="0"/>
                <w:color w:val="526068"/>
                <w:sz w:val="15"/>
              </w:rPr>
              <w:t>tenant</w:t>
            </w:r>
          </w:p>
        </w:tc>
        <w:tc>
          <w:tcPr>
            <w:tcW w:type="dxa" w:w="5112"/>
          </w:tcPr>
          <w:p>
            <w:pPr>
              <w:spacing w:line="278" w:lineRule="auto" w:after="0"/>
            </w:pPr>
            <w:r/>
            <w:r>
              <w:rPr>
                <w:rFonts w:ascii="Calibri" w:hAnsi="Calibri"/>
                <w:b w:val="0"/>
                <w:color w:val="526068"/>
                <w:sz w:val="15"/>
              </w:rPr>
              <w:t>The stateless AI worker. Runs agents, calls Claude</w:t>
            </w:r>
          </w:p>
        </w:tc>
        <w:tc>
          <w:tcPr>
            <w:tcW w:type="dxa" w:w="2016"/>
            <w:shd w:val="clear" w:fill="FBEAE8"/>
          </w:tcPr>
          <w:p>
            <w:pPr>
              <w:spacing w:line="278" w:lineRule="auto" w:after="0"/>
            </w:pPr>
            <w:r/>
            <w:r>
              <w:rPr>
                <w:rFonts w:ascii="Calibri" w:hAnsi="Calibri"/>
                <w:b/>
                <w:color w:val="B42318"/>
                <w:sz w:val="15"/>
              </w:rPr>
              <w:t>No</w:t>
            </w:r>
          </w:p>
        </w:tc>
      </w:tr>
      <w:tr>
        <w:tc>
          <w:tcPr>
            <w:tcW w:type="dxa" w:w="1224"/>
          </w:tcPr>
          <w:p>
            <w:pPr>
              <w:spacing w:line="278" w:lineRule="auto" w:after="0"/>
            </w:pPr>
            <w:r/>
            <w:r>
              <w:rPr>
                <w:rFonts w:ascii="Calibri" w:hAnsi="Calibri"/>
                <w:b/>
                <w:color w:val="172126"/>
                <w:sz w:val="15"/>
              </w:rPr>
              <w:t>cad</w:t>
            </w:r>
          </w:p>
        </w:tc>
        <w:tc>
          <w:tcPr>
            <w:tcW w:type="dxa" w:w="1008"/>
          </w:tcPr>
          <w:p>
            <w:pPr>
              <w:spacing w:line="278" w:lineRule="auto" w:after="0"/>
            </w:pPr>
            <w:r/>
            <w:r>
              <w:rPr>
                <w:rFonts w:ascii="Calibri" w:hAnsi="Calibri"/>
                <w:b w:val="0"/>
                <w:color w:val="526068"/>
                <w:sz w:val="15"/>
              </w:rPr>
              <w:t>tenant</w:t>
            </w:r>
          </w:p>
        </w:tc>
        <w:tc>
          <w:tcPr>
            <w:tcW w:type="dxa" w:w="5112"/>
          </w:tcPr>
          <w:p>
            <w:pPr>
              <w:spacing w:line="278" w:lineRule="auto" w:after="0"/>
            </w:pPr>
            <w:r/>
            <w:r>
              <w:rPr>
                <w:rFonts w:ascii="Calibri" w:hAnsi="Calibri"/>
                <w:b w:val="0"/>
                <w:color w:val="526068"/>
                <w:sz w:val="15"/>
              </w:rPr>
              <w:t>DXF/DWG extraction sidecar. A pure function of the bytes</w:t>
            </w:r>
          </w:p>
        </w:tc>
        <w:tc>
          <w:tcPr>
            <w:tcW w:type="dxa" w:w="2016"/>
            <w:shd w:val="clear" w:fill="FBEAE8"/>
          </w:tcPr>
          <w:p>
            <w:pPr>
              <w:spacing w:line="278" w:lineRule="auto" w:after="0"/>
            </w:pPr>
            <w:r/>
            <w:r>
              <w:rPr>
                <w:rFonts w:ascii="Calibri" w:hAnsi="Calibri"/>
                <w:b/>
                <w:color w:val="B42318"/>
                <w:sz w:val="15"/>
              </w:rPr>
              <w:t>No</w:t>
            </w:r>
          </w:p>
        </w:tc>
      </w:tr>
      <w:tr>
        <w:tc>
          <w:tcPr>
            <w:tcW w:type="dxa" w:w="1224"/>
          </w:tcPr>
          <w:p>
            <w:pPr>
              <w:spacing w:line="278" w:lineRule="auto" w:after="0"/>
            </w:pPr>
            <w:r/>
            <w:r>
              <w:rPr>
                <w:rFonts w:ascii="Calibri" w:hAnsi="Calibri"/>
                <w:b/>
                <w:color w:val="172126"/>
                <w:sz w:val="15"/>
              </w:rPr>
              <w:t>seed</w:t>
            </w:r>
          </w:p>
        </w:tc>
        <w:tc>
          <w:tcPr>
            <w:tcW w:type="dxa" w:w="1008"/>
          </w:tcPr>
          <w:p>
            <w:pPr>
              <w:spacing w:line="278" w:lineRule="auto" w:after="0"/>
            </w:pPr>
            <w:r/>
            <w:r>
              <w:rPr>
                <w:rFonts w:ascii="Calibri" w:hAnsi="Calibri"/>
                <w:b w:val="0"/>
                <w:color w:val="526068"/>
                <w:sz w:val="15"/>
              </w:rPr>
              <w:t>both</w:t>
            </w:r>
          </w:p>
        </w:tc>
        <w:tc>
          <w:tcPr>
            <w:tcW w:type="dxa" w:w="5112"/>
          </w:tcPr>
          <w:p>
            <w:pPr>
              <w:spacing w:line="278" w:lineRule="auto" w:after="0"/>
            </w:pPr>
            <w:r/>
            <w:r>
              <w:rPr>
                <w:rFonts w:ascii="Calibri" w:hAnsi="Calibri"/>
                <w:b w:val="0"/>
                <w:color w:val="526068"/>
                <w:sz w:val="15"/>
              </w:rPr>
              <w:t>One-off, profile tools. Registers the pack catalog</w:t>
            </w:r>
          </w:p>
        </w:tc>
        <w:tc>
          <w:tcPr>
            <w:tcW w:type="dxa" w:w="2016"/>
            <w:shd w:val="clear" w:fill="E6F3F1"/>
          </w:tcPr>
          <w:p>
            <w:pPr>
              <w:spacing w:line="278" w:lineRule="auto" w:after="0"/>
            </w:pPr>
            <w:r/>
            <w:r>
              <w:rPr>
                <w:rFonts w:ascii="Calibri" w:hAnsi="Calibri"/>
                <w:b/>
                <w:color w:val="087E75"/>
                <w:sz w:val="15"/>
              </w:rPr>
              <w:t>Yes</w:t>
            </w:r>
          </w:p>
        </w:tc>
      </w:tr>
    </w:tbl>
    <w:p>
      <w:pPr>
        <w:spacing w:after="60"/>
      </w:pPr>
    </w:p>
    <w:tbl>
      <w:tblPr>
        <w:tblW w:type="auto" w:w="0"/>
        <w:tblLook w:firstColumn="1" w:firstRow="1" w:lastColumn="0" w:lastRow="0" w:noHBand="0" w:noVBand="1" w:val="04A0"/>
        <w:tblBorders>
          <w:top w:val="single" w:sz="2" w:space="0" w:color="E6F3F1"/>
          <w:left w:val="single" w:sz="2" w:space="0" w:color="E6F3F1"/>
          <w:bottom w:val="single" w:sz="2" w:space="0" w:color="E6F3F1"/>
          <w:right w:val="single" w:sz="2" w:space="0" w:color="E6F3F1"/>
          <w:insideH w:val="single" w:sz="2" w:space="0" w:color="E6F3F1"/>
          <w:insideV w:val="single" w:sz="2" w:space="0" w:color="E6F3F1"/>
        </w:tblBorders>
      </w:tblPr>
      <w:tblGrid>
        <w:gridCol w:w="10080"/>
      </w:tblGrid>
      <w:tr>
        <w:tc>
          <w:tcPr>
            <w:tcW w:type="dxa" w:w="10080"/>
            <w:shd w:val="clear" w:fill="E6F3F1"/>
          </w:tcPr>
          <w:p>
            <w:r/>
            <w:r>
              <w:rPr>
                <w:rFonts w:ascii="Calibri" w:hAnsi="Calibri"/>
                <w:b/>
                <w:color w:val="087E75"/>
                <w:sz w:val="14"/>
              </w:rPr>
              <w:t>THE TRUST BOUNDARY IS STRUCTURAL, NOT A CONVENTION</w:t>
            </w:r>
          </w:p>
          <w:p>
            <w:pPr>
              <w:spacing w:before="60" w:line="302" w:lineRule="auto"/>
            </w:pPr>
            <w:r>
              <w:rPr>
                <w:rFonts w:ascii="Georgia" w:hAnsi="Georgia"/>
                <w:color w:val="172126"/>
                <w:sz w:val="17"/>
              </w:rPr>
              <w:t>The worker package declares no database driver at all, and test/trust-boundary.test.ts asserts that structurally — it fails if anyone adds one. The worker receives a job envelope, computes, and posts the result back to Core over HTTP. Core is the only thing that writes the artifact store. The cad sidecar is the same shape, and its uploads volume is mounted read-only.</w:t>
            </w:r>
          </w:p>
        </w:tc>
      </w:tr>
    </w:tbl>
    <w:p>
      <w:pPr>
        <w:spacing w:after="60"/>
      </w:pPr>
    </w:p>
    <w:p>
      <w:pPr>
        <w:spacing w:before="260" w:after="80" w:line="307" w:lineRule="auto"/>
      </w:pPr>
      <w:r>
        <w:rPr>
          <w:rFonts w:ascii="Calibri" w:hAnsi="Calibri"/>
          <w:b/>
          <w:color w:val="172126"/>
          <w:sz w:val="22"/>
        </w:rPr>
        <w:t>1.3  Domain-neutral core, construction as data</w:t>
      </w:r>
    </w:p>
    <w:p>
      <w:pPr>
        <w:spacing w:before="0" w:after="140" w:line="307" w:lineRule="auto"/>
      </w:pPr>
      <w:r>
        <w:rPr>
          <w:rFonts w:ascii="Georgia" w:hAnsi="Georgia"/>
          <w:b w:val="0"/>
          <w:color w:val="526068"/>
          <w:sz w:val="19"/>
        </w:rPr>
        <w:t>Preckon Core knows nothing about construction. A vertical is one file satisfying the DomainPack contract plus one line in the registry: modules, artifact types with JSON schemas, agents with typed inputs and outputs, workflows as DAGs, personas, a lifecycle state machine, a role template and permissions. A tenant binds to exactly one domain at provisioning. Two packs exist today — construction and underwriting — and both pass the same generic resolver test.</w:t>
      </w:r>
    </w:p>
    <w:p>
      <w:pPr>
        <w:spacing w:before="0" w:after="140" w:line="307" w:lineRule="auto"/>
      </w:pPr>
      <w:r>
        <w:rPr>
          <w:rFonts w:ascii="Georgia" w:hAnsi="Georgia"/>
          <w:b w:val="0"/>
          <w:color w:val="526068"/>
          <w:sz w:val="19"/>
        </w:rPr>
        <w:t>This matters operationally for one reason: the artifact schemas live in the DATABASE, registered from the pack at seed time. They are not read from source. Deploying code without re-registering the catalog leaves the server validating against the previous shape, and every write touching a newly added field is rejected at runtime. Part 6.2 is built around that.</w:t>
      </w:r>
    </w:p>
    <w:p>
      <w:pPr>
        <w:spacing w:before="260" w:after="80" w:line="307" w:lineRule="auto"/>
      </w:pPr>
      <w:r>
        <w:rPr>
          <w:rFonts w:ascii="Calibri" w:hAnsi="Calibri"/>
          <w:b/>
          <w:color w:val="172126"/>
          <w:sz w:val="22"/>
        </w:rPr>
        <w:t>1.4  The four ABI syscalls</w:t>
      </w:r>
    </w:p>
    <w:p>
      <w:pPr>
        <w:spacing w:before="0" w:after="140" w:line="307" w:lineRule="auto"/>
      </w:pPr>
      <w:r>
        <w:rPr>
          <w:rFonts w:ascii="Georgia" w:hAnsi="Georgia"/>
          <w:b w:val="0"/>
          <w:color w:val="526068"/>
          <w:sz w:val="19"/>
        </w:rPr>
        <w:t>Everything an agent can do, and the whole surface Core exposes to the worker:</w:t>
      </w:r>
    </w:p>
    <w:tbl>
      <w:tblPr>
        <w:tblW w:type="auto" w:w="0"/>
        <w:tblLook w:firstColumn="1" w:firstRow="1" w:lastColumn="0" w:lastRow="0" w:noHBand="0" w:noVBand="1" w:val="04A0"/>
        <w:tblBorders>
          <w:top w:val="single" w:sz="2" w:space="0" w:color="E7EBEE"/>
          <w:left w:val="single" w:sz="2" w:space="0" w:color="E7EBEE"/>
          <w:bottom w:val="single" w:sz="2" w:space="0" w:color="E7EBEE"/>
          <w:right w:val="single" w:sz="2" w:space="0" w:color="E7EBEE"/>
          <w:insideH w:val="single" w:sz="2" w:space="0" w:color="E7EBEE"/>
          <w:insideV w:val="single" w:sz="2" w:space="0" w:color="E7EBEE"/>
        </w:tblBorders>
      </w:tblPr>
      <w:tblGrid>
        <w:gridCol w:w="10080"/>
      </w:tblGrid>
      <w:tr>
        <w:tc>
          <w:tcPr>
            <w:tcW w:type="dxa" w:w="10080"/>
            <w:shd w:val="clear" w:fill="F5F7F8"/>
          </w:tcPr>
          <w:p>
            <w:pPr>
              <w:spacing w:line="288" w:lineRule="auto"/>
            </w:pPr>
            <w:r/>
            <w:r>
              <w:rPr>
                <w:rFonts w:ascii="Consolas" w:hAnsi="Consolas"/>
                <w:color w:val="172126"/>
                <w:sz w:val="16"/>
              </w:rPr>
              <w:t>emitArtifact      propose an artifact  (Core materialises it; the worker never writes)</w:t>
              <w:br/>
              <w:t>readArtifacts     read what already exists</w:t>
              <w:br/>
              <w:t>enqueueJob        schedule work  /  onJobResult  receive it back</w:t>
              <w:br/>
              <w:t>requestReview     pause at a gate for a human</w:t>
            </w:r>
          </w:p>
        </w:tc>
      </w:tr>
    </w:tbl>
    <w:p>
      <w:pPr>
        <w:spacing w:after="40"/>
      </w:pPr>
    </w:p>
    <w:p>
      <w:pPr>
        <w:spacing w:before="0" w:after="140" w:line="307" w:lineRule="auto"/>
      </w:pPr>
      <w:r>
        <w:rPr>
          <w:rFonts w:ascii="Georgia" w:hAnsi="Georgia"/>
          <w:b w:val="0"/>
          <w:color w:val="526068"/>
          <w:sz w:val="19"/>
        </w:rPr>
        <w:t>The runtime is a deterministic fixpoint scheduler over those: agent steps, review gates that pause at awaiting_review and resume on confirm, map fan-out and fan-in, and partial re-runs when a confirmed artifact is edited and its downstream goes stale.</w:t>
      </w:r>
    </w:p>
    <w:p>
      <w:r>
        <w:br w:type="page"/>
      </w:r>
    </w:p>
    <w:p>
      <w:pPr>
        <w:spacing w:before="0" w:after="60" w:line="307" w:lineRule="auto"/>
      </w:pPr>
      <w:r>
        <w:rPr>
          <w:rFonts w:ascii="Consolas" w:hAnsi="Consolas"/>
          <w:b/>
          <w:color w:val="087E75"/>
          <w:sz w:val="15"/>
        </w:rPr>
        <w:t>PART 2</w:t>
      </w:r>
    </w:p>
    <w:p>
      <w:pPr>
        <w:spacing w:before="0" w:after="160" w:line="252" w:lineRule="auto"/>
      </w:pPr>
      <w:r>
        <w:rPr>
          <w:rFonts w:ascii="Georgia" w:hAnsi="Georgia"/>
          <w:b/>
          <w:color w:val="172126"/>
          <w:sz w:val="38"/>
        </w:rPr>
        <w:t>Getting access</w:t>
      </w:r>
    </w:p>
    <w:p>
      <w:pPr>
        <w:spacing w:before="0" w:after="200" w:line="307" w:lineRule="auto"/>
      </w:pPr>
      <w:r>
        <w:rPr>
          <w:rFonts w:ascii="Georgia" w:hAnsi="Georgia"/>
          <w:b w:val="0"/>
          <w:color w:val="526068"/>
          <w:sz w:val="21"/>
        </w:rPr>
        <w:t>The server, the credentials, and the two things about access that are not obvious from the configuration files.</w:t>
      </w:r>
    </w:p>
    <w:p>
      <w:pPr>
        <w:spacing w:before="260" w:after="80" w:line="307" w:lineRule="auto"/>
      </w:pPr>
      <w:r>
        <w:rPr>
          <w:rFonts w:ascii="Calibri" w:hAnsi="Calibri"/>
          <w:b/>
          <w:color w:val="172126"/>
          <w:sz w:val="22"/>
        </w:rPr>
        <w:t>2.1  The server</w:t>
      </w:r>
    </w:p>
    <w:tbl>
      <w:tblPr>
        <w:tblW w:type="auto" w:w="0"/>
        <w:jc w:val="left"/>
        <w:tblLook w:firstColumn="1" w:firstRow="1" w:lastColumn="0" w:lastRow="0" w:noHBand="0" w:noVBand="1" w:val="04A0"/>
        <w:tblBorders>
          <w:top w:val="single" w:sz="4" w:space="0" w:color="D8DEE2"/>
          <w:left w:val="single" w:sz="4" w:space="0" w:color="D8DEE2"/>
          <w:bottom w:val="single" w:sz="4" w:space="0" w:color="D8DEE2"/>
          <w:right w:val="single" w:sz="4" w:space="0" w:color="D8DEE2"/>
          <w:insideH w:val="single" w:sz="4" w:space="0" w:color="D8DEE2"/>
          <w:insideV w:val="single" w:sz="4" w:space="0" w:color="D8DEE2"/>
        </w:tblBorders>
      </w:tblPr>
      <w:tblGrid>
        <w:gridCol w:w="5040"/>
        <w:gridCol w:w="5040"/>
      </w:tblGrid>
      <w:tr>
        <w:tc>
          <w:tcPr>
            <w:tcW w:type="dxa" w:w="2016"/>
            <w:shd w:val="clear" w:fill="F0F3F4"/>
          </w:tcPr>
          <w:p>
            <w:r/>
            <w:r>
              <w:rPr>
                <w:rFonts w:ascii="Calibri" w:hAnsi="Calibri"/>
                <w:b/>
                <w:color w:val="667279"/>
                <w:sz w:val="13"/>
              </w:rPr>
              <w:t>PROPERTY</w:t>
            </w:r>
          </w:p>
        </w:tc>
        <w:tc>
          <w:tcPr>
            <w:tcW w:type="dxa" w:w="7416"/>
            <w:shd w:val="clear" w:fill="F0F3F4"/>
          </w:tcPr>
          <w:p>
            <w:r/>
            <w:r>
              <w:rPr>
                <w:rFonts w:ascii="Calibri" w:hAnsi="Calibri"/>
                <w:b/>
                <w:color w:val="667279"/>
                <w:sz w:val="13"/>
              </w:rPr>
              <w:t>VALUE</w:t>
            </w:r>
          </w:p>
        </w:tc>
      </w:tr>
      <w:tr>
        <w:tc>
          <w:tcPr>
            <w:tcW w:type="dxa" w:w="2016"/>
          </w:tcPr>
          <w:p>
            <w:pPr>
              <w:spacing w:line="278" w:lineRule="auto" w:after="0"/>
            </w:pPr>
            <w:r/>
            <w:r>
              <w:rPr>
                <w:rFonts w:ascii="Calibri" w:hAnsi="Calibri"/>
                <w:b/>
                <w:color w:val="172126"/>
                <w:sz w:val="15"/>
              </w:rPr>
              <w:t>Address</w:t>
            </w:r>
          </w:p>
        </w:tc>
        <w:tc>
          <w:tcPr>
            <w:tcW w:type="dxa" w:w="7416"/>
          </w:tcPr>
          <w:p>
            <w:pPr>
              <w:spacing w:line="278" w:lineRule="auto" w:after="0"/>
            </w:pPr>
            <w:r/>
            <w:r>
              <w:rPr>
                <w:rFonts w:ascii="Consolas" w:hAnsi="Consolas"/>
                <w:b w:val="0"/>
                <w:color w:val="526068"/>
                <w:sz w:val="15"/>
              </w:rPr>
              <w:t>74.208.182.201</w:t>
            </w:r>
          </w:p>
        </w:tc>
      </w:tr>
      <w:tr>
        <w:tc>
          <w:tcPr>
            <w:tcW w:type="dxa" w:w="2016"/>
          </w:tcPr>
          <w:p>
            <w:pPr>
              <w:spacing w:line="278" w:lineRule="auto" w:after="0"/>
            </w:pPr>
            <w:r/>
            <w:r>
              <w:rPr>
                <w:rFonts w:ascii="Calibri" w:hAnsi="Calibri"/>
                <w:b/>
                <w:color w:val="172126"/>
                <w:sz w:val="15"/>
              </w:rPr>
              <w:t>OS</w:t>
            </w:r>
          </w:p>
        </w:tc>
        <w:tc>
          <w:tcPr>
            <w:tcW w:type="dxa" w:w="7416"/>
          </w:tcPr>
          <w:p>
            <w:pPr>
              <w:spacing w:line="278" w:lineRule="auto" w:after="0"/>
            </w:pPr>
            <w:r/>
            <w:r>
              <w:rPr>
                <w:rFonts w:ascii="Consolas" w:hAnsi="Consolas"/>
                <w:b w:val="0"/>
                <w:color w:val="526068"/>
                <w:sz w:val="15"/>
              </w:rPr>
              <w:t>AlmaLinux 9</w:t>
            </w:r>
          </w:p>
        </w:tc>
      </w:tr>
      <w:tr>
        <w:tc>
          <w:tcPr>
            <w:tcW w:type="dxa" w:w="2016"/>
          </w:tcPr>
          <w:p>
            <w:pPr>
              <w:spacing w:line="278" w:lineRule="auto" w:after="0"/>
            </w:pPr>
            <w:r/>
            <w:r>
              <w:rPr>
                <w:rFonts w:ascii="Calibri" w:hAnsi="Calibri"/>
                <w:b/>
                <w:color w:val="172126"/>
                <w:sz w:val="15"/>
              </w:rPr>
              <w:t>Resources</w:t>
            </w:r>
          </w:p>
        </w:tc>
        <w:tc>
          <w:tcPr>
            <w:tcW w:type="dxa" w:w="7416"/>
          </w:tcPr>
          <w:p>
            <w:pPr>
              <w:spacing w:line="278" w:lineRule="auto" w:after="0"/>
            </w:pPr>
            <w:r/>
            <w:r>
              <w:rPr>
                <w:rFonts w:ascii="Consolas" w:hAnsi="Consolas"/>
                <w:b w:val="0"/>
                <w:color w:val="526068"/>
                <w:sz w:val="15"/>
              </w:rPr>
              <w:t>12 vCore · 24 GB RAM · 720 GB NVMe SSD</w:t>
            </w:r>
          </w:p>
        </w:tc>
      </w:tr>
      <w:tr>
        <w:tc>
          <w:tcPr>
            <w:tcW w:type="dxa" w:w="2016"/>
          </w:tcPr>
          <w:p>
            <w:pPr>
              <w:spacing w:line="278" w:lineRule="auto" w:after="0"/>
            </w:pPr>
            <w:r/>
            <w:r>
              <w:rPr>
                <w:rFonts w:ascii="Calibri" w:hAnsi="Calibri"/>
                <w:b/>
                <w:color w:val="172126"/>
                <w:sz w:val="15"/>
              </w:rPr>
              <w:t>SSH user</w:t>
            </w:r>
          </w:p>
        </w:tc>
        <w:tc>
          <w:tcPr>
            <w:tcW w:type="dxa" w:w="7416"/>
          </w:tcPr>
          <w:p>
            <w:pPr>
              <w:spacing w:line="278" w:lineRule="auto" w:after="0"/>
            </w:pPr>
            <w:r/>
            <w:r>
              <w:rPr>
                <w:rFonts w:ascii="Consolas" w:hAnsi="Consolas"/>
                <w:b w:val="0"/>
                <w:color w:val="526068"/>
                <w:sz w:val="15"/>
              </w:rPr>
              <w:t>root — every deployment script uses root@$PRECKON_HOST</w:t>
            </w:r>
          </w:p>
        </w:tc>
      </w:tr>
      <w:tr>
        <w:tc>
          <w:tcPr>
            <w:tcW w:type="dxa" w:w="2016"/>
          </w:tcPr>
          <w:p>
            <w:pPr>
              <w:spacing w:line="278" w:lineRule="auto" w:after="0"/>
            </w:pPr>
            <w:r/>
            <w:r>
              <w:rPr>
                <w:rFonts w:ascii="Calibri" w:hAnsi="Calibri"/>
                <w:b/>
                <w:color w:val="172126"/>
                <w:sz w:val="15"/>
              </w:rPr>
              <w:t>Host plane</w:t>
            </w:r>
          </w:p>
        </w:tc>
        <w:tc>
          <w:tcPr>
            <w:tcW w:type="dxa" w:w="7416"/>
          </w:tcPr>
          <w:p>
            <w:pPr>
              <w:spacing w:line="278" w:lineRule="auto" w:after="0"/>
            </w:pPr>
            <w:r/>
            <w:r>
              <w:rPr>
                <w:rFonts w:ascii="Consolas" w:hAnsi="Consolas"/>
                <w:b w:val="0"/>
                <w:color w:val="526068"/>
                <w:sz w:val="15"/>
              </w:rPr>
              <w:t>/opt/preckon-host</w:t>
            </w:r>
          </w:p>
        </w:tc>
      </w:tr>
      <w:tr>
        <w:tc>
          <w:tcPr>
            <w:tcW w:type="dxa" w:w="2016"/>
          </w:tcPr>
          <w:p>
            <w:pPr>
              <w:spacing w:line="278" w:lineRule="auto" w:after="0"/>
            </w:pPr>
            <w:r/>
            <w:r>
              <w:rPr>
                <w:rFonts w:ascii="Calibri" w:hAnsi="Calibri"/>
                <w:b/>
                <w:color w:val="172126"/>
                <w:sz w:val="15"/>
              </w:rPr>
              <w:t>Tenant plane</w:t>
            </w:r>
          </w:p>
        </w:tc>
        <w:tc>
          <w:tcPr>
            <w:tcW w:type="dxa" w:w="7416"/>
          </w:tcPr>
          <w:p>
            <w:pPr>
              <w:spacing w:line="278" w:lineRule="auto" w:after="0"/>
            </w:pPr>
            <w:r/>
            <w:r>
              <w:rPr>
                <w:rFonts w:ascii="Consolas" w:hAnsi="Consolas"/>
                <w:b w:val="0"/>
                <w:color w:val="526068"/>
                <w:sz w:val="15"/>
              </w:rPr>
              <w:t>/opt/preckon-tenant</w:t>
            </w:r>
          </w:p>
        </w:tc>
      </w:tr>
      <w:tr>
        <w:tc>
          <w:tcPr>
            <w:tcW w:type="dxa" w:w="2016"/>
          </w:tcPr>
          <w:p>
            <w:pPr>
              <w:spacing w:line="278" w:lineRule="auto" w:after="0"/>
            </w:pPr>
            <w:r/>
            <w:r>
              <w:rPr>
                <w:rFonts w:ascii="Calibri" w:hAnsi="Calibri"/>
                <w:b/>
                <w:color w:val="172126"/>
                <w:sz w:val="15"/>
              </w:rPr>
              <w:t>Backups</w:t>
            </w:r>
          </w:p>
        </w:tc>
        <w:tc>
          <w:tcPr>
            <w:tcW w:type="dxa" w:w="7416"/>
          </w:tcPr>
          <w:p>
            <w:pPr>
              <w:spacing w:line="278" w:lineRule="auto" w:after="0"/>
            </w:pPr>
            <w:r/>
            <w:r>
              <w:rPr>
                <w:rFonts w:ascii="Consolas" w:hAnsi="Consolas"/>
                <w:b w:val="0"/>
                <w:color w:val="526068"/>
                <w:sz w:val="15"/>
              </w:rPr>
              <w:t>/opt/preckon-backups</w:t>
            </w:r>
          </w:p>
        </w:tc>
      </w:tr>
      <w:tr>
        <w:tc>
          <w:tcPr>
            <w:tcW w:type="dxa" w:w="2016"/>
          </w:tcPr>
          <w:p>
            <w:pPr>
              <w:spacing w:line="278" w:lineRule="auto" w:after="0"/>
            </w:pPr>
            <w:r/>
            <w:r>
              <w:rPr>
                <w:rFonts w:ascii="Calibri" w:hAnsi="Calibri"/>
                <w:b/>
                <w:color w:val="172126"/>
                <w:sz w:val="15"/>
              </w:rPr>
              <w:t>Reverse proxy</w:t>
            </w:r>
          </w:p>
        </w:tc>
        <w:tc>
          <w:tcPr>
            <w:tcW w:type="dxa" w:w="7416"/>
          </w:tcPr>
          <w:p>
            <w:pPr>
              <w:spacing w:line="278" w:lineRule="auto" w:after="0"/>
            </w:pPr>
            <w:r/>
            <w:r>
              <w:rPr>
                <w:rFonts w:ascii="Consolas" w:hAnsi="Consolas"/>
                <w:b w:val="0"/>
                <w:color w:val="526068"/>
                <w:sz w:val="15"/>
              </w:rPr>
              <w:t>nginx, terminating TLS for both origins</w:t>
            </w:r>
          </w:p>
        </w:tc>
      </w:tr>
      <w:tr>
        <w:tc>
          <w:tcPr>
            <w:tcW w:type="dxa" w:w="2016"/>
          </w:tcPr>
          <w:p>
            <w:pPr>
              <w:spacing w:line="278" w:lineRule="auto" w:after="0"/>
            </w:pPr>
            <w:r/>
            <w:r>
              <w:rPr>
                <w:rFonts w:ascii="Calibri" w:hAnsi="Calibri"/>
                <w:b/>
                <w:color w:val="172126"/>
                <w:sz w:val="15"/>
              </w:rPr>
              <w:t>Orchestration</w:t>
            </w:r>
          </w:p>
        </w:tc>
        <w:tc>
          <w:tcPr>
            <w:tcW w:type="dxa" w:w="7416"/>
          </w:tcPr>
          <w:p>
            <w:pPr>
              <w:spacing w:line="278" w:lineRule="auto" w:after="0"/>
            </w:pPr>
            <w:r/>
            <w:r>
              <w:rPr>
                <w:rFonts w:ascii="Consolas" w:hAnsi="Consolas"/>
                <w:b w:val="0"/>
                <w:color w:val="526068"/>
                <w:sz w:val="15"/>
              </w:rPr>
              <w:t>docker compose, one stack per plane, all ports loopback-bound</w:t>
            </w:r>
          </w:p>
        </w:tc>
      </w:tr>
    </w:tbl>
    <w:p>
      <w:pPr>
        <w:spacing w:after="60"/>
      </w:pPr>
    </w:p>
    <w:p>
      <w:pPr>
        <w:spacing w:before="260" w:after="80" w:line="307" w:lineRule="auto"/>
      </w:pPr>
      <w:r>
        <w:rPr>
          <w:rFonts w:ascii="Calibri" w:hAnsi="Calibri"/>
          <w:b/>
          <w:color w:val="172126"/>
          <w:sz w:val="22"/>
        </w:rPr>
        <w:t>2.2  The values somebody has to send you</w:t>
      </w:r>
    </w:p>
    <w:p>
      <w:pPr>
        <w:spacing w:before="0" w:after="140" w:line="307" w:lineRule="auto"/>
      </w:pPr>
      <w:r>
        <w:rPr>
          <w:rFonts w:ascii="Georgia" w:hAnsi="Georgia"/>
          <w:b w:val="0"/>
          <w:color w:val="526068"/>
          <w:sz w:val="19"/>
        </w:rPr>
        <w:t>These are deliberately not in this document. What follows is the exact set — which is shorter than the environment-variable inventory in Part 11.3 suggests, because most of those names are hardcoded in the compose files and are never read from .env.</w:t>
      </w:r>
    </w:p>
    <w:p>
      <w:pPr>
        <w:spacing w:before="200" w:after="60" w:line="307" w:lineRule="auto"/>
      </w:pPr>
      <w:r>
        <w:rPr>
          <w:rFonts w:ascii="Calibri" w:hAnsi="Calibri"/>
          <w:b/>
          <w:color w:val="087E75"/>
          <w:sz w:val="19"/>
        </w:rPr>
        <w:t>Two files per plane, not one</w:t>
      </w:r>
    </w:p>
    <w:tbl>
      <w:tblPr>
        <w:tblW w:type="auto" w:w="0"/>
        <w:tblLook w:firstColumn="1" w:firstRow="1" w:lastColumn="0" w:lastRow="0" w:noHBand="0" w:noVBand="1" w:val="04A0"/>
        <w:tblBorders>
          <w:top w:val="single" w:sz="2" w:space="0" w:color="E7EBEE"/>
          <w:left w:val="single" w:sz="2" w:space="0" w:color="E7EBEE"/>
          <w:bottom w:val="single" w:sz="2" w:space="0" w:color="E7EBEE"/>
          <w:right w:val="single" w:sz="2" w:space="0" w:color="E7EBEE"/>
          <w:insideH w:val="single" w:sz="2" w:space="0" w:color="E7EBEE"/>
          <w:insideV w:val="single" w:sz="2" w:space="0" w:color="E7EBEE"/>
        </w:tblBorders>
      </w:tblPr>
      <w:tblGrid>
        <w:gridCol w:w="10080"/>
      </w:tblGrid>
      <w:tr>
        <w:tc>
          <w:tcPr>
            <w:tcW w:type="dxa" w:w="10080"/>
            <w:shd w:val="clear" w:fill="F5F7F8"/>
          </w:tcPr>
          <w:p>
            <w:pPr>
              <w:spacing w:line="288" w:lineRule="auto"/>
            </w:pPr>
            <w:r/>
            <w:r>
              <w:rPr>
                <w:rFonts w:ascii="Consolas" w:hAnsi="Consolas"/>
                <w:color w:val="172126"/>
                <w:sz w:val="16"/>
              </w:rPr>
              <w:t>/opt/preckon-tenant/.env      /opt/preckon-tenant/docker-compose.override.yml</w:t>
              <w:br/>
              <w:t>/opt/preckon-host/.env        /opt/preckon-host/docker-compose.override.yml</w:t>
            </w:r>
          </w:p>
        </w:tc>
      </w:tr>
    </w:tbl>
    <w:p>
      <w:pPr>
        <w:spacing w:after="40"/>
      </w:pPr>
    </w:p>
    <w:p>
      <w:pPr>
        <w:spacing w:before="0" w:after="140" w:line="307" w:lineRule="auto"/>
      </w:pPr>
      <w:r>
        <w:rPr>
          <w:rFonts w:ascii="Georgia" w:hAnsi="Georgia"/>
          <w:b w:val="0"/>
          <w:color w:val="526068"/>
          <w:sz w:val="19"/>
        </w:rPr>
        <w:t>Neither is in any repository. update-from-git.sh excludes both from its rsync and the deploy tarball excludes .env, deliberately: the local .env would point the deployed app at localhost and would carry AUTH_SIGNIN_MAX=200, which must never be set on anything publicly reachable.</w:t>
      </w:r>
    </w:p>
    <w:p>
      <w:pPr>
        <w:spacing w:before="200" w:after="60" w:line="307" w:lineRule="auto"/>
      </w:pPr>
      <w:r>
        <w:rPr>
          <w:rFonts w:ascii="Calibri" w:hAnsi="Calibri"/>
          <w:b/>
          <w:color w:val="087E75"/>
          <w:sz w:val="19"/>
        </w:rPr>
        <w:t>Tenant — four required, one that decides behaviour</w:t>
      </w:r>
    </w:p>
    <w:p>
      <w:pPr>
        <w:spacing w:before="0" w:after="140" w:line="307" w:lineRule="auto"/>
      </w:pPr>
      <w:r>
        <w:rPr>
          <w:rFonts w:ascii="Georgia" w:hAnsi="Georgia"/>
          <w:b w:val="0"/>
          <w:color w:val="526068"/>
          <w:sz w:val="19"/>
        </w:rPr>
        <w:t>The first four are demanded by docker-compose.yml with :? — the stack refuses to start without them rather than falling back to a default.</w:t>
      </w:r>
    </w:p>
    <w:tbl>
      <w:tblPr>
        <w:tblW w:type="auto" w:w="0"/>
        <w:jc w:val="left"/>
        <w:tblLook w:firstColumn="1" w:firstRow="1" w:lastColumn="0" w:lastRow="0" w:noHBand="0" w:noVBand="1" w:val="04A0"/>
        <w:tblBorders>
          <w:top w:val="single" w:sz="4" w:space="0" w:color="D8DEE2"/>
          <w:left w:val="single" w:sz="4" w:space="0" w:color="D8DEE2"/>
          <w:bottom w:val="single" w:sz="4" w:space="0" w:color="D8DEE2"/>
          <w:right w:val="single" w:sz="4" w:space="0" w:color="D8DEE2"/>
          <w:insideH w:val="single" w:sz="4" w:space="0" w:color="D8DEE2"/>
          <w:insideV w:val="single" w:sz="4" w:space="0" w:color="D8DEE2"/>
        </w:tblBorders>
      </w:tblPr>
      <w:tblGrid>
        <w:gridCol w:w="3360"/>
        <w:gridCol w:w="3360"/>
        <w:gridCol w:w="3360"/>
      </w:tblGrid>
      <w:tr>
        <w:tc>
          <w:tcPr>
            <w:tcW w:type="dxa" w:w="2664"/>
            <w:shd w:val="clear" w:fill="F0F3F4"/>
          </w:tcPr>
          <w:p>
            <w:r/>
            <w:r>
              <w:rPr>
                <w:rFonts w:ascii="Calibri" w:hAnsi="Calibri"/>
                <w:b/>
                <w:color w:val="667279"/>
                <w:sz w:val="13"/>
              </w:rPr>
              <w:t>VARIABLE</w:t>
            </w:r>
          </w:p>
        </w:tc>
        <w:tc>
          <w:tcPr>
            <w:tcW w:type="dxa" w:w="1800"/>
            <w:shd w:val="clear" w:fill="F0F3F4"/>
          </w:tcPr>
          <w:p>
            <w:r/>
            <w:r>
              <w:rPr>
                <w:rFonts w:ascii="Calibri" w:hAnsi="Calibri"/>
                <w:b/>
                <w:color w:val="667279"/>
                <w:sz w:val="13"/>
              </w:rPr>
              <w:t>NEEDED BY</w:t>
            </w:r>
          </w:p>
        </w:tc>
        <w:tc>
          <w:tcPr>
            <w:tcW w:type="dxa" w:w="4968"/>
            <w:shd w:val="clear" w:fill="F0F3F4"/>
          </w:tcPr>
          <w:p>
            <w:r/>
            <w:r>
              <w:rPr>
                <w:rFonts w:ascii="Calibri" w:hAnsi="Calibri"/>
                <w:b/>
                <w:color w:val="667279"/>
                <w:sz w:val="13"/>
              </w:rPr>
              <w:t>WHY YOU CANNOT GENERATE IT YOURSELF</w:t>
            </w:r>
          </w:p>
        </w:tc>
      </w:tr>
      <w:tr>
        <w:tc>
          <w:tcPr>
            <w:tcW w:type="dxa" w:w="2664"/>
          </w:tcPr>
          <w:p>
            <w:pPr>
              <w:spacing w:line="278" w:lineRule="auto" w:after="0"/>
            </w:pPr>
            <w:r/>
            <w:r>
              <w:rPr>
                <w:rFonts w:ascii="Consolas" w:hAnsi="Consolas"/>
                <w:b/>
                <w:color w:val="172126"/>
                <w:sz w:val="15"/>
              </w:rPr>
              <w:t>DATABASE_PASSWORD</w:t>
            </w:r>
          </w:p>
        </w:tc>
        <w:tc>
          <w:tcPr>
            <w:tcW w:type="dxa" w:w="1800"/>
          </w:tcPr>
          <w:p>
            <w:pPr>
              <w:spacing w:line="278" w:lineRule="auto" w:after="0"/>
            </w:pPr>
            <w:r/>
            <w:r>
              <w:rPr>
                <w:rFonts w:ascii="Calibri" w:hAnsi="Calibri"/>
                <w:b w:val="0"/>
                <w:color w:val="526068"/>
                <w:sz w:val="15"/>
              </w:rPr>
              <w:t>app · seed · db</w:t>
            </w:r>
          </w:p>
        </w:tc>
        <w:tc>
          <w:tcPr>
            <w:tcW w:type="dxa" w:w="4968"/>
          </w:tcPr>
          <w:p>
            <w:pPr>
              <w:spacing w:line="278" w:lineRule="auto" w:after="0"/>
            </w:pPr>
            <w:r/>
            <w:r>
              <w:rPr>
                <w:rFonts w:ascii="Calibri" w:hAnsi="Calibri"/>
                <w:b w:val="0"/>
                <w:color w:val="526068"/>
                <w:sz w:val="15"/>
              </w:rPr>
              <w:t>Must match the existing database. Rotated 1 September</w:t>
            </w:r>
          </w:p>
        </w:tc>
      </w:tr>
      <w:tr>
        <w:tc>
          <w:tcPr>
            <w:tcW w:type="dxa" w:w="2664"/>
          </w:tcPr>
          <w:p>
            <w:pPr>
              <w:spacing w:line="278" w:lineRule="auto" w:after="0"/>
            </w:pPr>
            <w:r/>
            <w:r>
              <w:rPr>
                <w:rFonts w:ascii="Consolas" w:hAnsi="Consolas"/>
                <w:b/>
                <w:color w:val="172126"/>
                <w:sz w:val="15"/>
              </w:rPr>
              <w:t>BETTER_AUTH_SECRET</w:t>
            </w:r>
          </w:p>
        </w:tc>
        <w:tc>
          <w:tcPr>
            <w:tcW w:type="dxa" w:w="1800"/>
          </w:tcPr>
          <w:p>
            <w:pPr>
              <w:spacing w:line="278" w:lineRule="auto" w:after="0"/>
            </w:pPr>
            <w:r/>
            <w:r>
              <w:rPr>
                <w:rFonts w:ascii="Calibri" w:hAnsi="Calibri"/>
                <w:b w:val="0"/>
                <w:color w:val="526068"/>
                <w:sz w:val="15"/>
              </w:rPr>
              <w:t>app · seed</w:t>
            </w:r>
          </w:p>
        </w:tc>
        <w:tc>
          <w:tcPr>
            <w:tcW w:type="dxa" w:w="4968"/>
          </w:tcPr>
          <w:p>
            <w:pPr>
              <w:spacing w:line="278" w:lineRule="auto" w:after="0"/>
            </w:pPr>
            <w:r/>
            <w:r>
              <w:rPr>
                <w:rFonts w:ascii="Calibri" w:hAnsi="Calibri"/>
                <w:b w:val="0"/>
                <w:color w:val="526068"/>
                <w:sz w:val="15"/>
              </w:rPr>
              <w:t>Regenerating it invalidates every existing session</w:t>
            </w:r>
          </w:p>
        </w:tc>
      </w:tr>
      <w:tr>
        <w:tc>
          <w:tcPr>
            <w:tcW w:type="dxa" w:w="2664"/>
          </w:tcPr>
          <w:p>
            <w:pPr>
              <w:spacing w:line="278" w:lineRule="auto" w:after="0"/>
            </w:pPr>
            <w:r/>
            <w:r>
              <w:rPr>
                <w:rFonts w:ascii="Consolas" w:hAnsi="Consolas"/>
                <w:b/>
                <w:color w:val="172126"/>
                <w:sz w:val="15"/>
              </w:rPr>
              <w:t>INTERNAL_SERVICE_TOKEN</w:t>
            </w:r>
          </w:p>
        </w:tc>
        <w:tc>
          <w:tcPr>
            <w:tcW w:type="dxa" w:w="1800"/>
          </w:tcPr>
          <w:p>
            <w:pPr>
              <w:spacing w:line="278" w:lineRule="auto" w:after="0"/>
            </w:pPr>
            <w:r/>
            <w:r>
              <w:rPr>
                <w:rFonts w:ascii="Calibri" w:hAnsi="Calibri"/>
                <w:b w:val="0"/>
                <w:color w:val="526068"/>
                <w:sz w:val="15"/>
              </w:rPr>
              <w:t>app · worker</w:t>
            </w:r>
          </w:p>
        </w:tc>
        <w:tc>
          <w:tcPr>
            <w:tcW w:type="dxa" w:w="4968"/>
          </w:tcPr>
          <w:p>
            <w:pPr>
              <w:spacing w:line="278" w:lineRule="auto" w:after="0"/>
            </w:pPr>
            <w:r/>
            <w:r>
              <w:rPr>
                <w:rFonts w:ascii="Calibri" w:hAnsi="Calibri"/>
                <w:b w:val="0"/>
                <w:color w:val="526068"/>
                <w:sz w:val="15"/>
              </w:rPr>
              <w:t>Must match the HOST plane's — §2.4</w:t>
            </w:r>
          </w:p>
        </w:tc>
      </w:tr>
      <w:tr>
        <w:tc>
          <w:tcPr>
            <w:tcW w:type="dxa" w:w="2664"/>
          </w:tcPr>
          <w:p>
            <w:pPr>
              <w:spacing w:line="278" w:lineRule="auto" w:after="0"/>
            </w:pPr>
            <w:r/>
            <w:r>
              <w:rPr>
                <w:rFonts w:ascii="Consolas" w:hAnsi="Consolas"/>
                <w:b/>
                <w:color w:val="172126"/>
                <w:sz w:val="15"/>
              </w:rPr>
              <w:t>TENANT_OWNER_PASSWORD</w:t>
            </w:r>
          </w:p>
        </w:tc>
        <w:tc>
          <w:tcPr>
            <w:tcW w:type="dxa" w:w="1800"/>
          </w:tcPr>
          <w:p>
            <w:pPr>
              <w:spacing w:line="278" w:lineRule="auto" w:after="0"/>
            </w:pPr>
            <w:r/>
            <w:r>
              <w:rPr>
                <w:rFonts w:ascii="Calibri" w:hAnsi="Calibri"/>
                <w:b w:val="0"/>
                <w:color w:val="526068"/>
                <w:sz w:val="15"/>
              </w:rPr>
              <w:t>seed profile</w:t>
            </w:r>
          </w:p>
        </w:tc>
        <w:tc>
          <w:tcPr>
            <w:tcW w:type="dxa" w:w="4968"/>
          </w:tcPr>
          <w:p>
            <w:pPr>
              <w:spacing w:line="278" w:lineRule="auto" w:after="0"/>
            </w:pPr>
            <w:r/>
            <w:r>
              <w:rPr>
                <w:rFonts w:ascii="Calibri" w:hAnsi="Calibri"/>
                <w:b w:val="0"/>
                <w:color w:val="526068"/>
                <w:sz w:val="15"/>
              </w:rPr>
              <w:t>Demanded by compose, then never read — §3.4</w:t>
            </w:r>
          </w:p>
        </w:tc>
      </w:tr>
      <w:tr>
        <w:tc>
          <w:tcPr>
            <w:tcW w:type="dxa" w:w="2664"/>
          </w:tcPr>
          <w:p>
            <w:pPr>
              <w:spacing w:line="278" w:lineRule="auto" w:after="0"/>
            </w:pPr>
            <w:r/>
            <w:r>
              <w:rPr>
                <w:rFonts w:ascii="Consolas" w:hAnsi="Consolas"/>
                <w:b/>
                <w:color w:val="172126"/>
                <w:sz w:val="15"/>
              </w:rPr>
              <w:t>ANTHROPIC_API_KEY</w:t>
            </w:r>
          </w:p>
        </w:tc>
        <w:tc>
          <w:tcPr>
            <w:tcW w:type="dxa" w:w="1800"/>
          </w:tcPr>
          <w:p>
            <w:pPr>
              <w:spacing w:line="278" w:lineRule="auto" w:after="0"/>
            </w:pPr>
            <w:r/>
            <w:r>
              <w:rPr>
                <w:rFonts w:ascii="Calibri" w:hAnsi="Calibri"/>
                <w:b w:val="0"/>
                <w:color w:val="526068"/>
                <w:sz w:val="15"/>
              </w:rPr>
              <w:t>worker only</w:t>
            </w:r>
          </w:p>
        </w:tc>
        <w:tc>
          <w:tcPr>
            <w:tcW w:type="dxa" w:w="4968"/>
          </w:tcPr>
          <w:p>
            <w:pPr>
              <w:spacing w:line="278" w:lineRule="auto" w:after="0"/>
            </w:pPr>
            <w:r/>
            <w:r>
              <w:rPr>
                <w:rFonts w:ascii="Calibri" w:hAnsi="Calibri"/>
                <w:b w:val="0"/>
                <w:color w:val="526068"/>
                <w:sz w:val="15"/>
              </w:rPr>
              <w:t>Absent, every AI job FAILS. Not access, but nothing AI works without it</w:t>
            </w:r>
          </w:p>
        </w:tc>
      </w:tr>
    </w:tbl>
    <w:p>
      <w:pPr>
        <w:spacing w:after="60"/>
      </w:pPr>
    </w:p>
    <w:p>
      <w:pPr>
        <w:spacing w:before="200" w:after="60" w:line="307" w:lineRule="auto"/>
      </w:pPr>
      <w:r>
        <w:rPr>
          <w:rFonts w:ascii="Calibri" w:hAnsi="Calibri"/>
          <w:b/>
          <w:color w:val="087E75"/>
          <w:sz w:val="19"/>
        </w:rPr>
        <w:t>Host — one from .env, three from the override file</w:t>
      </w:r>
    </w:p>
    <w:tbl>
      <w:tblPr>
        <w:tblW w:type="auto" w:w="0"/>
        <w:jc w:val="left"/>
        <w:tblLook w:firstColumn="1" w:firstRow="1" w:lastColumn="0" w:lastRow="0" w:noHBand="0" w:noVBand="1" w:val="04A0"/>
        <w:tblBorders>
          <w:top w:val="single" w:sz="4" w:space="0" w:color="D8DEE2"/>
          <w:left w:val="single" w:sz="4" w:space="0" w:color="D8DEE2"/>
          <w:bottom w:val="single" w:sz="4" w:space="0" w:color="D8DEE2"/>
          <w:right w:val="single" w:sz="4" w:space="0" w:color="D8DEE2"/>
          <w:insideH w:val="single" w:sz="4" w:space="0" w:color="D8DEE2"/>
          <w:insideV w:val="single" w:sz="4" w:space="0" w:color="D8DEE2"/>
        </w:tblBorders>
      </w:tblPr>
      <w:tblGrid>
        <w:gridCol w:w="5040"/>
        <w:gridCol w:w="5040"/>
      </w:tblGrid>
      <w:tr>
        <w:tc>
          <w:tcPr>
            <w:tcW w:type="dxa" w:w="3024"/>
            <w:shd w:val="clear" w:fill="F0F3F4"/>
          </w:tcPr>
          <w:p>
            <w:r/>
            <w:r>
              <w:rPr>
                <w:rFonts w:ascii="Calibri" w:hAnsi="Calibri"/>
                <w:b/>
                <w:color w:val="667279"/>
                <w:sz w:val="13"/>
              </w:rPr>
              <w:t>VARIABLE</w:t>
            </w:r>
          </w:p>
        </w:tc>
        <w:tc>
          <w:tcPr>
            <w:tcW w:type="dxa" w:w="6408"/>
            <w:shd w:val="clear" w:fill="F0F3F4"/>
          </w:tcPr>
          <w:p>
            <w:r/>
            <w:r>
              <w:rPr>
                <w:rFonts w:ascii="Calibri" w:hAnsi="Calibri"/>
                <w:b/>
                <w:color w:val="667279"/>
                <w:sz w:val="13"/>
              </w:rPr>
              <w:t>WHERE IT IS REALLY SET</w:t>
            </w:r>
          </w:p>
        </w:tc>
      </w:tr>
      <w:tr>
        <w:tc>
          <w:tcPr>
            <w:tcW w:type="dxa" w:w="3024"/>
          </w:tcPr>
          <w:p>
            <w:pPr>
              <w:spacing w:line="278" w:lineRule="auto" w:after="0"/>
            </w:pPr>
            <w:r/>
            <w:r>
              <w:rPr>
                <w:rFonts w:ascii="Consolas" w:hAnsi="Consolas"/>
                <w:b/>
                <w:color w:val="172126"/>
                <w:sz w:val="15"/>
              </w:rPr>
              <w:t>DATABASE_PASSWORD</w:t>
            </w:r>
          </w:p>
        </w:tc>
        <w:tc>
          <w:tcPr>
            <w:tcW w:type="dxa" w:w="6408"/>
          </w:tcPr>
          <w:p>
            <w:pPr>
              <w:spacing w:line="278" w:lineRule="auto" w:after="0"/>
            </w:pPr>
            <w:r/>
            <w:r>
              <w:rPr>
                <w:rFonts w:ascii="Calibri" w:hAnsi="Calibri"/>
                <w:b w:val="0"/>
                <w:color w:val="526068"/>
                <w:sz w:val="15"/>
              </w:rPr>
              <w:t>/opt/preckon-host/.env</w:t>
            </w:r>
          </w:p>
        </w:tc>
      </w:tr>
      <w:tr>
        <w:tc>
          <w:tcPr>
            <w:tcW w:type="dxa" w:w="3024"/>
          </w:tcPr>
          <w:p>
            <w:pPr>
              <w:spacing w:line="278" w:lineRule="auto" w:after="0"/>
            </w:pPr>
            <w:r/>
            <w:r>
              <w:rPr>
                <w:rFonts w:ascii="Consolas" w:hAnsi="Consolas"/>
                <w:b/>
                <w:color w:val="172126"/>
                <w:sz w:val="15"/>
              </w:rPr>
              <w:t>BETTER_AUTH_SECRET</w:t>
            </w:r>
          </w:p>
        </w:tc>
        <w:tc>
          <w:tcPr>
            <w:tcW w:type="dxa" w:w="6408"/>
          </w:tcPr>
          <w:p>
            <w:pPr>
              <w:spacing w:line="278" w:lineRule="auto" w:after="0"/>
            </w:pPr>
            <w:r/>
            <w:r>
              <w:rPr>
                <w:rFonts w:ascii="Calibri" w:hAnsi="Calibri"/>
                <w:b w:val="0"/>
                <w:color w:val="526068"/>
                <w:sz w:val="15"/>
              </w:rPr>
              <w:t>docker-compose.override.yml — NOT read from .env, see D7</w:t>
            </w:r>
          </w:p>
        </w:tc>
      </w:tr>
      <w:tr>
        <w:tc>
          <w:tcPr>
            <w:tcW w:type="dxa" w:w="3024"/>
          </w:tcPr>
          <w:p>
            <w:pPr>
              <w:spacing w:line="278" w:lineRule="auto" w:after="0"/>
            </w:pPr>
            <w:r/>
            <w:r>
              <w:rPr>
                <w:rFonts w:ascii="Consolas" w:hAnsi="Consolas"/>
                <w:b/>
                <w:color w:val="172126"/>
                <w:sz w:val="15"/>
              </w:rPr>
              <w:t>BETTER_AUTH_URL</w:t>
            </w:r>
          </w:p>
        </w:tc>
        <w:tc>
          <w:tcPr>
            <w:tcW w:type="dxa" w:w="6408"/>
          </w:tcPr>
          <w:p>
            <w:pPr>
              <w:spacing w:line="278" w:lineRule="auto" w:after="0"/>
            </w:pPr>
            <w:r/>
            <w:r>
              <w:rPr>
                <w:rFonts w:ascii="Calibri" w:hAnsi="Calibri"/>
                <w:b w:val="0"/>
                <w:color w:val="526068"/>
                <w:sz w:val="15"/>
              </w:rPr>
              <w:t>docker-compose.override.yml — must be https://host.preckon.com</w:t>
            </w:r>
          </w:p>
        </w:tc>
      </w:tr>
      <w:tr>
        <w:tc>
          <w:tcPr>
            <w:tcW w:type="dxa" w:w="3024"/>
          </w:tcPr>
          <w:p>
            <w:pPr>
              <w:spacing w:line="278" w:lineRule="auto" w:after="0"/>
            </w:pPr>
            <w:r/>
            <w:r>
              <w:rPr>
                <w:rFonts w:ascii="Consolas" w:hAnsi="Consolas"/>
                <w:b/>
                <w:color w:val="172126"/>
                <w:sz w:val="15"/>
              </w:rPr>
              <w:t>INTERNAL_SERVICE_TOKEN</w:t>
            </w:r>
          </w:p>
        </w:tc>
        <w:tc>
          <w:tcPr>
            <w:tcW w:type="dxa" w:w="6408"/>
          </w:tcPr>
          <w:p>
            <w:pPr>
              <w:spacing w:line="278" w:lineRule="auto" w:after="0"/>
            </w:pPr>
            <w:r/>
            <w:r>
              <w:rPr>
                <w:rFonts w:ascii="Calibri" w:hAnsi="Calibri"/>
                <w:b w:val="0"/>
                <w:color w:val="526068"/>
                <w:sz w:val="15"/>
              </w:rPr>
              <w:t>docker-compose.override.yml — must match the tenant's</w:t>
            </w:r>
          </w:p>
        </w:tc>
      </w:tr>
    </w:tbl>
    <w:p>
      <w:pPr>
        <w:spacing w:after="60"/>
      </w:pPr>
    </w:p>
    <w:p>
      <w:pPr>
        <w:spacing w:before="0" w:after="140" w:line="307" w:lineRule="auto"/>
      </w:pPr>
      <w:r>
        <w:rPr>
          <w:rFonts w:ascii="Georgia" w:hAnsi="Georgia"/>
          <w:b w:val="0"/>
          <w:color w:val="526068"/>
          <w:sz w:val="19"/>
        </w:rPr>
        <w:t>Everything else on the Host is optional and degrades explicitly rather than crashing. STRIPE_SECRET_KEY and STRIPE_WEBHOOK_SECRET blank → billing runs mirror-only and skips live Stripe calls, logged. EMAIL_API_KEY blank → email is logged, not sent. STORAGE_* blank → local ./storage. You can do real work with all of them empty.</w:t>
      </w:r>
    </w:p>
    <w:tbl>
      <w:tblPr>
        <w:tblW w:type="auto" w:w="0"/>
        <w:tblLook w:firstColumn="1" w:firstRow="1" w:lastColumn="0" w:lastRow="0" w:noHBand="0" w:noVBand="1" w:val="04A0"/>
        <w:tblBorders>
          <w:top w:val="single" w:sz="2" w:space="0" w:color="FBF0E0"/>
          <w:left w:val="single" w:sz="2" w:space="0" w:color="FBF0E0"/>
          <w:bottom w:val="single" w:sz="2" w:space="0" w:color="FBF0E0"/>
          <w:right w:val="single" w:sz="2" w:space="0" w:color="FBF0E0"/>
          <w:insideH w:val="single" w:sz="2" w:space="0" w:color="FBF0E0"/>
          <w:insideV w:val="single" w:sz="2" w:space="0" w:color="FBF0E0"/>
        </w:tblBorders>
      </w:tblPr>
      <w:tblGrid>
        <w:gridCol w:w="10080"/>
      </w:tblGrid>
      <w:tr>
        <w:tc>
          <w:tcPr>
            <w:tcW w:type="dxa" w:w="10080"/>
            <w:shd w:val="clear" w:fill="FBF0E0"/>
          </w:tcPr>
          <w:p>
            <w:r/>
            <w:r>
              <w:rPr>
                <w:rFonts w:ascii="Calibri" w:hAnsi="Calibri"/>
                <w:b/>
                <w:color w:val="A56000"/>
                <w:sz w:val="14"/>
              </w:rPr>
              <w:t>DECISION, NOT AN ANSWER</w:t>
            </w:r>
          </w:p>
          <w:p>
            <w:pPr>
              <w:spacing w:before="60" w:line="302" w:lineRule="auto"/>
            </w:pPr>
            <w:r>
              <w:rPr>
                <w:rFonts w:ascii="Georgia" w:hAnsi="Georgia"/>
                <w:color w:val="172126"/>
                <w:sz w:val="17"/>
              </w:rPr>
              <w:t>How these nine values reach a new starter. Until a password manager or vault exists they are sent out of band, which is how the last set ended up in a document that syncs publicly. Creating a vault entry is a twenty-minute decision and it is the single cheapest item in this document.</w:t>
            </w:r>
          </w:p>
        </w:tc>
      </w:tr>
    </w:tbl>
    <w:p>
      <w:pPr>
        <w:spacing w:after="60"/>
      </w:pPr>
    </w:p>
    <w:p>
      <w:pPr>
        <w:spacing w:before="260" w:after="80" w:line="307" w:lineRule="auto"/>
      </w:pPr>
      <w:r>
        <w:rPr>
          <w:rFonts w:ascii="Calibri" w:hAnsi="Calibri"/>
          <w:b/>
          <w:color w:val="172126"/>
          <w:sz w:val="22"/>
        </w:rPr>
        <w:t>2.3  Database access is an SSH tunnel — and do not sign in through it</w:t>
      </w:r>
    </w:p>
    <w:p>
      <w:pPr>
        <w:spacing w:before="0" w:after="140" w:line="307" w:lineRule="auto"/>
      </w:pPr>
      <w:r>
        <w:rPr>
          <w:rFonts w:ascii="Georgia" w:hAnsi="Georgia"/>
          <w:b w:val="0"/>
          <w:color w:val="526068"/>
          <w:sz w:val="19"/>
        </w:rPr>
        <w:t>Every published port on both planes binds to 127.0.0.1. There is no direct database access and there should not be.</w:t>
      </w:r>
    </w:p>
    <w:tbl>
      <w:tblPr>
        <w:tblW w:type="auto" w:w="0"/>
        <w:jc w:val="left"/>
        <w:tblLook w:firstColumn="1" w:firstRow="1" w:lastColumn="0" w:lastRow="0" w:noHBand="0" w:noVBand="1" w:val="04A0"/>
        <w:tblBorders>
          <w:top w:val="single" w:sz="4" w:space="0" w:color="D8DEE2"/>
          <w:left w:val="single" w:sz="4" w:space="0" w:color="D8DEE2"/>
          <w:bottom w:val="single" w:sz="4" w:space="0" w:color="D8DEE2"/>
          <w:right w:val="single" w:sz="4" w:space="0" w:color="D8DEE2"/>
          <w:insideH w:val="single" w:sz="4" w:space="0" w:color="D8DEE2"/>
          <w:insideV w:val="single" w:sz="4" w:space="0" w:color="D8DEE2"/>
        </w:tblBorders>
      </w:tblPr>
      <w:tblGrid>
        <w:gridCol w:w="3360"/>
        <w:gridCol w:w="3360"/>
        <w:gridCol w:w="3360"/>
      </w:tblGrid>
      <w:tr>
        <w:tc>
          <w:tcPr>
            <w:tcW w:type="dxa" w:w="3456"/>
            <w:shd w:val="clear" w:fill="F0F3F4"/>
          </w:tcPr>
          <w:p>
            <w:r/>
            <w:r>
              <w:rPr>
                <w:rFonts w:ascii="Calibri" w:hAnsi="Calibri"/>
                <w:b/>
                <w:color w:val="667279"/>
                <w:sz w:val="13"/>
              </w:rPr>
              <w:t>SERVICE</w:t>
            </w:r>
          </w:p>
        </w:tc>
        <w:tc>
          <w:tcPr>
            <w:tcW w:type="dxa" w:w="3168"/>
            <w:shd w:val="clear" w:fill="F0F3F4"/>
          </w:tcPr>
          <w:p>
            <w:r/>
            <w:r>
              <w:rPr>
                <w:rFonts w:ascii="Calibri" w:hAnsi="Calibri"/>
                <w:b/>
                <w:color w:val="667279"/>
                <w:sz w:val="13"/>
              </w:rPr>
              <w:t>PUBLISHED</w:t>
            </w:r>
          </w:p>
        </w:tc>
        <w:tc>
          <w:tcPr>
            <w:tcW w:type="dxa" w:w="1728"/>
            <w:shd w:val="clear" w:fill="F0F3F4"/>
          </w:tcPr>
          <w:p>
            <w:r/>
            <w:r>
              <w:rPr>
                <w:rFonts w:ascii="Calibri" w:hAnsi="Calibri"/>
                <w:b/>
                <w:color w:val="667279"/>
                <w:sz w:val="13"/>
              </w:rPr>
              <w:t>PLANE</w:t>
            </w:r>
          </w:p>
        </w:tc>
      </w:tr>
      <w:tr>
        <w:tc>
          <w:tcPr>
            <w:tcW w:type="dxa" w:w="3456"/>
          </w:tcPr>
          <w:p>
            <w:pPr>
              <w:spacing w:line="278" w:lineRule="auto" w:after="0"/>
            </w:pPr>
            <w:r/>
            <w:r>
              <w:rPr>
                <w:rFonts w:ascii="Calibri" w:hAnsi="Calibri"/>
                <w:b/>
                <w:color w:val="172126"/>
                <w:sz w:val="15"/>
              </w:rPr>
              <w:t>Host console</w:t>
            </w:r>
          </w:p>
        </w:tc>
        <w:tc>
          <w:tcPr>
            <w:tcW w:type="dxa" w:w="3168"/>
          </w:tcPr>
          <w:p>
            <w:pPr>
              <w:spacing w:line="278" w:lineRule="auto" w:after="0"/>
            </w:pPr>
            <w:r/>
            <w:r>
              <w:rPr>
                <w:rFonts w:ascii="Consolas" w:hAnsi="Consolas"/>
                <w:b w:val="0"/>
                <w:color w:val="526068"/>
                <w:sz w:val="15"/>
              </w:rPr>
              <w:t>127.0.0.1:3000</w:t>
            </w:r>
          </w:p>
        </w:tc>
        <w:tc>
          <w:tcPr>
            <w:tcW w:type="dxa" w:w="1728"/>
          </w:tcPr>
          <w:p>
            <w:pPr>
              <w:spacing w:line="278" w:lineRule="auto" w:after="0"/>
            </w:pPr>
            <w:r/>
            <w:r>
              <w:rPr>
                <w:rFonts w:ascii="Calibri" w:hAnsi="Calibri"/>
                <w:b w:val="0"/>
                <w:color w:val="526068"/>
                <w:sz w:val="15"/>
              </w:rPr>
              <w:t>host</w:t>
            </w:r>
          </w:p>
        </w:tc>
      </w:tr>
      <w:tr>
        <w:tc>
          <w:tcPr>
            <w:tcW w:type="dxa" w:w="3456"/>
          </w:tcPr>
          <w:p>
            <w:pPr>
              <w:spacing w:line="278" w:lineRule="auto" w:after="0"/>
            </w:pPr>
            <w:r/>
            <w:r>
              <w:rPr>
                <w:rFonts w:ascii="Calibri" w:hAnsi="Calibri"/>
                <w:b/>
                <w:color w:val="172126"/>
                <w:sz w:val="15"/>
              </w:rPr>
              <w:t>Host MySQL</w:t>
            </w:r>
          </w:p>
        </w:tc>
        <w:tc>
          <w:tcPr>
            <w:tcW w:type="dxa" w:w="3168"/>
          </w:tcPr>
          <w:p>
            <w:pPr>
              <w:spacing w:line="278" w:lineRule="auto" w:after="0"/>
            </w:pPr>
            <w:r/>
            <w:r>
              <w:rPr>
                <w:rFonts w:ascii="Consolas" w:hAnsi="Consolas"/>
                <w:b w:val="0"/>
                <w:color w:val="526068"/>
                <w:sz w:val="15"/>
              </w:rPr>
              <w:t>127.0.0.1:3307</w:t>
            </w:r>
          </w:p>
        </w:tc>
        <w:tc>
          <w:tcPr>
            <w:tcW w:type="dxa" w:w="1728"/>
          </w:tcPr>
          <w:p>
            <w:pPr>
              <w:spacing w:line="278" w:lineRule="auto" w:after="0"/>
            </w:pPr>
            <w:r/>
            <w:r>
              <w:rPr>
                <w:rFonts w:ascii="Calibri" w:hAnsi="Calibri"/>
                <w:b w:val="0"/>
                <w:color w:val="526068"/>
                <w:sz w:val="15"/>
              </w:rPr>
              <w:t>host</w:t>
            </w:r>
          </w:p>
        </w:tc>
      </w:tr>
      <w:tr>
        <w:tc>
          <w:tcPr>
            <w:tcW w:type="dxa" w:w="3456"/>
          </w:tcPr>
          <w:p>
            <w:pPr>
              <w:spacing w:line="278" w:lineRule="auto" w:after="0"/>
            </w:pPr>
            <w:r/>
            <w:r>
              <w:rPr>
                <w:rFonts w:ascii="Calibri" w:hAnsi="Calibri"/>
                <w:b/>
                <w:color w:val="172126"/>
                <w:sz w:val="15"/>
              </w:rPr>
              <w:t>Tenant workspace</w:t>
            </w:r>
          </w:p>
        </w:tc>
        <w:tc>
          <w:tcPr>
            <w:tcW w:type="dxa" w:w="3168"/>
          </w:tcPr>
          <w:p>
            <w:pPr>
              <w:spacing w:line="278" w:lineRule="auto" w:after="0"/>
            </w:pPr>
            <w:r/>
            <w:r>
              <w:rPr>
                <w:rFonts w:ascii="Consolas" w:hAnsi="Consolas"/>
                <w:b w:val="0"/>
                <w:color w:val="526068"/>
                <w:sz w:val="15"/>
              </w:rPr>
              <w:t>127.0.0.1:3100</w:t>
            </w:r>
          </w:p>
        </w:tc>
        <w:tc>
          <w:tcPr>
            <w:tcW w:type="dxa" w:w="1728"/>
          </w:tcPr>
          <w:p>
            <w:pPr>
              <w:spacing w:line="278" w:lineRule="auto" w:after="0"/>
            </w:pPr>
            <w:r/>
            <w:r>
              <w:rPr>
                <w:rFonts w:ascii="Calibri" w:hAnsi="Calibri"/>
                <w:b w:val="0"/>
                <w:color w:val="526068"/>
                <w:sz w:val="15"/>
              </w:rPr>
              <w:t>tenant</w:t>
            </w:r>
          </w:p>
        </w:tc>
      </w:tr>
      <w:tr>
        <w:tc>
          <w:tcPr>
            <w:tcW w:type="dxa" w:w="3456"/>
          </w:tcPr>
          <w:p>
            <w:pPr>
              <w:spacing w:line="278" w:lineRule="auto" w:after="0"/>
            </w:pPr>
            <w:r/>
            <w:r>
              <w:rPr>
                <w:rFonts w:ascii="Calibri" w:hAnsi="Calibri"/>
                <w:b/>
                <w:color w:val="172126"/>
                <w:sz w:val="15"/>
              </w:rPr>
              <w:t>Tenant MySQL</w:t>
            </w:r>
          </w:p>
        </w:tc>
        <w:tc>
          <w:tcPr>
            <w:tcW w:type="dxa" w:w="3168"/>
          </w:tcPr>
          <w:p>
            <w:pPr>
              <w:spacing w:line="278" w:lineRule="auto" w:after="0"/>
            </w:pPr>
            <w:r/>
            <w:r>
              <w:rPr>
                <w:rFonts w:ascii="Consolas" w:hAnsi="Consolas"/>
                <w:b w:val="0"/>
                <w:color w:val="526068"/>
                <w:sz w:val="15"/>
              </w:rPr>
              <w:t>127.0.0.1:3308</w:t>
            </w:r>
          </w:p>
        </w:tc>
        <w:tc>
          <w:tcPr>
            <w:tcW w:type="dxa" w:w="1728"/>
          </w:tcPr>
          <w:p>
            <w:pPr>
              <w:spacing w:line="278" w:lineRule="auto" w:after="0"/>
            </w:pPr>
            <w:r/>
            <w:r>
              <w:rPr>
                <w:rFonts w:ascii="Calibri" w:hAnsi="Calibri"/>
                <w:b w:val="0"/>
                <w:color w:val="526068"/>
                <w:sz w:val="15"/>
              </w:rPr>
              <w:t>tenant</w:t>
            </w:r>
          </w:p>
        </w:tc>
      </w:tr>
      <w:tr>
        <w:tc>
          <w:tcPr>
            <w:tcW w:type="dxa" w:w="3456"/>
          </w:tcPr>
          <w:p>
            <w:pPr>
              <w:spacing w:line="278" w:lineRule="auto" w:after="0"/>
            </w:pPr>
            <w:r/>
            <w:r>
              <w:rPr>
                <w:rFonts w:ascii="Calibri" w:hAnsi="Calibri"/>
                <w:b/>
                <w:color w:val="172126"/>
                <w:sz w:val="15"/>
              </w:rPr>
              <w:t>Tenant phpMyAdmin</w:t>
            </w:r>
          </w:p>
        </w:tc>
        <w:tc>
          <w:tcPr>
            <w:tcW w:type="dxa" w:w="3168"/>
          </w:tcPr>
          <w:p>
            <w:pPr>
              <w:spacing w:line="278" w:lineRule="auto" w:after="0"/>
            </w:pPr>
            <w:r/>
            <w:r>
              <w:rPr>
                <w:rFonts w:ascii="Consolas" w:hAnsi="Consolas"/>
                <w:b w:val="0"/>
                <w:color w:val="526068"/>
                <w:sz w:val="15"/>
              </w:rPr>
              <w:t>127.0.0.1:8081</w:t>
            </w:r>
          </w:p>
        </w:tc>
        <w:tc>
          <w:tcPr>
            <w:tcW w:type="dxa" w:w="1728"/>
          </w:tcPr>
          <w:p>
            <w:pPr>
              <w:spacing w:line="278" w:lineRule="auto" w:after="0"/>
            </w:pPr>
            <w:r/>
            <w:r>
              <w:rPr>
                <w:rFonts w:ascii="Calibri" w:hAnsi="Calibri"/>
                <w:b w:val="0"/>
                <w:color w:val="526068"/>
                <w:sz w:val="15"/>
              </w:rPr>
              <w:t>tenant</w:t>
            </w:r>
          </w:p>
        </w:tc>
      </w:tr>
      <w:tr>
        <w:tc>
          <w:tcPr>
            <w:tcW w:type="dxa" w:w="3456"/>
          </w:tcPr>
          <w:p>
            <w:pPr>
              <w:spacing w:line="278" w:lineRule="auto" w:after="0"/>
            </w:pPr>
            <w:r/>
            <w:r>
              <w:rPr>
                <w:rFonts w:ascii="Calibri" w:hAnsi="Calibri"/>
                <w:b/>
                <w:color w:val="172126"/>
                <w:sz w:val="15"/>
              </w:rPr>
              <w:t>Worker /claude proxy</w:t>
            </w:r>
          </w:p>
        </w:tc>
        <w:tc>
          <w:tcPr>
            <w:tcW w:type="dxa" w:w="3168"/>
          </w:tcPr>
          <w:p>
            <w:pPr>
              <w:spacing w:line="278" w:lineRule="auto" w:after="0"/>
            </w:pPr>
            <w:r/>
            <w:r>
              <w:rPr>
                <w:rFonts w:ascii="Consolas" w:hAnsi="Consolas"/>
                <w:b w:val="0"/>
                <w:color w:val="526068"/>
                <w:sz w:val="15"/>
              </w:rPr>
              <w:t>127.0.0.1:4000</w:t>
            </w:r>
          </w:p>
        </w:tc>
        <w:tc>
          <w:tcPr>
            <w:tcW w:type="dxa" w:w="1728"/>
          </w:tcPr>
          <w:p>
            <w:pPr>
              <w:spacing w:line="278" w:lineRule="auto" w:after="0"/>
            </w:pPr>
            <w:r/>
            <w:r>
              <w:rPr>
                <w:rFonts w:ascii="Calibri" w:hAnsi="Calibri"/>
                <w:b w:val="0"/>
                <w:color w:val="526068"/>
                <w:sz w:val="15"/>
              </w:rPr>
              <w:t>tenant</w:t>
            </w:r>
          </w:p>
        </w:tc>
      </w:tr>
    </w:tbl>
    <w:p>
      <w:pPr>
        <w:spacing w:after="60"/>
      </w:pPr>
    </w:p>
    <w:tbl>
      <w:tblPr>
        <w:tblW w:type="auto" w:w="0"/>
        <w:tblLook w:firstColumn="1" w:firstRow="1" w:lastColumn="0" w:lastRow="0" w:noHBand="0" w:noVBand="1" w:val="04A0"/>
        <w:tblBorders>
          <w:top w:val="single" w:sz="2" w:space="0" w:color="E7EBEE"/>
          <w:left w:val="single" w:sz="2" w:space="0" w:color="E7EBEE"/>
          <w:bottom w:val="single" w:sz="2" w:space="0" w:color="E7EBEE"/>
          <w:right w:val="single" w:sz="2" w:space="0" w:color="E7EBEE"/>
          <w:insideH w:val="single" w:sz="2" w:space="0" w:color="E7EBEE"/>
          <w:insideV w:val="single" w:sz="2" w:space="0" w:color="E7EBEE"/>
        </w:tblBorders>
      </w:tblPr>
      <w:tblGrid>
        <w:gridCol w:w="10080"/>
      </w:tblGrid>
      <w:tr>
        <w:tc>
          <w:tcPr>
            <w:tcW w:type="dxa" w:w="10080"/>
            <w:shd w:val="clear" w:fill="F5F7F8"/>
          </w:tcPr>
          <w:p>
            <w:pPr>
              <w:spacing w:line="288" w:lineRule="auto"/>
            </w:pPr>
            <w:r/>
            <w:r>
              <w:rPr>
                <w:rFonts w:ascii="Consolas" w:hAnsi="Consolas"/>
                <w:color w:val="172126"/>
                <w:sz w:val="16"/>
              </w:rPr>
              <w:t>ssh -N \</w:t>
              <w:br/>
              <w:t xml:space="preserve">  -L 3307:127.0.0.1:3307 \</w:t>
              <w:br/>
              <w:t xml:space="preserve">  -L 3308:127.0.0.1:3308 \</w:t>
              <w:br/>
              <w:t xml:space="preserve">  -L 8081:127.0.0.1:8081 \</w:t>
              <w:br/>
              <w:t xml:space="preserve">  root@74.208.182.201</w:t>
              <w:br/>
              <w:br/>
              <w:t># then point your client at 127.0.0.1:3308 for the tenant database</w:t>
            </w:r>
          </w:p>
        </w:tc>
      </w:tr>
    </w:tbl>
    <w:p>
      <w:pPr>
        <w:spacing w:after="40"/>
      </w:pPr>
    </w:p>
    <w:tbl>
      <w:tblPr>
        <w:tblW w:type="auto" w:w="0"/>
        <w:tblLook w:firstColumn="1" w:firstRow="1" w:lastColumn="0" w:lastRow="0" w:noHBand="0" w:noVBand="1" w:val="04A0"/>
        <w:tblBorders>
          <w:top w:val="single" w:sz="2" w:space="0" w:color="FBEAE8"/>
          <w:left w:val="single" w:sz="2" w:space="0" w:color="FBEAE8"/>
          <w:bottom w:val="single" w:sz="2" w:space="0" w:color="FBEAE8"/>
          <w:right w:val="single" w:sz="2" w:space="0" w:color="FBEAE8"/>
          <w:insideH w:val="single" w:sz="2" w:space="0" w:color="FBEAE8"/>
          <w:insideV w:val="single" w:sz="2" w:space="0" w:color="FBEAE8"/>
        </w:tblBorders>
      </w:tblPr>
      <w:tblGrid>
        <w:gridCol w:w="10080"/>
      </w:tblGrid>
      <w:tr>
        <w:tc>
          <w:tcPr>
            <w:tcW w:type="dxa" w:w="10080"/>
            <w:shd w:val="clear" w:fill="FBEAE8"/>
          </w:tcPr>
          <w:p>
            <w:r/>
            <w:r>
              <w:rPr>
                <w:rFonts w:ascii="Calibri" w:hAnsi="Calibri"/>
                <w:b/>
                <w:color w:val="B42318"/>
                <w:sz w:val="14"/>
              </w:rPr>
              <w:t>THE TUNNEL IS FOR DATA, NOT FOR SIGNING IN</w:t>
            </w:r>
          </w:p>
          <w:p>
            <w:pPr>
              <w:spacing w:before="60" w:line="302" w:lineRule="auto"/>
            </w:pPr>
            <w:r>
              <w:rPr>
                <w:rFonts w:ascii="Georgia" w:hAnsi="Georgia"/>
                <w:color w:val="172126"/>
                <w:sz w:val="17"/>
              </w:rPr>
              <w:t>Do NOT open the app at http://127.0.0.1:3100. Better Auth CSRF-checks the request Origin against BETTER_AUTH_URL, which on the server is the public origin — so signing in through the tunnel fails the origin check and returns something that reads as bad credentials. Use https://app.preckon.com for the app and the tunnel for the databases, phpMyAdmin and the worker proxy.</w:t>
            </w:r>
          </w:p>
        </w:tc>
      </w:tr>
    </w:tbl>
    <w:p>
      <w:pPr>
        <w:spacing w:after="60"/>
      </w:pPr>
    </w:p>
    <w:tbl>
      <w:tblPr>
        <w:tblW w:type="auto" w:w="0"/>
        <w:tblLook w:firstColumn="1" w:firstRow="1" w:lastColumn="0" w:lastRow="0" w:noHBand="0" w:noVBand="1" w:val="04A0"/>
        <w:tblBorders>
          <w:top w:val="single" w:sz="2" w:space="0" w:color="FBF0E0"/>
          <w:left w:val="single" w:sz="2" w:space="0" w:color="FBF0E0"/>
          <w:bottom w:val="single" w:sz="2" w:space="0" w:color="FBF0E0"/>
          <w:right w:val="single" w:sz="2" w:space="0" w:color="FBF0E0"/>
          <w:insideH w:val="single" w:sz="2" w:space="0" w:color="FBF0E0"/>
          <w:insideV w:val="single" w:sz="2" w:space="0" w:color="FBF0E0"/>
        </w:tblBorders>
      </w:tblPr>
      <w:tblGrid>
        <w:gridCol w:w="10080"/>
      </w:tblGrid>
      <w:tr>
        <w:tc>
          <w:tcPr>
            <w:tcW w:type="dxa" w:w="10080"/>
            <w:shd w:val="clear" w:fill="FBF0E0"/>
          </w:tcPr>
          <w:p>
            <w:r/>
            <w:r>
              <w:rPr>
                <w:rFonts w:ascii="Calibri" w:hAnsi="Calibri"/>
                <w:b/>
                <w:color w:val="A56000"/>
                <w:sz w:val="14"/>
              </w:rPr>
              <w:t>DO NOT 'FIX' THE BIND ADDRESSES</w:t>
            </w:r>
          </w:p>
          <w:p>
            <w:pPr>
              <w:spacing w:before="60" w:line="302" w:lineRule="auto"/>
            </w:pPr>
            <w:r>
              <w:rPr>
                <w:rFonts w:ascii="Georgia" w:hAnsi="Georgia"/>
                <w:color w:val="172126"/>
                <w:sz w:val="17"/>
              </w:rPr>
              <w:t>Docker writes its own iptables rules AHEAD of ufw's, so a published container port stays reachable from the internet even when ufw status reports it denied — the firewall reports success and the port is open. For anything in a compose file the bind address is the only control we own. Widening 3307 or 3308 to save a tunnel puts MySQL on the internet.</w:t>
            </w:r>
          </w:p>
        </w:tc>
      </w:tr>
    </w:tbl>
    <w:p>
      <w:pPr>
        <w:spacing w:after="60"/>
      </w:pPr>
    </w:p>
    <w:p>
      <w:pPr>
        <w:spacing w:before="260" w:after="80" w:line="307" w:lineRule="auto"/>
      </w:pPr>
      <w:r>
        <w:rPr>
          <w:rFonts w:ascii="Calibri" w:hAnsi="Calibri"/>
          <w:b/>
          <w:color w:val="172126"/>
          <w:sz w:val="22"/>
        </w:rPr>
        <w:t>2.4  The one cross-plane constraint</w:t>
      </w:r>
    </w:p>
    <w:p>
      <w:pPr>
        <w:spacing w:before="0" w:after="140" w:line="307" w:lineRule="auto"/>
      </w:pPr>
      <w:r>
        <w:rPr>
          <w:rFonts w:ascii="Georgia" w:hAnsi="Georgia"/>
          <w:b w:val="0"/>
          <w:color w:val="526068"/>
          <w:sz w:val="19"/>
        </w:rPr>
        <w:t>INTERNAL_SERVICE_TOKEN must be the same string on both planes. The Host provisions tenants by calling the tenant plane's /api/internal/tenants/{id}/bootstrap with its own token as a bearer credential (preckon-host/src/lib/integrations.ts:109), and the tenant validates it against its own value. If the two differ, tenant creation fails with a 401 and nothing else looks wrong. The same token gates the tenant's whole /internal surface — job callbacks from the worker, and both seed scripts.</w:t>
      </w:r>
    </w:p>
    <w:p>
      <w:r>
        <w:br w:type="page"/>
      </w:r>
    </w:p>
    <w:p>
      <w:pPr>
        <w:spacing w:before="0" w:after="60" w:line="307" w:lineRule="auto"/>
      </w:pPr>
      <w:r>
        <w:rPr>
          <w:rFonts w:ascii="Consolas" w:hAnsi="Consolas"/>
          <w:b/>
          <w:color w:val="087E75"/>
          <w:sz w:val="15"/>
        </w:rPr>
        <w:t>PART 3</w:t>
      </w:r>
    </w:p>
    <w:p>
      <w:pPr>
        <w:spacing w:before="0" w:after="160" w:line="252" w:lineRule="auto"/>
      </w:pPr>
      <w:r>
        <w:rPr>
          <w:rFonts w:ascii="Georgia" w:hAnsi="Georgia"/>
          <w:b/>
          <w:color w:val="172126"/>
          <w:sz w:val="38"/>
        </w:rPr>
        <w:t>Running it</w:t>
      </w:r>
    </w:p>
    <w:p>
      <w:pPr>
        <w:spacing w:before="0" w:after="200" w:line="307" w:lineRule="auto"/>
      </w:pPr>
      <w:r>
        <w:rPr>
          <w:rFonts w:ascii="Georgia" w:hAnsi="Georgia"/>
          <w:b w:val="0"/>
          <w:color w:val="526068"/>
          <w:sz w:val="21"/>
        </w:rPr>
        <w:t>Locally, for development, and on the server. Including the one thing that stops every new starter: the seed does not create a login.</w:t>
      </w:r>
    </w:p>
    <w:p>
      <w:pPr>
        <w:spacing w:before="260" w:after="80" w:line="307" w:lineRule="auto"/>
      </w:pPr>
      <w:r>
        <w:rPr>
          <w:rFonts w:ascii="Calibri" w:hAnsi="Calibri"/>
          <w:b/>
          <w:color w:val="172126"/>
          <w:sz w:val="22"/>
        </w:rPr>
        <w:t>3.1  Local — the whole stack in Docker</w:t>
      </w:r>
    </w:p>
    <w:tbl>
      <w:tblPr>
        <w:tblW w:type="auto" w:w="0"/>
        <w:tblLook w:firstColumn="1" w:firstRow="1" w:lastColumn="0" w:lastRow="0" w:noHBand="0" w:noVBand="1" w:val="04A0"/>
        <w:tblBorders>
          <w:top w:val="single" w:sz="2" w:space="0" w:color="E7EBEE"/>
          <w:left w:val="single" w:sz="2" w:space="0" w:color="E7EBEE"/>
          <w:bottom w:val="single" w:sz="2" w:space="0" w:color="E7EBEE"/>
          <w:right w:val="single" w:sz="2" w:space="0" w:color="E7EBEE"/>
          <w:insideH w:val="single" w:sz="2" w:space="0" w:color="E7EBEE"/>
          <w:insideV w:val="single" w:sz="2" w:space="0" w:color="E7EBEE"/>
        </w:tblBorders>
      </w:tblPr>
      <w:tblGrid>
        <w:gridCol w:w="10080"/>
      </w:tblGrid>
      <w:tr>
        <w:tc>
          <w:tcPr>
            <w:tcW w:type="dxa" w:w="10080"/>
            <w:shd w:val="clear" w:fill="F5F7F8"/>
          </w:tcPr>
          <w:p>
            <w:pPr>
              <w:spacing w:line="288" w:lineRule="auto"/>
            </w:pPr>
            <w:r/>
            <w:r>
              <w:rPr>
                <w:rFonts w:ascii="Consolas" w:hAnsi="Consolas"/>
                <w:color w:val="172126"/>
                <w:sz w:val="16"/>
              </w:rPr>
              <w:t>cd preckon-tenant</w:t>
              <w:br/>
              <w:t>cp .env.example .env          # then fill in the four required values</w:t>
              <w:br/>
              <w:t>docker compose up --build -d  # db · phpmyadmin · app · worker · cad</w:t>
              <w:br/>
              <w:t>docker compose --profile tools run --rm seed    # registers the pack catalog</w:t>
            </w:r>
          </w:p>
        </w:tc>
      </w:tr>
    </w:tbl>
    <w:p>
      <w:pPr>
        <w:spacing w:after="40"/>
      </w:pPr>
    </w:p>
    <w:tbl>
      <w:tblPr>
        <w:tblW w:type="auto" w:w="0"/>
        <w:jc w:val="left"/>
        <w:tblLook w:firstColumn="1" w:firstRow="1" w:lastColumn="0" w:lastRow="0" w:noHBand="0" w:noVBand="1" w:val="04A0"/>
        <w:tblBorders>
          <w:top w:val="single" w:sz="4" w:space="0" w:color="D8DEE2"/>
          <w:left w:val="single" w:sz="4" w:space="0" w:color="D8DEE2"/>
          <w:bottom w:val="single" w:sz="4" w:space="0" w:color="D8DEE2"/>
          <w:right w:val="single" w:sz="4" w:space="0" w:color="D8DEE2"/>
          <w:insideH w:val="single" w:sz="4" w:space="0" w:color="D8DEE2"/>
          <w:insideV w:val="single" w:sz="4" w:space="0" w:color="D8DEE2"/>
        </w:tblBorders>
      </w:tblPr>
      <w:tblGrid>
        <w:gridCol w:w="3360"/>
        <w:gridCol w:w="3360"/>
        <w:gridCol w:w="3360"/>
      </w:tblGrid>
      <w:tr>
        <w:tc>
          <w:tcPr>
            <w:tcW w:type="dxa" w:w="2160"/>
            <w:shd w:val="clear" w:fill="F0F3F4"/>
          </w:tcPr>
          <w:p>
            <w:r/>
            <w:r>
              <w:rPr>
                <w:rFonts w:ascii="Calibri" w:hAnsi="Calibri"/>
                <w:b/>
                <w:color w:val="667279"/>
                <w:sz w:val="13"/>
              </w:rPr>
              <w:t>WHAT</w:t>
            </w:r>
          </w:p>
        </w:tc>
        <w:tc>
          <w:tcPr>
            <w:tcW w:type="dxa" w:w="2880"/>
            <w:shd w:val="clear" w:fill="F0F3F4"/>
          </w:tcPr>
          <w:p>
            <w:r/>
            <w:r>
              <w:rPr>
                <w:rFonts w:ascii="Calibri" w:hAnsi="Calibri"/>
                <w:b/>
                <w:color w:val="667279"/>
                <w:sz w:val="13"/>
              </w:rPr>
              <w:t>URL</w:t>
            </w:r>
          </w:p>
        </w:tc>
        <w:tc>
          <w:tcPr>
            <w:tcW w:type="dxa" w:w="4392"/>
            <w:shd w:val="clear" w:fill="F0F3F4"/>
          </w:tcPr>
          <w:p>
            <w:r/>
            <w:r>
              <w:rPr>
                <w:rFonts w:ascii="Calibri" w:hAnsi="Calibri"/>
                <w:b/>
                <w:color w:val="667279"/>
                <w:sz w:val="13"/>
              </w:rPr>
              <w:t>NOTES</w:t>
            </w:r>
          </w:p>
        </w:tc>
      </w:tr>
      <w:tr>
        <w:tc>
          <w:tcPr>
            <w:tcW w:type="dxa" w:w="2160"/>
          </w:tcPr>
          <w:p>
            <w:pPr>
              <w:spacing w:line="278" w:lineRule="auto" w:after="0"/>
            </w:pPr>
            <w:r/>
            <w:r>
              <w:rPr>
                <w:rFonts w:ascii="Calibri" w:hAnsi="Calibri"/>
                <w:b/>
                <w:color w:val="172126"/>
                <w:sz w:val="15"/>
              </w:rPr>
              <w:t>Tenant workspace</w:t>
            </w:r>
          </w:p>
        </w:tc>
        <w:tc>
          <w:tcPr>
            <w:tcW w:type="dxa" w:w="2880"/>
          </w:tcPr>
          <w:p>
            <w:pPr>
              <w:spacing w:line="278" w:lineRule="auto" w:after="0"/>
            </w:pPr>
            <w:r/>
            <w:r>
              <w:rPr>
                <w:rFonts w:ascii="Consolas" w:hAnsi="Consolas"/>
                <w:b w:val="0"/>
                <w:color w:val="526068"/>
                <w:sz w:val="15"/>
              </w:rPr>
              <w:t>http://localhost:3100</w:t>
            </w:r>
          </w:p>
        </w:tc>
        <w:tc>
          <w:tcPr>
            <w:tcW w:type="dxa" w:w="4392"/>
          </w:tcPr>
          <w:p>
            <w:pPr>
              <w:spacing w:line="278" w:lineRule="auto" w:after="0"/>
            </w:pPr>
            <w:r/>
            <w:r>
              <w:rPr>
                <w:rFonts w:ascii="Calibri" w:hAnsi="Calibri"/>
                <w:b w:val="0"/>
                <w:color w:val="526068"/>
                <w:sz w:val="15"/>
              </w:rPr>
              <w:t>See §3.4 — the seed above gives you no login</w:t>
            </w:r>
          </w:p>
        </w:tc>
      </w:tr>
      <w:tr>
        <w:tc>
          <w:tcPr>
            <w:tcW w:type="dxa" w:w="2160"/>
          </w:tcPr>
          <w:p>
            <w:pPr>
              <w:spacing w:line="278" w:lineRule="auto" w:after="0"/>
            </w:pPr>
            <w:r/>
            <w:r>
              <w:rPr>
                <w:rFonts w:ascii="Calibri" w:hAnsi="Calibri"/>
                <w:b/>
                <w:color w:val="172126"/>
                <w:sz w:val="15"/>
              </w:rPr>
              <w:t>Host console</w:t>
            </w:r>
          </w:p>
        </w:tc>
        <w:tc>
          <w:tcPr>
            <w:tcW w:type="dxa" w:w="2880"/>
          </w:tcPr>
          <w:p>
            <w:pPr>
              <w:spacing w:line="278" w:lineRule="auto" w:after="0"/>
            </w:pPr>
            <w:r/>
            <w:r>
              <w:rPr>
                <w:rFonts w:ascii="Consolas" w:hAnsi="Consolas"/>
                <w:b w:val="0"/>
                <w:color w:val="526068"/>
                <w:sz w:val="15"/>
              </w:rPr>
              <w:t>http://localhost:3000</w:t>
            </w:r>
          </w:p>
        </w:tc>
        <w:tc>
          <w:tcPr>
            <w:tcW w:type="dxa" w:w="4392"/>
          </w:tcPr>
          <w:p>
            <w:pPr>
              <w:spacing w:line="278" w:lineRule="auto" w:after="0"/>
            </w:pPr>
            <w:r/>
            <w:r>
              <w:rPr>
                <w:rFonts w:ascii="Calibri" w:hAnsi="Calibri"/>
                <w:b w:val="0"/>
                <w:color w:val="526068"/>
                <w:sz w:val="15"/>
              </w:rPr>
              <w:t>npm run seed:owner creates the first staff account</w:t>
            </w:r>
          </w:p>
        </w:tc>
      </w:tr>
      <w:tr>
        <w:tc>
          <w:tcPr>
            <w:tcW w:type="dxa" w:w="2160"/>
          </w:tcPr>
          <w:p>
            <w:pPr>
              <w:spacing w:line="278" w:lineRule="auto" w:after="0"/>
            </w:pPr>
            <w:r/>
            <w:r>
              <w:rPr>
                <w:rFonts w:ascii="Calibri" w:hAnsi="Calibri"/>
                <w:b/>
                <w:color w:val="172126"/>
                <w:sz w:val="15"/>
              </w:rPr>
              <w:t>phpMyAdmin</w:t>
            </w:r>
          </w:p>
        </w:tc>
        <w:tc>
          <w:tcPr>
            <w:tcW w:type="dxa" w:w="2880"/>
          </w:tcPr>
          <w:p>
            <w:pPr>
              <w:spacing w:line="278" w:lineRule="auto" w:after="0"/>
            </w:pPr>
            <w:r/>
            <w:r>
              <w:rPr>
                <w:rFonts w:ascii="Consolas" w:hAnsi="Consolas"/>
                <w:b w:val="0"/>
                <w:color w:val="526068"/>
                <w:sz w:val="15"/>
              </w:rPr>
              <w:t>http://localhost:8081</w:t>
            </w:r>
          </w:p>
        </w:tc>
        <w:tc>
          <w:tcPr>
            <w:tcW w:type="dxa" w:w="4392"/>
          </w:tcPr>
          <w:p>
            <w:pPr>
              <w:spacing w:line="278" w:lineRule="auto" w:after="0"/>
            </w:pPr>
            <w:r/>
            <w:r>
              <w:rPr>
                <w:rFonts w:ascii="Calibri" w:hAnsi="Calibri"/>
                <w:b w:val="0"/>
                <w:color w:val="526068"/>
                <w:sz w:val="15"/>
              </w:rPr>
              <w:t>server db, user root, password from your .env</w:t>
            </w:r>
          </w:p>
        </w:tc>
      </w:tr>
      <w:tr>
        <w:tc>
          <w:tcPr>
            <w:tcW w:type="dxa" w:w="2160"/>
          </w:tcPr>
          <w:p>
            <w:pPr>
              <w:spacing w:line="278" w:lineRule="auto" w:after="0"/>
            </w:pPr>
            <w:r/>
            <w:r>
              <w:rPr>
                <w:rFonts w:ascii="Calibri" w:hAnsi="Calibri"/>
                <w:b/>
                <w:color w:val="172126"/>
                <w:sz w:val="15"/>
              </w:rPr>
              <w:t>Tenant MySQL</w:t>
            </w:r>
          </w:p>
        </w:tc>
        <w:tc>
          <w:tcPr>
            <w:tcW w:type="dxa" w:w="2880"/>
          </w:tcPr>
          <w:p>
            <w:pPr>
              <w:spacing w:line="278" w:lineRule="auto" w:after="0"/>
            </w:pPr>
            <w:r/>
            <w:r>
              <w:rPr>
                <w:rFonts w:ascii="Consolas" w:hAnsi="Consolas"/>
                <w:b w:val="0"/>
                <w:color w:val="526068"/>
                <w:sz w:val="15"/>
              </w:rPr>
              <w:t>localhost:3308</w:t>
            </w:r>
          </w:p>
        </w:tc>
        <w:tc>
          <w:tcPr>
            <w:tcW w:type="dxa" w:w="4392"/>
          </w:tcPr>
          <w:p>
            <w:pPr>
              <w:spacing w:line="278" w:lineRule="auto" w:after="0"/>
            </w:pPr>
            <w:r/>
            <w:r>
              <w:rPr>
                <w:rFonts w:ascii="Calibri" w:hAnsi="Calibri"/>
                <w:b w:val="0"/>
                <w:color w:val="526068"/>
                <w:sz w:val="15"/>
              </w:rPr>
              <w:t>database preckon_tenant</w:t>
            </w:r>
          </w:p>
        </w:tc>
      </w:tr>
      <w:tr>
        <w:tc>
          <w:tcPr>
            <w:tcW w:type="dxa" w:w="2160"/>
          </w:tcPr>
          <w:p>
            <w:pPr>
              <w:spacing w:line="278" w:lineRule="auto" w:after="0"/>
            </w:pPr>
            <w:r/>
            <w:r>
              <w:rPr>
                <w:rFonts w:ascii="Calibri" w:hAnsi="Calibri"/>
                <w:b/>
                <w:color w:val="172126"/>
                <w:sz w:val="15"/>
              </w:rPr>
              <w:t>Host MySQL</w:t>
            </w:r>
          </w:p>
        </w:tc>
        <w:tc>
          <w:tcPr>
            <w:tcW w:type="dxa" w:w="2880"/>
          </w:tcPr>
          <w:p>
            <w:pPr>
              <w:spacing w:line="278" w:lineRule="auto" w:after="0"/>
            </w:pPr>
            <w:r/>
            <w:r>
              <w:rPr>
                <w:rFonts w:ascii="Consolas" w:hAnsi="Consolas"/>
                <w:b w:val="0"/>
                <w:color w:val="526068"/>
                <w:sz w:val="15"/>
              </w:rPr>
              <w:t>localhost:3307</w:t>
            </w:r>
          </w:p>
        </w:tc>
        <w:tc>
          <w:tcPr>
            <w:tcW w:type="dxa" w:w="4392"/>
          </w:tcPr>
          <w:p>
            <w:pPr>
              <w:spacing w:line="278" w:lineRule="auto" w:after="0"/>
            </w:pPr>
            <w:r/>
            <w:r>
              <w:rPr>
                <w:rFonts w:ascii="Calibri" w:hAnsi="Calibri"/>
                <w:b w:val="0"/>
                <w:color w:val="526068"/>
                <w:sz w:val="15"/>
              </w:rPr>
              <w:t>database preckon_host</w:t>
            </w:r>
          </w:p>
        </w:tc>
      </w:tr>
      <w:tr>
        <w:tc>
          <w:tcPr>
            <w:tcW w:type="dxa" w:w="2160"/>
          </w:tcPr>
          <w:p>
            <w:pPr>
              <w:spacing w:line="278" w:lineRule="auto" w:after="0"/>
            </w:pPr>
            <w:r/>
            <w:r>
              <w:rPr>
                <w:rFonts w:ascii="Calibri" w:hAnsi="Calibri"/>
                <w:b/>
                <w:color w:val="172126"/>
                <w:sz w:val="15"/>
              </w:rPr>
              <w:t>Worker health</w:t>
            </w:r>
          </w:p>
        </w:tc>
        <w:tc>
          <w:tcPr>
            <w:tcW w:type="dxa" w:w="2880"/>
          </w:tcPr>
          <w:p>
            <w:pPr>
              <w:spacing w:line="278" w:lineRule="auto" w:after="0"/>
            </w:pPr>
            <w:r/>
            <w:r>
              <w:rPr>
                <w:rFonts w:ascii="Consolas" w:hAnsi="Consolas"/>
                <w:b w:val="0"/>
                <w:color w:val="526068"/>
                <w:sz w:val="15"/>
              </w:rPr>
              <w:t>http://localhost:4000/healthz</w:t>
            </w:r>
          </w:p>
        </w:tc>
        <w:tc>
          <w:tcPr>
            <w:tcW w:type="dxa" w:w="4392"/>
          </w:tcPr>
          <w:p>
            <w:pPr>
              <w:spacing w:line="278" w:lineRule="auto" w:after="0"/>
            </w:pPr>
            <w:r/>
            <w:r>
              <w:rPr>
                <w:rFonts w:ascii="Calibri" w:hAnsi="Calibri"/>
                <w:b w:val="0"/>
                <w:color w:val="526068"/>
                <w:sz w:val="15"/>
              </w:rPr>
              <w:t>stateless, no DB access</w:t>
            </w:r>
          </w:p>
        </w:tc>
      </w:tr>
    </w:tbl>
    <w:p>
      <w:pPr>
        <w:spacing w:after="60"/>
      </w:pPr>
    </w:p>
    <w:p>
      <w:pPr>
        <w:spacing w:before="260" w:after="80" w:line="307" w:lineRule="auto"/>
      </w:pPr>
      <w:r>
        <w:rPr>
          <w:rFonts w:ascii="Calibri" w:hAnsi="Calibri"/>
          <w:b/>
          <w:color w:val="172126"/>
          <w:sz w:val="22"/>
        </w:rPr>
        <w:t>3.2  Local — app outside Docker</w:t>
      </w:r>
    </w:p>
    <w:tbl>
      <w:tblPr>
        <w:tblW w:type="auto" w:w="0"/>
        <w:tblLook w:firstColumn="1" w:firstRow="1" w:lastColumn="0" w:lastRow="0" w:noHBand="0" w:noVBand="1" w:val="04A0"/>
        <w:tblBorders>
          <w:top w:val="single" w:sz="2" w:space="0" w:color="E7EBEE"/>
          <w:left w:val="single" w:sz="2" w:space="0" w:color="E7EBEE"/>
          <w:bottom w:val="single" w:sz="2" w:space="0" w:color="E7EBEE"/>
          <w:right w:val="single" w:sz="2" w:space="0" w:color="E7EBEE"/>
          <w:insideH w:val="single" w:sz="2" w:space="0" w:color="E7EBEE"/>
          <w:insideV w:val="single" w:sz="2" w:space="0" w:color="E7EBEE"/>
        </w:tblBorders>
      </w:tblPr>
      <w:tblGrid>
        <w:gridCol w:w="10080"/>
      </w:tblGrid>
      <w:tr>
        <w:tc>
          <w:tcPr>
            <w:tcW w:type="dxa" w:w="10080"/>
            <w:shd w:val="clear" w:fill="F5F7F8"/>
          </w:tcPr>
          <w:p>
            <w:pPr>
              <w:spacing w:line="288" w:lineRule="auto"/>
            </w:pPr>
            <w:r/>
            <w:r>
              <w:rPr>
                <w:rFonts w:ascii="Consolas" w:hAnsi="Consolas"/>
                <w:color w:val="172126"/>
                <w:sz w:val="16"/>
              </w:rPr>
              <w:t>cp .env.example .env          # set DATABASE_PORT=3308 to reach the compose DB</w:t>
              <w:br/>
              <w:t>npm install</w:t>
              <w:br/>
              <w:t>docker compose up -d db       # just MySQL — loads db/schema.sql on FIRST init only</w:t>
              <w:br/>
              <w:t>npm run seed                  # register the pack catalog</w:t>
              <w:br/>
              <w:t>node worker/src/server.mjs    # terminal 1 — :4000</w:t>
              <w:br/>
              <w:t>PORT=3100 npm run dev         # terminal 2 — :3100</w:t>
            </w:r>
          </w:p>
        </w:tc>
      </w:tr>
    </w:tbl>
    <w:p>
      <w:pPr>
        <w:spacing w:after="40"/>
      </w:pPr>
    </w:p>
    <w:tbl>
      <w:tblPr>
        <w:tblW w:type="auto" w:w="0"/>
        <w:tblLook w:firstColumn="1" w:firstRow="1" w:lastColumn="0" w:lastRow="0" w:noHBand="0" w:noVBand="1" w:val="04A0"/>
        <w:tblBorders>
          <w:top w:val="single" w:sz="2" w:space="0" w:color="FBF0E0"/>
          <w:left w:val="single" w:sz="2" w:space="0" w:color="FBF0E0"/>
          <w:bottom w:val="single" w:sz="2" w:space="0" w:color="FBF0E0"/>
          <w:right w:val="single" w:sz="2" w:space="0" w:color="FBF0E0"/>
          <w:insideH w:val="single" w:sz="2" w:space="0" w:color="FBF0E0"/>
          <w:insideV w:val="single" w:sz="2" w:space="0" w:color="FBF0E0"/>
        </w:tblBorders>
      </w:tblPr>
      <w:tblGrid>
        <w:gridCol w:w="10080"/>
      </w:tblGrid>
      <w:tr>
        <w:tc>
          <w:tcPr>
            <w:tcW w:type="dxa" w:w="10080"/>
            <w:shd w:val="clear" w:fill="FBF0E0"/>
          </w:tcPr>
          <w:p>
            <w:r/>
            <w:r>
              <w:rPr>
                <w:rFonts w:ascii="Calibri" w:hAnsi="Calibri"/>
                <w:b/>
                <w:color w:val="A56000"/>
                <w:sz w:val="14"/>
              </w:rPr>
              <w:t>FIRST INIT ONLY</w:t>
            </w:r>
          </w:p>
          <w:p>
            <w:pPr>
              <w:spacing w:before="60" w:line="302" w:lineRule="auto"/>
            </w:pPr>
            <w:r>
              <w:rPr>
                <w:rFonts w:ascii="Georgia" w:hAnsi="Georgia"/>
                <w:color w:val="172126"/>
                <w:sz w:val="17"/>
              </w:rPr>
              <w:t>db/schema.sql and db/seed.sql load through MySQL's docker-entrypoint-initdb.d, which runs ONCE, on the first initialisation of the data volume. Editing either and running up again does nothing. To genuinely reset: docker compose down -v, which drops the db_data volume, then up --build. Everything after that first boot is a migration — §4.4.</w:t>
            </w:r>
          </w:p>
        </w:tc>
      </w:tr>
    </w:tbl>
    <w:p>
      <w:pPr>
        <w:spacing w:after="60"/>
      </w:pPr>
    </w:p>
    <w:p>
      <w:pPr>
        <w:spacing w:before="260" w:after="80" w:line="307" w:lineRule="auto"/>
      </w:pPr>
      <w:r>
        <w:rPr>
          <w:rFonts w:ascii="Calibri" w:hAnsi="Calibri"/>
          <w:b/>
          <w:color w:val="172126"/>
          <w:sz w:val="22"/>
        </w:rPr>
        <w:t>3.3  The Host plane's first account</w:t>
      </w:r>
    </w:p>
    <w:tbl>
      <w:tblPr>
        <w:tblW w:type="auto" w:w="0"/>
        <w:tblLook w:firstColumn="1" w:firstRow="1" w:lastColumn="0" w:lastRow="0" w:noHBand="0" w:noVBand="1" w:val="04A0"/>
        <w:tblBorders>
          <w:top w:val="single" w:sz="2" w:space="0" w:color="E7EBEE"/>
          <w:left w:val="single" w:sz="2" w:space="0" w:color="E7EBEE"/>
          <w:bottom w:val="single" w:sz="2" w:space="0" w:color="E7EBEE"/>
          <w:right w:val="single" w:sz="2" w:space="0" w:color="E7EBEE"/>
          <w:insideH w:val="single" w:sz="2" w:space="0" w:color="E7EBEE"/>
          <w:insideV w:val="single" w:sz="2" w:space="0" w:color="E7EBEE"/>
        </w:tblBorders>
      </w:tblPr>
      <w:tblGrid>
        <w:gridCol w:w="10080"/>
      </w:tblGrid>
      <w:tr>
        <w:tc>
          <w:tcPr>
            <w:tcW w:type="dxa" w:w="10080"/>
            <w:shd w:val="clear" w:fill="F5F7F8"/>
          </w:tcPr>
          <w:p>
            <w:pPr>
              <w:spacing w:line="288" w:lineRule="auto"/>
            </w:pPr>
            <w:r/>
            <w:r>
              <w:rPr>
                <w:rFonts w:ascii="Consolas" w:hAnsi="Consolas"/>
                <w:color w:val="172126"/>
                <w:sz w:val="16"/>
              </w:rPr>
              <w:t>cd preckon-host</w:t>
              <w:br/>
              <w:t>npm install</w:t>
              <w:br/>
              <w:t>npm run db:import        # schema + platform seed  (or import both .sql in phpMyAdmin)</w:t>
              <w:br/>
              <w:t>npm run dev              # :3000</w:t>
              <w:br/>
              <w:t>npm run seed:owner       # creates the first Owner staff account — dev server must be up</w:t>
            </w:r>
          </w:p>
        </w:tc>
      </w:tr>
    </w:tbl>
    <w:p>
      <w:pPr>
        <w:spacing w:after="40"/>
      </w:pPr>
    </w:p>
    <w:p>
      <w:pPr>
        <w:spacing w:before="0" w:after="140" w:line="307" w:lineRule="auto"/>
      </w:pPr>
      <w:r>
        <w:rPr>
          <w:rFonts w:ascii="Georgia" w:hAnsi="Georgia"/>
          <w:b w:val="0"/>
          <w:color w:val="526068"/>
          <w:sz w:val="19"/>
        </w:rPr>
        <w:t>db/seed.sql is platform configuration only — permissions, roles, the feature and edition catalog, pricing, currencies, settings, AI routing. No sample tenants and no business data, so the console starts clean. db/seed-demo.sql adds fake tenants, invoices and notifications if you want something to look at.</w:t>
      </w:r>
    </w:p>
    <w:tbl>
      <w:tblPr>
        <w:tblW w:type="auto" w:w="0"/>
        <w:tblLook w:firstColumn="1" w:firstRow="1" w:lastColumn="0" w:lastRow="0" w:noHBand="0" w:noVBand="1" w:val="04A0"/>
        <w:tblBorders>
          <w:top w:val="single" w:sz="2" w:space="0" w:color="FBEAE8"/>
          <w:left w:val="single" w:sz="2" w:space="0" w:color="FBEAE8"/>
          <w:bottom w:val="single" w:sz="2" w:space="0" w:color="FBEAE8"/>
          <w:right w:val="single" w:sz="2" w:space="0" w:color="FBEAE8"/>
          <w:insideH w:val="single" w:sz="2" w:space="0" w:color="FBEAE8"/>
          <w:insideV w:val="single" w:sz="2" w:space="0" w:color="FBEAE8"/>
        </w:tblBorders>
      </w:tblPr>
      <w:tblGrid>
        <w:gridCol w:w="10080"/>
      </w:tblGrid>
      <w:tr>
        <w:tc>
          <w:tcPr>
            <w:tcW w:type="dxa" w:w="10080"/>
            <w:shd w:val="clear" w:fill="FBEAE8"/>
          </w:tcPr>
          <w:p>
            <w:r/>
            <w:r>
              <w:rPr>
                <w:rFonts w:ascii="Calibri" w:hAnsi="Calibri"/>
                <w:b/>
                <w:color w:val="B42318"/>
                <w:sz w:val="14"/>
              </w:rPr>
              <w:t>OVERRIDE THE SEEDED PASSWORD</w:t>
            </w:r>
          </w:p>
          <w:p>
            <w:pPr>
              <w:spacing w:before="60" w:line="302" w:lineRule="auto"/>
            </w:pPr>
            <w:r>
              <w:rPr>
                <w:rFonts w:ascii="Georgia" w:hAnsi="Georgia"/>
                <w:color w:val="172126"/>
                <w:sz w:val="17"/>
              </w:rPr>
              <w:t>npm run seed:owner defaults to a published credential — see D8. Always pass your own: OWNER_EMAIL=you@techsme.com OWNER_PASSWORD='min-12-chars' npm run seed:owner. The script reuses an existing account rather than resetting it, so this is safe to run against a box where the password has already been rotated.</w:t>
            </w:r>
          </w:p>
        </w:tc>
      </w:tr>
    </w:tbl>
    <w:p>
      <w:pPr>
        <w:spacing w:after="60"/>
      </w:pPr>
    </w:p>
    <w:p>
      <w:pPr>
        <w:spacing w:before="260" w:after="80" w:line="307" w:lineRule="auto"/>
      </w:pPr>
      <w:r>
        <w:rPr>
          <w:rFonts w:ascii="Calibri" w:hAnsi="Calibri"/>
          <w:b/>
          <w:color w:val="172126"/>
          <w:sz w:val="22"/>
        </w:rPr>
        <w:t>3.4  Getting into a tenant workspace — the part that is not obvious</w:t>
      </w:r>
    </w:p>
    <w:tbl>
      <w:tblPr>
        <w:tblW w:type="auto" w:w="0"/>
        <w:tblLook w:firstColumn="1" w:firstRow="1" w:lastColumn="0" w:lastRow="0" w:noHBand="0" w:noVBand="1" w:val="04A0"/>
        <w:tblBorders>
          <w:top w:val="single" w:sz="2" w:space="0" w:color="FBEAE8"/>
          <w:left w:val="single" w:sz="2" w:space="0" w:color="FBEAE8"/>
          <w:bottom w:val="single" w:sz="2" w:space="0" w:color="FBEAE8"/>
          <w:right w:val="single" w:sz="2" w:space="0" w:color="FBEAE8"/>
          <w:insideH w:val="single" w:sz="2" w:space="0" w:color="FBEAE8"/>
          <w:insideV w:val="single" w:sz="2" w:space="0" w:color="FBEAE8"/>
        </w:tblBorders>
      </w:tblPr>
      <w:tblGrid>
        <w:gridCol w:w="10080"/>
      </w:tblGrid>
      <w:tr>
        <w:tc>
          <w:tcPr>
            <w:tcW w:type="dxa" w:w="10080"/>
            <w:shd w:val="clear" w:fill="FBEAE8"/>
          </w:tcPr>
          <w:p>
            <w:r/>
            <w:r>
              <w:rPr>
                <w:rFonts w:ascii="Calibri" w:hAnsi="Calibri"/>
                <w:b/>
                <w:color w:val="B42318"/>
                <w:sz w:val="14"/>
              </w:rPr>
              <w:t>THE COMPOSE SEED CREATES NO LOGIN</w:t>
            </w:r>
          </w:p>
          <w:p>
            <w:pPr>
              <w:spacing w:before="60" w:line="302" w:lineRule="auto"/>
            </w:pPr>
            <w:r>
              <w:rPr>
                <w:rFonts w:ascii="Georgia" w:hAnsi="Georgia"/>
                <w:color w:val="172126"/>
                <w:sz w:val="17"/>
              </w:rPr>
              <w:t>docker compose --profile tools run --rm seed runs npm run seed → scripts/seed.mjs, whose entire body is seedCatalog(). It registers the construction pack and nothing else. TENANT_OWNER_EMAIL and TENANT_OWNER_PASSWORD are passed into that container (docker-compose.yml:164-165) and are never read by the command it runs. The tenant README describes this step as 'seed demo tenant/owner/project', which it is not. (D9)</w:t>
            </w:r>
          </w:p>
        </w:tc>
      </w:tr>
    </w:tbl>
    <w:p>
      <w:pPr>
        <w:spacing w:after="60"/>
      </w:pPr>
    </w:p>
    <w:p>
      <w:pPr>
        <w:spacing w:before="0" w:after="140" w:line="307" w:lineRule="auto"/>
      </w:pPr>
      <w:r>
        <w:rPr>
          <w:rFonts w:ascii="Georgia" w:hAnsi="Georgia"/>
          <w:b w:val="0"/>
          <w:color w:val="526068"/>
          <w:sz w:val="19"/>
        </w:rPr>
        <w:t>Logins are created by two separate scripts, run over HTTP against the ALREADY-RUNNING app — not by the compose seed.</w:t>
      </w:r>
    </w:p>
    <w:tbl>
      <w:tblPr>
        <w:tblW w:type="auto" w:w="0"/>
        <w:jc w:val="left"/>
        <w:tblLook w:firstColumn="1" w:firstRow="1" w:lastColumn="0" w:lastRow="0" w:noHBand="0" w:noVBand="1" w:val="04A0"/>
        <w:tblBorders>
          <w:top w:val="single" w:sz="4" w:space="0" w:color="D8DEE2"/>
          <w:left w:val="single" w:sz="4" w:space="0" w:color="D8DEE2"/>
          <w:bottom w:val="single" w:sz="4" w:space="0" w:color="D8DEE2"/>
          <w:right w:val="single" w:sz="4" w:space="0" w:color="D8DEE2"/>
          <w:insideH w:val="single" w:sz="4" w:space="0" w:color="D8DEE2"/>
          <w:insideV w:val="single" w:sz="4" w:space="0" w:color="D8DEE2"/>
        </w:tblBorders>
      </w:tblPr>
      <w:tblGrid>
        <w:gridCol w:w="3360"/>
        <w:gridCol w:w="3360"/>
        <w:gridCol w:w="3360"/>
      </w:tblGrid>
      <w:tr>
        <w:tc>
          <w:tcPr>
            <w:tcW w:type="dxa" w:w="2736"/>
            <w:shd w:val="clear" w:fill="F0F3F4"/>
          </w:tcPr>
          <w:p>
            <w:r/>
            <w:r>
              <w:rPr>
                <w:rFonts w:ascii="Calibri" w:hAnsi="Calibri"/>
                <w:b/>
                <w:color w:val="667279"/>
                <w:sz w:val="13"/>
              </w:rPr>
              <w:t>SCRIPT</w:t>
            </w:r>
          </w:p>
        </w:tc>
        <w:tc>
          <w:tcPr>
            <w:tcW w:type="dxa" w:w="3960"/>
            <w:shd w:val="clear" w:fill="F0F3F4"/>
          </w:tcPr>
          <w:p>
            <w:r/>
            <w:r>
              <w:rPr>
                <w:rFonts w:ascii="Calibri" w:hAnsi="Calibri"/>
                <w:b/>
                <w:color w:val="667279"/>
                <w:sz w:val="13"/>
              </w:rPr>
              <w:t>CREATES</w:t>
            </w:r>
          </w:p>
        </w:tc>
        <w:tc>
          <w:tcPr>
            <w:tcW w:type="dxa" w:w="2736"/>
            <w:shd w:val="clear" w:fill="F0F3F4"/>
          </w:tcPr>
          <w:p>
            <w:r/>
            <w:r>
              <w:rPr>
                <w:rFonts w:ascii="Calibri" w:hAnsi="Calibri"/>
                <w:b/>
                <w:color w:val="667279"/>
                <w:sz w:val="13"/>
              </w:rPr>
              <w:t>REQUIRES</w:t>
            </w:r>
          </w:p>
        </w:tc>
      </w:tr>
      <w:tr>
        <w:tc>
          <w:tcPr>
            <w:tcW w:type="dxa" w:w="2736"/>
          </w:tcPr>
          <w:p>
            <w:pPr>
              <w:spacing w:line="278" w:lineRule="auto" w:after="0"/>
            </w:pPr>
            <w:r/>
            <w:r>
              <w:rPr>
                <w:rFonts w:ascii="Consolas" w:hAnsi="Consolas"/>
                <w:b/>
                <w:color w:val="172126"/>
                <w:sz w:val="15"/>
              </w:rPr>
              <w:t>node scripts/seed-aigcc.mjs</w:t>
            </w:r>
          </w:p>
        </w:tc>
        <w:tc>
          <w:tcPr>
            <w:tcW w:type="dxa" w:w="3960"/>
          </w:tcPr>
          <w:p>
            <w:pPr>
              <w:spacing w:line="278" w:lineRule="auto" w:after="0"/>
            </w:pPr>
            <w:r/>
            <w:r>
              <w:rPr>
                <w:rFonts w:ascii="Calibri" w:hAnsi="Calibri"/>
                <w:b w:val="0"/>
                <w:color w:val="526068"/>
                <w:sz w:val="15"/>
              </w:rPr>
              <w:t>owner@aigcc.group, plus team, rate book, standards and precedent library, and a portfolio of live tenders</w:t>
            </w:r>
          </w:p>
        </w:tc>
        <w:tc>
          <w:tcPr>
            <w:tcW w:type="dxa" w:w="2736"/>
          </w:tcPr>
          <w:p>
            <w:pPr>
              <w:spacing w:line="278" w:lineRule="auto" w:after="0"/>
            </w:pPr>
            <w:r/>
            <w:r>
              <w:rPr>
                <w:rFonts w:ascii="Consolas" w:hAnsi="Consolas"/>
                <w:b w:val="0"/>
                <w:color w:val="526068"/>
                <w:sz w:val="15"/>
              </w:rPr>
              <w:t>INTERNAL_SERVICE_TOKEN · SEED_OWNER_PASSWORD</w:t>
            </w:r>
          </w:p>
        </w:tc>
      </w:tr>
      <w:tr>
        <w:tc>
          <w:tcPr>
            <w:tcW w:type="dxa" w:w="2736"/>
          </w:tcPr>
          <w:p>
            <w:pPr>
              <w:spacing w:line="278" w:lineRule="auto" w:after="0"/>
            </w:pPr>
            <w:r/>
            <w:r>
              <w:rPr>
                <w:rFonts w:ascii="Consolas" w:hAnsi="Consolas"/>
                <w:b/>
                <w:color w:val="172126"/>
                <w:sz w:val="15"/>
              </w:rPr>
              <w:t>node scripts/seed-cedarstone.mjs</w:t>
            </w:r>
          </w:p>
        </w:tc>
        <w:tc>
          <w:tcPr>
            <w:tcW w:type="dxa" w:w="3960"/>
          </w:tcPr>
          <w:p>
            <w:pPr>
              <w:spacing w:line="278" w:lineRule="auto" w:after="0"/>
            </w:pPr>
            <w:r/>
            <w:r>
              <w:rPr>
                <w:rFonts w:ascii="Calibri" w:hAnsi="Calibri"/>
                <w:b w:val="0"/>
                <w:color w:val="526068"/>
                <w:sz w:val="15"/>
              </w:rPr>
              <w:t>The Cedar &amp; Stone logins only — no projects, no library</w:t>
            </w:r>
          </w:p>
        </w:tc>
        <w:tc>
          <w:tcPr>
            <w:tcW w:type="dxa" w:w="2736"/>
          </w:tcPr>
          <w:p>
            <w:pPr>
              <w:spacing w:line="278" w:lineRule="auto" w:after="0"/>
            </w:pPr>
            <w:r/>
            <w:r>
              <w:rPr>
                <w:rFonts w:ascii="Consolas" w:hAnsi="Consolas"/>
                <w:b w:val="0"/>
                <w:color w:val="526068"/>
                <w:sz w:val="15"/>
              </w:rPr>
              <w:t>INTERNAL_SERVICE_TOKEN · BOOTSTRAP_OWNER · BOOTSTRAP_PASSWORD</w:t>
            </w:r>
          </w:p>
        </w:tc>
      </w:tr>
    </w:tbl>
    <w:p>
      <w:pPr>
        <w:spacing w:after="60"/>
      </w:pPr>
    </w:p>
    <w:p>
      <w:pPr>
        <w:spacing w:before="0" w:after="140" w:line="307" w:lineRule="auto"/>
      </w:pPr>
      <w:r>
        <w:rPr>
          <w:rFonts w:ascii="Georgia" w:hAnsi="Georgia"/>
          <w:b w:val="0"/>
          <w:color w:val="526068"/>
          <w:sz w:val="19"/>
        </w:rPr>
        <w:t>Both hard-stop if their variables are missing rather than defaulting to a published literal — a seed that invents a credential is indistinguishable from one that was configured properly, which was the original problem. A run with no environment exits 2.</w:t>
      </w:r>
    </w:p>
    <w:tbl>
      <w:tblPr>
        <w:tblW w:type="auto" w:w="0"/>
        <w:tblLook w:firstColumn="1" w:firstRow="1" w:lastColumn="0" w:lastRow="0" w:noHBand="0" w:noVBand="1" w:val="04A0"/>
        <w:tblBorders>
          <w:top w:val="single" w:sz="2" w:space="0" w:color="E7EBEE"/>
          <w:left w:val="single" w:sz="2" w:space="0" w:color="E7EBEE"/>
          <w:bottom w:val="single" w:sz="2" w:space="0" w:color="E7EBEE"/>
          <w:right w:val="single" w:sz="2" w:space="0" w:color="E7EBEE"/>
          <w:insideH w:val="single" w:sz="2" w:space="0" w:color="E7EBEE"/>
          <w:insideV w:val="single" w:sz="2" w:space="0" w:color="E7EBEE"/>
        </w:tblBorders>
      </w:tblPr>
      <w:tblGrid>
        <w:gridCol w:w="10080"/>
      </w:tblGrid>
      <w:tr>
        <w:tc>
          <w:tcPr>
            <w:tcW w:type="dxa" w:w="10080"/>
            <w:shd w:val="clear" w:fill="F5F7F8"/>
          </w:tcPr>
          <w:p>
            <w:pPr>
              <w:spacing w:line="288" w:lineRule="auto"/>
            </w:pPr>
            <w:r/>
            <w:r>
              <w:rPr>
                <w:rFonts w:ascii="Consolas" w:hAnsi="Consolas"/>
                <w:color w:val="172126"/>
                <w:sz w:val="16"/>
              </w:rPr>
              <w:t># either: read the password the box already uses</w:t>
              <w:br/>
              <w:t>grep -E '^(TENANT_OWNER_PASSWORD|SEED_OWNER_PASSWORD)=' /opt/preckon-tenant/.env</w:t>
              <w:br/>
              <w:br/>
              <w:t># or: create a workspace with a password you choose</w:t>
              <w:br/>
              <w:t>cd /opt/preckon-tenant</w:t>
              <w:br/>
              <w:t>INTERNAL_SERVICE_TOKEN=&lt;the app's&gt; SEED_OWNER_PASSWORD=&lt;yours&gt; \</w:t>
              <w:br/>
              <w:t xml:space="preserve">  node scripts/seed-aigcc.mjs</w:t>
            </w:r>
          </w:p>
        </w:tc>
      </w:tr>
    </w:tbl>
    <w:p>
      <w:pPr>
        <w:spacing w:after="40"/>
      </w:pPr>
    </w:p>
    <w:p>
      <w:pPr>
        <w:spacing w:before="200" w:after="60" w:line="307" w:lineRule="auto"/>
      </w:pPr>
      <w:r>
        <w:rPr>
          <w:rFonts w:ascii="Calibri" w:hAnsi="Calibri"/>
          <w:b/>
          <w:color w:val="087E75"/>
          <w:sz w:val="19"/>
        </w:rPr>
        <w:t>The tenant-id trap, which you will hit next</w:t>
      </w:r>
    </w:p>
    <w:p>
      <w:pPr>
        <w:spacing w:before="0" w:after="140" w:line="307" w:lineRule="auto"/>
      </w:pPr>
      <w:r>
        <w:rPr>
          <w:rFonts w:ascii="Georgia" w:hAnsi="Georgia"/>
          <w:b w:val="0"/>
          <w:color w:val="526068"/>
          <w:sz w:val="19"/>
        </w:rPr>
        <w:t>Two workspace ids are in play. Seeding the default gives you a workspace that works but that the Host console does not manage or license, which looks like a broken entitlement and is not.</w:t>
      </w:r>
    </w:p>
    <w:tbl>
      <w:tblPr>
        <w:tblW w:type="auto" w:w="0"/>
        <w:jc w:val="left"/>
        <w:tblLook w:firstColumn="1" w:firstRow="1" w:lastColumn="0" w:lastRow="0" w:noHBand="0" w:noVBand="1" w:val="04A0"/>
        <w:tblBorders>
          <w:top w:val="single" w:sz="4" w:space="0" w:color="D8DEE2"/>
          <w:left w:val="single" w:sz="4" w:space="0" w:color="D8DEE2"/>
          <w:bottom w:val="single" w:sz="4" w:space="0" w:color="D8DEE2"/>
          <w:right w:val="single" w:sz="4" w:space="0" w:color="D8DEE2"/>
          <w:insideH w:val="single" w:sz="4" w:space="0" w:color="D8DEE2"/>
          <w:insideV w:val="single" w:sz="4" w:space="0" w:color="D8DEE2"/>
        </w:tblBorders>
      </w:tblPr>
      <w:tblGrid>
        <w:gridCol w:w="5040"/>
        <w:gridCol w:w="5040"/>
      </w:tblGrid>
      <w:tr>
        <w:tc>
          <w:tcPr>
            <w:tcW w:type="dxa" w:w="2016"/>
            <w:shd w:val="clear" w:fill="F0F3F4"/>
          </w:tcPr>
          <w:p>
            <w:r/>
            <w:r>
              <w:rPr>
                <w:rFonts w:ascii="Calibri" w:hAnsi="Calibri"/>
                <w:b/>
                <w:color w:val="667279"/>
                <w:sz w:val="13"/>
              </w:rPr>
              <w:t>WORKSPACE ID</w:t>
            </w:r>
          </w:p>
        </w:tc>
        <w:tc>
          <w:tcPr>
            <w:tcW w:type="dxa" w:w="7416"/>
            <w:shd w:val="clear" w:fill="F0F3F4"/>
          </w:tcPr>
          <w:p>
            <w:r/>
            <w:r>
              <w:rPr>
                <w:rFonts w:ascii="Calibri" w:hAnsi="Calibri"/>
                <w:b/>
                <w:color w:val="667279"/>
                <w:sz w:val="13"/>
              </w:rPr>
              <w:t>WHAT IT IS</w:t>
            </w:r>
          </w:p>
        </w:tc>
      </w:tr>
      <w:tr>
        <w:tc>
          <w:tcPr>
            <w:tcW w:type="dxa" w:w="2016"/>
          </w:tcPr>
          <w:p>
            <w:pPr>
              <w:spacing w:line="278" w:lineRule="auto" w:after="0"/>
            </w:pPr>
            <w:r/>
            <w:r>
              <w:rPr>
                <w:rFonts w:ascii="Consolas" w:hAnsi="Consolas"/>
                <w:b/>
                <w:color w:val="172126"/>
                <w:sz w:val="15"/>
              </w:rPr>
              <w:t>…0000a1</w:t>
            </w:r>
          </w:p>
        </w:tc>
        <w:tc>
          <w:tcPr>
            <w:tcW w:type="dxa" w:w="7416"/>
          </w:tcPr>
          <w:p>
            <w:pPr>
              <w:spacing w:line="278" w:lineRule="auto" w:after="0"/>
            </w:pPr>
            <w:r/>
            <w:r>
              <w:rPr>
                <w:rFonts w:ascii="Calibri" w:hAnsi="Calibri"/>
                <w:b w:val="0"/>
                <w:color w:val="526068"/>
                <w:sz w:val="15"/>
              </w:rPr>
              <w:t>What seed-aigcc.mjs creates. The local and standalone default</w:t>
            </w:r>
          </w:p>
        </w:tc>
      </w:tr>
      <w:tr>
        <w:tc>
          <w:tcPr>
            <w:tcW w:type="dxa" w:w="2016"/>
          </w:tcPr>
          <w:p>
            <w:pPr>
              <w:spacing w:line="278" w:lineRule="auto" w:after="0"/>
            </w:pPr>
            <w:r/>
            <w:r>
              <w:rPr>
                <w:rFonts w:ascii="Consolas" w:hAnsi="Consolas"/>
                <w:b/>
                <w:color w:val="172126"/>
                <w:sz w:val="15"/>
              </w:rPr>
              <w:t>…000001</w:t>
            </w:r>
          </w:p>
        </w:tc>
        <w:tc>
          <w:tcPr>
            <w:tcW w:type="dxa" w:w="7416"/>
          </w:tcPr>
          <w:p>
            <w:pPr>
              <w:spacing w:line="278" w:lineRule="auto" w:after="0"/>
            </w:pPr>
            <w:r/>
            <w:r>
              <w:rPr>
                <w:rFonts w:ascii="Calibri" w:hAnsi="Calibri"/>
                <w:b w:val="0"/>
                <w:color w:val="526068"/>
                <w:sz w:val="15"/>
              </w:rPr>
              <w:t>What preckon-host/scripts/seed-demo-tenant.mjs registers — the workspace the HOST plane actually manages</w:t>
            </w:r>
          </w:p>
        </w:tc>
      </w:tr>
    </w:tbl>
    <w:p>
      <w:pPr>
        <w:spacing w:after="60"/>
      </w:pPr>
    </w:p>
    <w:tbl>
      <w:tblPr>
        <w:tblW w:type="auto" w:w="0"/>
        <w:tblLook w:firstColumn="1" w:firstRow="1" w:lastColumn="0" w:lastRow="0" w:noHBand="0" w:noVBand="1" w:val="04A0"/>
        <w:tblBorders>
          <w:top w:val="single" w:sz="2" w:space="0" w:color="E7EBEE"/>
          <w:left w:val="single" w:sz="2" w:space="0" w:color="E7EBEE"/>
          <w:bottom w:val="single" w:sz="2" w:space="0" w:color="E7EBEE"/>
          <w:right w:val="single" w:sz="2" w:space="0" w:color="E7EBEE"/>
          <w:insideH w:val="single" w:sz="2" w:space="0" w:color="E7EBEE"/>
          <w:insideV w:val="single" w:sz="2" w:space="0" w:color="E7EBEE"/>
        </w:tblBorders>
      </w:tblPr>
      <w:tblGrid>
        <w:gridCol w:w="10080"/>
      </w:tblGrid>
      <w:tr>
        <w:tc>
          <w:tcPr>
            <w:tcW w:type="dxa" w:w="10080"/>
            <w:shd w:val="clear" w:fill="F5F7F8"/>
          </w:tcPr>
          <w:p>
            <w:pPr>
              <w:spacing w:line="288" w:lineRule="auto"/>
            </w:pPr>
            <w:r/>
            <w:r>
              <w:rPr>
                <w:rFonts w:ascii="Consolas" w:hAnsi="Consolas"/>
                <w:color w:val="172126"/>
                <w:sz w:val="16"/>
              </w:rPr>
              <w:t># make Host → Tenant line up</w:t>
              <w:br/>
              <w:t>TENANT_ID=00000000-0000-7000-8000-000000000001 node scripts/seed-cedarstone.mjs</w:t>
            </w:r>
          </w:p>
        </w:tc>
      </w:tr>
    </w:tbl>
    <w:p>
      <w:pPr>
        <w:spacing w:after="40"/>
      </w:pPr>
    </w:p>
    <w:p>
      <w:r>
        <w:br w:type="page"/>
      </w:r>
    </w:p>
    <w:p>
      <w:pPr>
        <w:spacing w:before="0" w:after="60" w:line="307" w:lineRule="auto"/>
      </w:pPr>
      <w:r>
        <w:rPr>
          <w:rFonts w:ascii="Consolas" w:hAnsi="Consolas"/>
          <w:b/>
          <w:color w:val="087E75"/>
          <w:sz w:val="15"/>
        </w:rPr>
        <w:t>PART 4</w:t>
      </w:r>
    </w:p>
    <w:p>
      <w:pPr>
        <w:spacing w:before="0" w:after="160" w:line="252" w:lineRule="auto"/>
      </w:pPr>
      <w:r>
        <w:rPr>
          <w:rFonts w:ascii="Georgia" w:hAnsi="Georgia"/>
          <w:b/>
          <w:color w:val="172126"/>
          <w:sz w:val="38"/>
        </w:rPr>
        <w:t>Data</w:t>
      </w:r>
    </w:p>
    <w:p>
      <w:pPr>
        <w:spacing w:before="0" w:after="200" w:line="307" w:lineRule="auto"/>
      </w:pPr>
      <w:r>
        <w:rPr>
          <w:rFonts w:ascii="Georgia" w:hAnsi="Georgia"/>
          <w:b w:val="0"/>
          <w:color w:val="526068"/>
          <w:sz w:val="21"/>
        </w:rPr>
        <w:t>MySQL 8 on both planes, tenant isolation enforced in the application layer, and an append-only audit chain that can be re-walked on demand.</w:t>
      </w:r>
    </w:p>
    <w:p>
      <w:pPr>
        <w:spacing w:before="260" w:after="80" w:line="307" w:lineRule="auto"/>
      </w:pPr>
      <w:r>
        <w:rPr>
          <w:rFonts w:ascii="Calibri" w:hAnsi="Calibri"/>
          <w:b/>
          <w:color w:val="172126"/>
          <w:sz w:val="22"/>
        </w:rPr>
        <w:t>4.1  The databases</w:t>
      </w:r>
    </w:p>
    <w:tbl>
      <w:tblPr>
        <w:tblW w:type="auto" w:w="0"/>
        <w:jc w:val="left"/>
        <w:tblLook w:firstColumn="1" w:firstRow="1" w:lastColumn="0" w:lastRow="0" w:noHBand="0" w:noVBand="1" w:val="04A0"/>
        <w:tblBorders>
          <w:top w:val="single" w:sz="4" w:space="0" w:color="D8DEE2"/>
          <w:left w:val="single" w:sz="4" w:space="0" w:color="D8DEE2"/>
          <w:bottom w:val="single" w:sz="4" w:space="0" w:color="D8DEE2"/>
          <w:right w:val="single" w:sz="4" w:space="0" w:color="D8DEE2"/>
          <w:insideH w:val="single" w:sz="4" w:space="0" w:color="D8DEE2"/>
          <w:insideV w:val="single" w:sz="4" w:space="0" w:color="D8DEE2"/>
        </w:tblBorders>
      </w:tblPr>
      <w:tblGrid>
        <w:gridCol w:w="2520"/>
        <w:gridCol w:w="2520"/>
        <w:gridCol w:w="2520"/>
        <w:gridCol w:w="2520"/>
      </w:tblGrid>
      <w:tr>
        <w:tc>
          <w:tcPr>
            <w:tcW w:type="dxa" w:w="2160"/>
            <w:shd w:val="clear" w:fill="F0F3F4"/>
          </w:tcPr>
          <w:p>
            <w:r/>
            <w:r>
              <w:rPr>
                <w:rFonts w:ascii="Calibri" w:hAnsi="Calibri"/>
                <w:b/>
                <w:color w:val="667279"/>
                <w:sz w:val="13"/>
              </w:rPr>
              <w:t>DATABASE</w:t>
            </w:r>
          </w:p>
        </w:tc>
        <w:tc>
          <w:tcPr>
            <w:tcW w:type="dxa" w:w="1152"/>
            <w:shd w:val="clear" w:fill="F0F3F4"/>
          </w:tcPr>
          <w:p>
            <w:r/>
            <w:r>
              <w:rPr>
                <w:rFonts w:ascii="Calibri" w:hAnsi="Calibri"/>
                <w:b/>
                <w:color w:val="667279"/>
                <w:sz w:val="13"/>
              </w:rPr>
              <w:t>PLANE</w:t>
            </w:r>
          </w:p>
        </w:tc>
        <w:tc>
          <w:tcPr>
            <w:tcW w:type="dxa" w:w="1512"/>
            <w:shd w:val="clear" w:fill="F0F3F4"/>
          </w:tcPr>
          <w:p>
            <w:r/>
            <w:r>
              <w:rPr>
                <w:rFonts w:ascii="Calibri" w:hAnsi="Calibri"/>
                <w:b/>
                <w:color w:val="667279"/>
                <w:sz w:val="13"/>
              </w:rPr>
              <w:t>TUNNEL PORT</w:t>
            </w:r>
          </w:p>
        </w:tc>
        <w:tc>
          <w:tcPr>
            <w:tcW w:type="dxa" w:w="4608"/>
            <w:shd w:val="clear" w:fill="F0F3F4"/>
          </w:tcPr>
          <w:p>
            <w:r/>
            <w:r>
              <w:rPr>
                <w:rFonts w:ascii="Calibri" w:hAnsi="Calibri"/>
                <w:b/>
                <w:color w:val="667279"/>
                <w:sz w:val="13"/>
              </w:rPr>
              <w:t>CONTENTS</w:t>
            </w:r>
          </w:p>
        </w:tc>
      </w:tr>
      <w:tr>
        <w:tc>
          <w:tcPr>
            <w:tcW w:type="dxa" w:w="2160"/>
          </w:tcPr>
          <w:p>
            <w:pPr>
              <w:spacing w:line="278" w:lineRule="auto" w:after="0"/>
            </w:pPr>
            <w:r/>
            <w:r>
              <w:rPr>
                <w:rFonts w:ascii="Consolas" w:hAnsi="Consolas"/>
                <w:b/>
                <w:color w:val="172126"/>
                <w:sz w:val="15"/>
              </w:rPr>
              <w:t>preckon_host</w:t>
            </w:r>
          </w:p>
        </w:tc>
        <w:tc>
          <w:tcPr>
            <w:tcW w:type="dxa" w:w="1152"/>
          </w:tcPr>
          <w:p>
            <w:pPr>
              <w:spacing w:line="278" w:lineRule="auto" w:after="0"/>
            </w:pPr>
            <w:r/>
            <w:r>
              <w:rPr>
                <w:rFonts w:ascii="Calibri" w:hAnsi="Calibri"/>
                <w:b w:val="0"/>
                <w:color w:val="526068"/>
                <w:sz w:val="15"/>
              </w:rPr>
              <w:t>host</w:t>
            </w:r>
          </w:p>
        </w:tc>
        <w:tc>
          <w:tcPr>
            <w:tcW w:type="dxa" w:w="1512"/>
          </w:tcPr>
          <w:p>
            <w:pPr>
              <w:spacing w:line="278" w:lineRule="auto" w:after="0"/>
            </w:pPr>
            <w:r/>
            <w:r>
              <w:rPr>
                <w:rFonts w:ascii="Consolas" w:hAnsi="Consolas"/>
                <w:b w:val="0"/>
                <w:color w:val="526068"/>
                <w:sz w:val="15"/>
              </w:rPr>
              <w:t>3307</w:t>
            </w:r>
          </w:p>
        </w:tc>
        <w:tc>
          <w:tcPr>
            <w:tcW w:type="dxa" w:w="4608"/>
          </w:tcPr>
          <w:p>
            <w:pPr>
              <w:spacing w:line="278" w:lineRule="auto" w:after="0"/>
            </w:pPr>
            <w:r/>
            <w:r>
              <w:rPr>
                <w:rFonts w:ascii="Calibri" w:hAnsi="Calibri"/>
                <w:b w:val="0"/>
                <w:color w:val="526068"/>
                <w:sz w:val="15"/>
              </w:rPr>
              <w:t>32 tables across 10 domains, plus Better Auth tables</w:t>
            </w:r>
          </w:p>
        </w:tc>
      </w:tr>
      <w:tr>
        <w:tc>
          <w:tcPr>
            <w:tcW w:type="dxa" w:w="2160"/>
          </w:tcPr>
          <w:p>
            <w:pPr>
              <w:spacing w:line="278" w:lineRule="auto" w:after="0"/>
            </w:pPr>
            <w:r/>
            <w:r>
              <w:rPr>
                <w:rFonts w:ascii="Consolas" w:hAnsi="Consolas"/>
                <w:b/>
                <w:color w:val="172126"/>
                <w:sz w:val="15"/>
              </w:rPr>
              <w:t>preckon_tenant</w:t>
            </w:r>
          </w:p>
        </w:tc>
        <w:tc>
          <w:tcPr>
            <w:tcW w:type="dxa" w:w="1152"/>
          </w:tcPr>
          <w:p>
            <w:pPr>
              <w:spacing w:line="278" w:lineRule="auto" w:after="0"/>
            </w:pPr>
            <w:r/>
            <w:r>
              <w:rPr>
                <w:rFonts w:ascii="Calibri" w:hAnsi="Calibri"/>
                <w:b w:val="0"/>
                <w:color w:val="526068"/>
                <w:sz w:val="15"/>
              </w:rPr>
              <w:t>tenant</w:t>
            </w:r>
          </w:p>
        </w:tc>
        <w:tc>
          <w:tcPr>
            <w:tcW w:type="dxa" w:w="1512"/>
          </w:tcPr>
          <w:p>
            <w:pPr>
              <w:spacing w:line="278" w:lineRule="auto" w:after="0"/>
            </w:pPr>
            <w:r/>
            <w:r>
              <w:rPr>
                <w:rFonts w:ascii="Consolas" w:hAnsi="Consolas"/>
                <w:b w:val="0"/>
                <w:color w:val="526068"/>
                <w:sz w:val="15"/>
              </w:rPr>
              <w:t>3308</w:t>
            </w:r>
          </w:p>
        </w:tc>
        <w:tc>
          <w:tcPr>
            <w:tcW w:type="dxa" w:w="4608"/>
          </w:tcPr>
          <w:p>
            <w:pPr>
              <w:spacing w:line="278" w:lineRule="auto" w:after="0"/>
            </w:pPr>
            <w:r/>
            <w:r>
              <w:rPr>
                <w:rFonts w:ascii="Calibri" w:hAnsi="Calibri"/>
                <w:b w:val="0"/>
                <w:color w:val="526068"/>
                <w:sz w:val="15"/>
              </w:rPr>
              <w:t>The artifact store, jobs, audit chain, library, pack catalog</w:t>
            </w:r>
          </w:p>
        </w:tc>
      </w:tr>
    </w:tbl>
    <w:p>
      <w:pPr>
        <w:spacing w:after="60"/>
      </w:pPr>
    </w:p>
    <w:p>
      <w:pPr>
        <w:spacing w:before="260" w:after="80" w:line="307" w:lineRule="auto"/>
      </w:pPr>
      <w:r>
        <w:rPr>
          <w:rFonts w:ascii="Calibri" w:hAnsi="Calibri"/>
          <w:b/>
          <w:color w:val="172126"/>
          <w:sz w:val="22"/>
        </w:rPr>
        <w:t>4.2  Tenant isolation — application-layer, deliberately</w:t>
      </w:r>
    </w:p>
    <w:p>
      <w:pPr>
        <w:spacing w:before="0" w:after="140" w:line="307" w:lineRule="auto"/>
      </w:pPr>
      <w:r>
        <w:rPr>
          <w:rFonts w:ascii="Georgia" w:hAnsi="Georgia"/>
          <w:b w:val="0"/>
          <w:color w:val="526068"/>
          <w:sz w:val="19"/>
        </w:rPr>
        <w:t>The original design specified PostgreSQL Row-Level Security. The chosen requirement was phpMyAdmin, which manages MySQL and MariaDB only, and neither has RLS. So tenancy is enforced in the repository layer instead:</w:t>
      </w:r>
    </w:p>
    <w:p>
      <w:pPr>
        <w:pStyle w:val="ListBullet"/>
        <w:spacing w:after="60" w:line="302" w:lineRule="auto"/>
        <w:ind w:left="360"/>
      </w:pPr>
      <w:r>
        <w:rPr>
          <w:rFonts w:ascii="Georgia" w:hAnsi="Georgia"/>
          <w:color w:val="526068"/>
          <w:sz w:val="17"/>
        </w:rPr>
        <w:t>Every tenant-scoped table keeps a tenant_id column.</w:t>
      </w:r>
    </w:p>
    <w:p>
      <w:pPr>
        <w:pStyle w:val="ListBullet"/>
        <w:spacing w:after="60" w:line="302" w:lineRule="auto"/>
        <w:ind w:left="360"/>
      </w:pPr>
      <w:r>
        <w:rPr>
          <w:rFonts w:ascii="Georgia" w:hAnsi="Georgia"/>
          <w:color w:val="526068"/>
          <w:sz w:val="17"/>
        </w:rPr>
        <w:t>Every scoped query carries AND tenant_id = ? — requireProject() in src/lib/context.ts is the single choke point.</w:t>
      </w:r>
    </w:p>
    <w:p>
      <w:pPr>
        <w:pStyle w:val="ListBullet"/>
        <w:spacing w:after="60" w:line="302" w:lineRule="auto"/>
        <w:ind w:left="360"/>
      </w:pPr>
      <w:r>
        <w:rPr>
          <w:rFonts w:ascii="Georgia" w:hAnsi="Georgia"/>
          <w:color w:val="526068"/>
          <w:sz w:val="17"/>
        </w:rPr>
        <w:t>test/tenancy.test.ts asserts that a cross-tenant read returns zero rows. That test is the RLS equivalent, and it is the thing to run after touching the store.</w:t>
      </w:r>
    </w:p>
    <w:p>
      <w:pPr>
        <w:spacing w:after="40"/>
      </w:pPr>
    </w:p>
    <w:p>
      <w:pPr>
        <w:spacing w:before="0" w:after="140" w:line="307" w:lineRule="auto"/>
      </w:pPr>
      <w:r>
        <w:rPr>
          <w:rFonts w:ascii="Georgia" w:hAnsi="Georgia"/>
          <w:b w:val="0"/>
          <w:color w:val="526068"/>
          <w:sz w:val="19"/>
        </w:rPr>
        <w:t>pgvector is the other casualty of the same decision: semantic retrieval is stubbed, with a FULLTEXT index standing in. Worth knowing before anyone plans a feature on it.</w:t>
      </w:r>
    </w:p>
    <w:p>
      <w:pPr>
        <w:spacing w:before="260" w:after="80" w:line="307" w:lineRule="auto"/>
      </w:pPr>
      <w:r>
        <w:rPr>
          <w:rFonts w:ascii="Calibri" w:hAnsi="Calibri"/>
          <w:b/>
          <w:color w:val="172126"/>
          <w:sz w:val="22"/>
        </w:rPr>
        <w:t>4.3  The audit chain</w:t>
      </w:r>
    </w:p>
    <w:p>
      <w:pPr>
        <w:spacing w:before="0" w:after="140" w:line="307" w:lineRule="auto"/>
      </w:pPr>
      <w:r>
        <w:rPr>
          <w:rFonts w:ascii="Georgia" w:hAnsi="Georgia"/>
          <w:b w:val="0"/>
          <w:color w:val="526068"/>
          <w:sz w:val="19"/>
        </w:rPr>
        <w:t>Append-only, per-tenant, SHA-256 hash-chained, written by the append_audit_event stored procedure under a GET_LOCK, with BEFORE UPDATE and BEFORE DELETE triggers enforcing immutability. On the Host plane every mutation is audited in the same transaction as the write — useCase(ctx, (conn, audit) =&gt; …) — so there is no write path without an audit event.</w:t>
      </w:r>
    </w:p>
    <w:tbl>
      <w:tblPr>
        <w:tblW w:type="auto" w:w="0"/>
        <w:tblLook w:firstColumn="1" w:firstRow="1" w:lastColumn="0" w:lastRow="0" w:noHBand="0" w:noVBand="1" w:val="04A0"/>
        <w:tblBorders>
          <w:top w:val="single" w:sz="2" w:space="0" w:color="E7EBEE"/>
          <w:left w:val="single" w:sz="2" w:space="0" w:color="E7EBEE"/>
          <w:bottom w:val="single" w:sz="2" w:space="0" w:color="E7EBEE"/>
          <w:right w:val="single" w:sz="2" w:space="0" w:color="E7EBEE"/>
          <w:insideH w:val="single" w:sz="2" w:space="0" w:color="E7EBEE"/>
          <w:insideV w:val="single" w:sz="2" w:space="0" w:color="E7EBEE"/>
        </w:tblBorders>
      </w:tblPr>
      <w:tblGrid>
        <w:gridCol w:w="10080"/>
      </w:tblGrid>
      <w:tr>
        <w:tc>
          <w:tcPr>
            <w:tcW w:type="dxa" w:w="10080"/>
            <w:shd w:val="clear" w:fill="F5F7F8"/>
          </w:tcPr>
          <w:p>
            <w:pPr>
              <w:spacing w:line="288" w:lineRule="auto"/>
            </w:pPr>
            <w:r/>
            <w:r>
              <w:rPr>
                <w:rFonts w:ascii="Consolas" w:hAnsi="Consolas"/>
                <w:color w:val="172126"/>
                <w:sz w:val="16"/>
              </w:rPr>
              <w:t>GET /api/v1/audit/verify              # tenant — re-walks the chain</w:t>
              <w:br/>
              <w:t>GET /api/host/v1/audit-events/verify  # host   — same</w:t>
            </w:r>
          </w:p>
        </w:tc>
      </w:tr>
    </w:tbl>
    <w:p>
      <w:pPr>
        <w:spacing w:after="40"/>
      </w:pPr>
    </w:p>
    <w:p>
      <w:pPr>
        <w:spacing w:before="0" w:after="140" w:line="307" w:lineRule="auto"/>
      </w:pPr>
      <w:r>
        <w:rPr>
          <w:rFonts w:ascii="Georgia" w:hAnsi="Georgia"/>
          <w:b w:val="0"/>
          <w:color w:val="526068"/>
          <w:sz w:val="19"/>
        </w:rPr>
        <w:t>Run one of these after any restore. A backup that restores a broken chain is worth knowing about immediately rather than at the point somebody needs the audit trail to be defensible.</w:t>
      </w:r>
    </w:p>
    <w:p>
      <w:pPr>
        <w:spacing w:before="260" w:after="80" w:line="307" w:lineRule="auto"/>
      </w:pPr>
      <w:r>
        <w:rPr>
          <w:rFonts w:ascii="Calibri" w:hAnsi="Calibri"/>
          <w:b/>
          <w:color w:val="172126"/>
          <w:sz w:val="22"/>
        </w:rPr>
        <w:t>4.4  Migrations</w:t>
      </w:r>
    </w:p>
    <w:p>
      <w:pPr>
        <w:spacing w:before="0" w:after="140" w:line="307" w:lineRule="auto"/>
      </w:pPr>
      <w:r>
        <w:rPr>
          <w:rFonts w:ascii="Georgia" w:hAnsi="Georgia"/>
          <w:b w:val="0"/>
          <w:color w:val="526068"/>
          <w:sz w:val="19"/>
        </w:rPr>
        <w:t>Forward-only, and every migration is written to be re-runnable — each ALTER is guarded on information_schema — so applying them twice is safe. Use the shell runner on the server: the Node runner needs mysql2 and a DATABASE_URL, and the tenant runtime image ships only .next/standalone, so it has no scripts directory and no npm to run.</w:t>
      </w:r>
    </w:p>
    <w:tbl>
      <w:tblPr>
        <w:tblW w:type="auto" w:w="0"/>
        <w:tblLook w:firstColumn="1" w:firstRow="1" w:lastColumn="0" w:lastRow="0" w:noHBand="0" w:noVBand="1" w:val="04A0"/>
        <w:tblBorders>
          <w:top w:val="single" w:sz="2" w:space="0" w:color="E7EBEE"/>
          <w:left w:val="single" w:sz="2" w:space="0" w:color="E7EBEE"/>
          <w:bottom w:val="single" w:sz="2" w:space="0" w:color="E7EBEE"/>
          <w:right w:val="single" w:sz="2" w:space="0" w:color="E7EBEE"/>
          <w:insideH w:val="single" w:sz="2" w:space="0" w:color="E7EBEE"/>
          <w:insideV w:val="single" w:sz="2" w:space="0" w:color="E7EBEE"/>
        </w:tblBorders>
      </w:tblPr>
      <w:tblGrid>
        <w:gridCol w:w="10080"/>
      </w:tblGrid>
      <w:tr>
        <w:tc>
          <w:tcPr>
            <w:tcW w:type="dxa" w:w="10080"/>
            <w:shd w:val="clear" w:fill="F5F7F8"/>
          </w:tcPr>
          <w:p>
            <w:pPr>
              <w:spacing w:line="288" w:lineRule="auto"/>
            </w:pPr>
            <w:r/>
            <w:r>
              <w:rPr>
                <w:rFonts w:ascii="Consolas" w:hAnsi="Consolas"/>
                <w:color w:val="172126"/>
                <w:sz w:val="16"/>
              </w:rPr>
              <w:t>cd /opt/preckon-tenant</w:t>
              <w:br/>
              <w:t>sh scripts/migrate.sh --dry     # list what would run</w:t>
              <w:br/>
              <w:t>sh scripts/migrate.sh           # apply, stopping at the first failure</w:t>
            </w:r>
          </w:p>
        </w:tc>
      </w:tr>
    </w:tbl>
    <w:p>
      <w:pPr>
        <w:spacing w:after="40"/>
      </w:pPr>
    </w:p>
    <w:p>
      <w:pPr>
        <w:spacing w:before="0" w:after="140" w:line="307" w:lineRule="auto"/>
      </w:pPr>
      <w:r>
        <w:rPr>
          <w:rFonts w:ascii="Georgia" w:hAnsi="Georgia"/>
          <w:b w:val="0"/>
          <w:color w:val="526068"/>
          <w:sz w:val="19"/>
        </w:rPr>
        <w:t>It stops on the first failure rather than continuing, because a half-migrated schema is worse than an unmigrated one.</w:t>
      </w:r>
    </w:p>
    <w:tbl>
      <w:tblPr>
        <w:tblW w:type="auto" w:w="0"/>
        <w:tblLook w:firstColumn="1" w:firstRow="1" w:lastColumn="0" w:lastRow="0" w:noHBand="0" w:noVBand="1" w:val="04A0"/>
        <w:tblBorders>
          <w:top w:val="single" w:sz="2" w:space="0" w:color="FBEAE8"/>
          <w:left w:val="single" w:sz="2" w:space="0" w:color="FBEAE8"/>
          <w:bottom w:val="single" w:sz="2" w:space="0" w:color="FBEAE8"/>
          <w:right w:val="single" w:sz="2" w:space="0" w:color="FBEAE8"/>
          <w:insideH w:val="single" w:sz="2" w:space="0" w:color="FBEAE8"/>
          <w:insideV w:val="single" w:sz="2" w:space="0" w:color="FBEAE8"/>
        </w:tblBorders>
      </w:tblPr>
      <w:tblGrid>
        <w:gridCol w:w="10080"/>
      </w:tblGrid>
      <w:tr>
        <w:tc>
          <w:tcPr>
            <w:tcW w:type="dxa" w:w="10080"/>
            <w:shd w:val="clear" w:fill="FBEAE8"/>
          </w:tcPr>
          <w:p>
            <w:r/>
            <w:r>
              <w:rPr>
                <w:rFonts w:ascii="Calibri" w:hAnsi="Calibri"/>
                <w:b/>
                <w:color w:val="B42318"/>
                <w:sz w:val="14"/>
              </w:rPr>
              <w:t>DEFECT D4</w:t>
            </w:r>
          </w:p>
          <w:p>
            <w:pPr>
              <w:spacing w:before="60" w:line="302" w:lineRule="auto"/>
            </w:pPr>
            <w:r>
              <w:rPr>
                <w:rFonts w:ascii="Georgia" w:hAnsi="Georgia"/>
                <w:color w:val="172126"/>
                <w:sz w:val="17"/>
              </w:rPr>
              <w:t>migrate.sh:22 defaults DB_PASS to the pre-rotation literal. On a box whose password was rotated on 1 September it will fail on every migration until DB_PASS is passed explicitly or the default is changed to read DATABASE_PASSWORD from .env — the fix already made to backup.sh.</w:t>
            </w:r>
          </w:p>
        </w:tc>
      </w:tr>
    </w:tbl>
    <w:p>
      <w:pPr>
        <w:spacing w:after="60"/>
      </w:pPr>
    </w:p>
    <w:p>
      <w:r>
        <w:br w:type="page"/>
      </w:r>
    </w:p>
    <w:p>
      <w:pPr>
        <w:spacing w:before="0" w:after="60" w:line="307" w:lineRule="auto"/>
      </w:pPr>
      <w:r>
        <w:rPr>
          <w:rFonts w:ascii="Consolas" w:hAnsi="Consolas"/>
          <w:b/>
          <w:color w:val="087E75"/>
          <w:sz w:val="15"/>
        </w:rPr>
        <w:t>PART 5</w:t>
      </w:r>
    </w:p>
    <w:p>
      <w:pPr>
        <w:spacing w:before="0" w:after="160" w:line="252" w:lineRule="auto"/>
      </w:pPr>
      <w:r>
        <w:rPr>
          <w:rFonts w:ascii="Georgia" w:hAnsi="Georgia"/>
          <w:b/>
          <w:color w:val="172126"/>
          <w:sz w:val="38"/>
        </w:rPr>
        <w:t>The AI stack</w:t>
      </w:r>
    </w:p>
    <w:p>
      <w:pPr>
        <w:spacing w:before="0" w:after="200" w:line="307" w:lineRule="auto"/>
      </w:pPr>
      <w:r>
        <w:rPr>
          <w:rFonts w:ascii="Georgia" w:hAnsi="Georgia"/>
          <w:b w:val="0"/>
          <w:color w:val="526068"/>
          <w:sz w:val="21"/>
        </w:rPr>
        <w:t>One key, held in one container, metered per attempt — and one environment variable that decides whether what you are looking at is real.</w:t>
      </w:r>
    </w:p>
    <w:p>
      <w:pPr>
        <w:spacing w:before="260" w:after="80" w:line="307" w:lineRule="auto"/>
      </w:pPr>
      <w:r>
        <w:rPr>
          <w:rFonts w:ascii="Calibri" w:hAnsi="Calibri"/>
          <w:b/>
          <w:color w:val="172126"/>
          <w:sz w:val="22"/>
        </w:rPr>
        <w:t>5.1  Where the key lives</w:t>
      </w:r>
    </w:p>
    <w:p>
      <w:pPr>
        <w:spacing w:before="0" w:after="140" w:line="307" w:lineRule="auto"/>
      </w:pPr>
      <w:r>
        <w:rPr>
          <w:rFonts w:ascii="Georgia" w:hAnsi="Georgia"/>
          <w:b w:val="0"/>
          <w:color w:val="526068"/>
          <w:sz w:val="19"/>
        </w:rPr>
        <w:t>ANTHROPIC_API_KEY is read by the WORKER only. The app container never sees it (docker-compose.yml:72), and QA case T-88 asserts exactly that. The worker also fronts a small proxy at /claude on :4000, so the app can have Claude answer without holding a credential. One file, one service, one place to rotate.</w:t>
      </w:r>
    </w:p>
    <w:p>
      <w:pPr>
        <w:spacing w:before="260" w:after="80" w:line="307" w:lineRule="auto"/>
      </w:pPr>
      <w:r>
        <w:rPr>
          <w:rFonts w:ascii="Calibri" w:hAnsi="Calibri"/>
          <w:b/>
          <w:color w:val="172126"/>
          <w:sz w:val="22"/>
        </w:rPr>
        <w:t>5.2  DEMO_STUB_MODE — what is live and what is invented</w:t>
      </w:r>
    </w:p>
    <w:p>
      <w:pPr>
        <w:spacing w:before="0" w:after="140" w:line="307" w:lineRule="auto"/>
      </w:pPr>
      <w:r>
        <w:rPr>
          <w:rFonts w:ascii="Georgia" w:hAnsi="Georgia"/>
          <w:b w:val="0"/>
          <w:color w:val="526068"/>
          <w:sz w:val="19"/>
        </w:rPr>
        <w:t>A deterministic stub can stand in for a real agent so the runtime — gates, provenance, stale and re-plan, audit, map fan-out — can be exercised without model nondeterminism. What it must never do is what it used to do: return invented quantities as status "succeeded", indistinguishable from a real bill. Somebody prices work from that.</w:t>
      </w:r>
    </w:p>
    <w:tbl>
      <w:tblPr>
        <w:tblW w:type="auto" w:w="0"/>
        <w:jc w:val="left"/>
        <w:tblLook w:firstColumn="1" w:firstRow="1" w:lastColumn="0" w:lastRow="0" w:noHBand="0" w:noVBand="1" w:val="04A0"/>
        <w:tblBorders>
          <w:top w:val="single" w:sz="4" w:space="0" w:color="D8DEE2"/>
          <w:left w:val="single" w:sz="4" w:space="0" w:color="D8DEE2"/>
          <w:bottom w:val="single" w:sz="4" w:space="0" w:color="D8DEE2"/>
          <w:right w:val="single" w:sz="4" w:space="0" w:color="D8DEE2"/>
          <w:insideH w:val="single" w:sz="4" w:space="0" w:color="D8DEE2"/>
          <w:insideV w:val="single" w:sz="4" w:space="0" w:color="D8DEE2"/>
        </w:tblBorders>
      </w:tblPr>
      <w:tblGrid>
        <w:gridCol w:w="2520"/>
        <w:gridCol w:w="2520"/>
        <w:gridCol w:w="2520"/>
        <w:gridCol w:w="2520"/>
      </w:tblGrid>
      <w:tr>
        <w:tc>
          <w:tcPr>
            <w:tcW w:type="dxa" w:w="1440"/>
            <w:shd w:val="clear" w:fill="F0F3F4"/>
          </w:tcPr>
          <w:p>
            <w:r/>
            <w:r>
              <w:rPr>
                <w:rFonts w:ascii="Calibri" w:hAnsi="Calibri"/>
                <w:b/>
                <w:color w:val="667279"/>
                <w:sz w:val="13"/>
              </w:rPr>
              <w:t>NODE_ENV</w:t>
            </w:r>
          </w:p>
        </w:tc>
        <w:tc>
          <w:tcPr>
            <w:tcW w:type="dxa" w:w="2160"/>
            <w:shd w:val="clear" w:fill="F0F3F4"/>
          </w:tcPr>
          <w:p>
            <w:r/>
            <w:r>
              <w:rPr>
                <w:rFonts w:ascii="Calibri" w:hAnsi="Calibri"/>
                <w:b/>
                <w:color w:val="667279"/>
                <w:sz w:val="13"/>
              </w:rPr>
              <w:t>DEMO_STUB_MODE</w:t>
            </w:r>
          </w:p>
        </w:tc>
        <w:tc>
          <w:tcPr>
            <w:tcW w:type="dxa" w:w="1224"/>
            <w:shd w:val="clear" w:fill="F0F3F4"/>
          </w:tcPr>
          <w:p>
            <w:r/>
            <w:r>
              <w:rPr>
                <w:rFonts w:ascii="Calibri" w:hAnsi="Calibri"/>
                <w:b/>
                <w:color w:val="667279"/>
                <w:sz w:val="13"/>
              </w:rPr>
              <w:t>STUB OUTPUT</w:t>
            </w:r>
          </w:p>
        </w:tc>
        <w:tc>
          <w:tcPr>
            <w:tcW w:type="dxa" w:w="4464"/>
            <w:shd w:val="clear" w:fill="F0F3F4"/>
          </w:tcPr>
          <w:p>
            <w:r/>
            <w:r>
              <w:rPr>
                <w:rFonts w:ascii="Calibri" w:hAnsi="Calibri"/>
                <w:b/>
                <w:color w:val="667279"/>
                <w:sz w:val="13"/>
              </w:rPr>
              <w:t>MEANING</w:t>
            </w:r>
          </w:p>
        </w:tc>
      </w:tr>
      <w:tr>
        <w:tc>
          <w:tcPr>
            <w:tcW w:type="dxa" w:w="1440"/>
          </w:tcPr>
          <w:p>
            <w:pPr>
              <w:spacing w:line="278" w:lineRule="auto" w:after="0"/>
            </w:pPr>
            <w:r/>
            <w:r>
              <w:rPr>
                <w:rFonts w:ascii="Consolas" w:hAnsi="Consolas"/>
                <w:b/>
                <w:color w:val="172126"/>
                <w:sz w:val="15"/>
              </w:rPr>
              <w:t>any</w:t>
            </w:r>
          </w:p>
        </w:tc>
        <w:tc>
          <w:tcPr>
            <w:tcW w:type="dxa" w:w="2160"/>
          </w:tcPr>
          <w:p>
            <w:pPr>
              <w:spacing w:line="278" w:lineRule="auto" w:after="0"/>
            </w:pPr>
            <w:r/>
            <w:r>
              <w:rPr>
                <w:rFonts w:ascii="Consolas" w:hAnsi="Consolas"/>
                <w:b w:val="0"/>
                <w:color w:val="526068"/>
                <w:sz w:val="15"/>
              </w:rPr>
              <w:t>true</w:t>
            </w:r>
          </w:p>
        </w:tc>
        <w:tc>
          <w:tcPr>
            <w:tcW w:type="dxa" w:w="1224"/>
          </w:tcPr>
          <w:p>
            <w:pPr>
              <w:spacing w:line="278" w:lineRule="auto" w:after="0"/>
            </w:pPr>
            <w:r/>
            <w:r>
              <w:rPr>
                <w:rFonts w:ascii="Calibri" w:hAnsi="Calibri"/>
                <w:b/>
                <w:color w:val="526068"/>
                <w:sz w:val="15"/>
              </w:rPr>
              <w:t>Permitted</w:t>
            </w:r>
          </w:p>
        </w:tc>
        <w:tc>
          <w:tcPr>
            <w:tcW w:type="dxa" w:w="4464"/>
          </w:tcPr>
          <w:p>
            <w:pPr>
              <w:spacing w:line="278" w:lineRule="auto" w:after="0"/>
            </w:pPr>
            <w:r/>
            <w:r>
              <w:rPr>
                <w:rFonts w:ascii="Calibri" w:hAnsi="Calibri"/>
                <w:b w:val="0"/>
                <w:color w:val="526068"/>
                <w:sz w:val="15"/>
              </w:rPr>
              <w:t>Explicit and deliberate — demo boxes only</w:t>
            </w:r>
          </w:p>
        </w:tc>
      </w:tr>
      <w:tr>
        <w:tc>
          <w:tcPr>
            <w:tcW w:type="dxa" w:w="1440"/>
          </w:tcPr>
          <w:p>
            <w:pPr>
              <w:spacing w:line="278" w:lineRule="auto" w:after="0"/>
            </w:pPr>
            <w:r/>
            <w:r>
              <w:rPr>
                <w:rFonts w:ascii="Consolas" w:hAnsi="Consolas"/>
                <w:b/>
                <w:color w:val="172126"/>
                <w:sz w:val="15"/>
              </w:rPr>
              <w:t>production</w:t>
            </w:r>
          </w:p>
        </w:tc>
        <w:tc>
          <w:tcPr>
            <w:tcW w:type="dxa" w:w="2160"/>
          </w:tcPr>
          <w:p>
            <w:pPr>
              <w:spacing w:line="278" w:lineRule="auto" w:after="0"/>
            </w:pPr>
            <w:r/>
            <w:r>
              <w:rPr>
                <w:rFonts w:ascii="Consolas" w:hAnsi="Consolas"/>
                <w:b w:val="0"/>
                <w:color w:val="526068"/>
                <w:sz w:val="15"/>
              </w:rPr>
              <w:t>unset / anything else</w:t>
            </w:r>
          </w:p>
        </w:tc>
        <w:tc>
          <w:tcPr>
            <w:tcW w:type="dxa" w:w="1224"/>
            <w:shd w:val="clear" w:fill="FBEAE8"/>
          </w:tcPr>
          <w:p>
            <w:pPr>
              <w:spacing w:line="278" w:lineRule="auto" w:after="0"/>
            </w:pPr>
            <w:r/>
            <w:r>
              <w:rPr>
                <w:rFonts w:ascii="Calibri" w:hAnsi="Calibri"/>
                <w:b/>
                <w:color w:val="B42318"/>
                <w:sz w:val="15"/>
              </w:rPr>
              <w:t>None</w:t>
            </w:r>
          </w:p>
        </w:tc>
        <w:tc>
          <w:tcPr>
            <w:tcW w:type="dxa" w:w="4464"/>
          </w:tcPr>
          <w:p>
            <w:pPr>
              <w:spacing w:line="278" w:lineRule="auto" w:after="0"/>
            </w:pPr>
            <w:r/>
            <w:r>
              <w:rPr>
                <w:rFonts w:ascii="Calibri" w:hAnsi="Calibri"/>
                <w:b w:val="0"/>
                <w:color w:val="526068"/>
                <w:sz w:val="15"/>
              </w:rPr>
              <w:t>The job FAILS and says the key is missing</w:t>
            </w:r>
          </w:p>
        </w:tc>
      </w:tr>
      <w:tr>
        <w:tc>
          <w:tcPr>
            <w:tcW w:type="dxa" w:w="1440"/>
          </w:tcPr>
          <w:p>
            <w:pPr>
              <w:spacing w:line="278" w:lineRule="auto" w:after="0"/>
            </w:pPr>
            <w:r/>
            <w:r>
              <w:rPr>
                <w:rFonts w:ascii="Consolas" w:hAnsi="Consolas"/>
                <w:b/>
                <w:color w:val="172126"/>
                <w:sz w:val="15"/>
              </w:rPr>
              <w:t>development / test</w:t>
            </w:r>
          </w:p>
        </w:tc>
        <w:tc>
          <w:tcPr>
            <w:tcW w:type="dxa" w:w="2160"/>
          </w:tcPr>
          <w:p>
            <w:pPr>
              <w:spacing w:line="278" w:lineRule="auto" w:after="0"/>
            </w:pPr>
            <w:r/>
            <w:r>
              <w:rPr>
                <w:rFonts w:ascii="Consolas" w:hAnsi="Consolas"/>
                <w:b w:val="0"/>
                <w:color w:val="526068"/>
                <w:sz w:val="15"/>
              </w:rPr>
              <w:t>unset</w:t>
            </w:r>
          </w:p>
        </w:tc>
        <w:tc>
          <w:tcPr>
            <w:tcW w:type="dxa" w:w="1224"/>
          </w:tcPr>
          <w:p>
            <w:pPr>
              <w:spacing w:line="278" w:lineRule="auto" w:after="0"/>
            </w:pPr>
            <w:r/>
            <w:r>
              <w:rPr>
                <w:rFonts w:ascii="Calibri" w:hAnsi="Calibri"/>
                <w:b/>
                <w:color w:val="526068"/>
                <w:sz w:val="15"/>
              </w:rPr>
              <w:t>Permitted</w:t>
            </w:r>
          </w:p>
        </w:tc>
        <w:tc>
          <w:tcPr>
            <w:tcW w:type="dxa" w:w="4464"/>
          </w:tcPr>
          <w:p>
            <w:pPr>
              <w:spacing w:line="278" w:lineRule="auto" w:after="0"/>
            </w:pPr>
            <w:r/>
            <w:r>
              <w:rPr>
                <w:rFonts w:ascii="Calibri" w:hAnsi="Calibri"/>
                <w:b w:val="0"/>
                <w:color w:val="526068"/>
                <w:sz w:val="15"/>
              </w:rPr>
              <w:t>Exercise the runtime without a key</w:t>
            </w:r>
          </w:p>
        </w:tc>
      </w:tr>
    </w:tbl>
    <w:p>
      <w:pPr>
        <w:spacing w:after="60"/>
      </w:pPr>
    </w:p>
    <w:p>
      <w:pPr>
        <w:spacing w:before="0" w:after="140" w:line="307" w:lineRule="auto"/>
      </w:pPr>
      <w:r>
        <w:rPr>
          <w:rFonts w:ascii="Georgia" w:hAnsi="Georgia"/>
          <w:b w:val="0"/>
          <w:color w:val="526068"/>
          <w:sz w:val="19"/>
        </w:rPr>
        <w:t>On this deployment the worker image pins NODE_ENV=production and compose passes the variable through as ${DEMO_STUB_MODE:-}, so only two live states are possible: unset, which is correct, or true, which means every AI result on the box is invented and reported as a success.</w:t>
      </w:r>
    </w:p>
    <w:tbl>
      <w:tblPr>
        <w:tblW w:type="auto" w:w="0"/>
        <w:tblLook w:firstColumn="1" w:firstRow="1" w:lastColumn="0" w:lastRow="0" w:noHBand="0" w:noVBand="1" w:val="04A0"/>
        <w:tblBorders>
          <w:top w:val="single" w:sz="2" w:space="0" w:color="E7EBEE"/>
          <w:left w:val="single" w:sz="2" w:space="0" w:color="E7EBEE"/>
          <w:bottom w:val="single" w:sz="2" w:space="0" w:color="E7EBEE"/>
          <w:right w:val="single" w:sz="2" w:space="0" w:color="E7EBEE"/>
          <w:insideH w:val="single" w:sz="2" w:space="0" w:color="E7EBEE"/>
          <w:insideV w:val="single" w:sz="2" w:space="0" w:color="E7EBEE"/>
        </w:tblBorders>
      </w:tblPr>
      <w:tblGrid>
        <w:gridCol w:w="10080"/>
      </w:tblGrid>
      <w:tr>
        <w:tc>
          <w:tcPr>
            <w:tcW w:type="dxa" w:w="10080"/>
            <w:shd w:val="clear" w:fill="F5F7F8"/>
          </w:tcPr>
          <w:p>
            <w:pPr>
              <w:spacing w:line="288" w:lineRule="auto"/>
            </w:pPr>
            <w:r/>
            <w:r>
              <w:rPr>
                <w:rFonts w:ascii="Consolas" w:hAnsi="Consolas"/>
                <w:color w:val="172126"/>
                <w:sz w:val="16"/>
              </w:rPr>
              <w:t>cd /opt/preckon-tenant</w:t>
              <w:br/>
              <w:t>docker compose logs worker | grep 'Claude:'</w:t>
              <w:br/>
              <w:br/>
              <w:t># what a correctly configured box says:</w:t>
              <w:br/>
              <w:t>[worker] Claude: configured · stub output: refused</w:t>
              <w:br/>
              <w:t xml:space="preserve">         (NODE_ENV=production and DEMO_STUB_MODE is not set)</w:t>
            </w:r>
          </w:p>
        </w:tc>
      </w:tr>
    </w:tbl>
    <w:p>
      <w:pPr>
        <w:spacing w:after="40"/>
      </w:pPr>
    </w:p>
    <w:p>
      <w:pPr>
        <w:spacing w:before="0" w:after="140" w:line="307" w:lineRule="auto"/>
      </w:pPr>
      <w:r>
        <w:rPr>
          <w:rFonts w:ascii="Georgia" w:hAnsi="Georgia"/>
          <w:b w:val="0"/>
          <w:color w:val="526068"/>
          <w:sz w:val="19"/>
        </w:rPr>
        <w:t>The worker announces this at boot rather than letting it be discovered one job at a time, and prints a warning line if stubs are permitted in production. Read the boot line rather than the .env file — the file is not necessarily what the running container has.</w:t>
      </w:r>
    </w:p>
    <w:p>
      <w:pPr>
        <w:spacing w:before="260" w:after="80" w:line="307" w:lineRule="auto"/>
      </w:pPr>
      <w:r>
        <w:rPr>
          <w:rFonts w:ascii="Calibri" w:hAnsi="Calibri"/>
          <w:b/>
          <w:color w:val="172126"/>
          <w:sz w:val="22"/>
        </w:rPr>
        <w:t>5.3  Cost is metered per attempt</w:t>
      </w:r>
    </w:p>
    <w:p>
      <w:pPr>
        <w:spacing w:before="0" w:after="140" w:line="307" w:lineRule="auto"/>
      </w:pPr>
      <w:r>
        <w:rPr>
          <w:rFonts w:ascii="Georgia" w:hAnsi="Georgia"/>
          <w:b w:val="0"/>
          <w:color w:val="526068"/>
          <w:sz w:val="19"/>
        </w:rPr>
        <w:t>ai_usage_ledger is append-only, one row per ATTEMPT including failed ones (ADR-006, migration 021_ai_governance.sql). A job that spends tokens on attempt 1, fails validation and succeeds on attempt 2 records both — recording only the successful attempt hides exactly the spend that a retry loop generates. ai_job carries the last-attempt summary; total spend lives in the ledger.</w:t>
      </w:r>
    </w:p>
    <w:p>
      <w:pPr>
        <w:spacing w:before="260" w:after="80" w:line="307" w:lineRule="auto"/>
      </w:pPr>
      <w:r>
        <w:rPr>
          <w:rFonts w:ascii="Calibri" w:hAnsi="Calibri"/>
          <w:b/>
          <w:color w:val="172126"/>
          <w:sz w:val="22"/>
        </w:rPr>
        <w:t>5.4  Recommended: a separate development key</w:t>
      </w:r>
    </w:p>
    <w:p>
      <w:pPr>
        <w:spacing w:before="0" w:after="140" w:line="307" w:lineRule="auto"/>
      </w:pPr>
      <w:r>
        <w:rPr>
          <w:rFonts w:ascii="Georgia" w:hAnsi="Georgia"/>
          <w:b w:val="0"/>
          <w:color w:val="526068"/>
          <w:sz w:val="19"/>
        </w:rPr>
        <w:t>One key with one budget means no per-consumer attribution — a test run and a customer's bill of quantities are the same line item, and a runaway loop in development is indistinguishable from real workload until the invoice arrives. Because the key is worker-only and spend is already metered per attempt, separating them costs one console visit and one line in a .env.</w:t>
      </w:r>
    </w:p>
    <w:tbl>
      <w:tblPr>
        <w:tblW w:type="auto" w:w="0"/>
        <w:jc w:val="left"/>
        <w:tblLook w:firstColumn="1" w:firstRow="1" w:lastColumn="0" w:lastRow="0" w:noHBand="0" w:noVBand="1" w:val="04A0"/>
        <w:tblBorders>
          <w:top w:val="single" w:sz="4" w:space="0" w:color="D8DEE2"/>
          <w:left w:val="single" w:sz="4" w:space="0" w:color="D8DEE2"/>
          <w:bottom w:val="single" w:sz="4" w:space="0" w:color="D8DEE2"/>
          <w:right w:val="single" w:sz="4" w:space="0" w:color="D8DEE2"/>
          <w:insideH w:val="single" w:sz="4" w:space="0" w:color="D8DEE2"/>
          <w:insideV w:val="single" w:sz="4" w:space="0" w:color="D8DEE2"/>
        </w:tblBorders>
      </w:tblPr>
      <w:tblGrid>
        <w:gridCol w:w="5040"/>
        <w:gridCol w:w="5040"/>
      </w:tblGrid>
      <w:tr>
        <w:tc>
          <w:tcPr>
            <w:tcW w:type="dxa" w:w="4176"/>
            <w:shd w:val="clear" w:fill="F0F3F4"/>
          </w:tcPr>
          <w:p>
            <w:r/>
            <w:r>
              <w:rPr>
                <w:rFonts w:ascii="Calibri" w:hAnsi="Calibri"/>
                <w:b/>
                <w:color w:val="667279"/>
                <w:sz w:val="13"/>
              </w:rPr>
              <w:t>STEP</w:t>
            </w:r>
          </w:p>
        </w:tc>
        <w:tc>
          <w:tcPr>
            <w:tcW w:type="dxa" w:w="5256"/>
            <w:shd w:val="clear" w:fill="F0F3F4"/>
          </w:tcPr>
          <w:p>
            <w:r/>
            <w:r>
              <w:rPr>
                <w:rFonts w:ascii="Calibri" w:hAnsi="Calibri"/>
                <w:b/>
                <w:color w:val="667279"/>
                <w:sz w:val="13"/>
              </w:rPr>
              <w:t>WHY</w:t>
            </w:r>
          </w:p>
        </w:tc>
      </w:tr>
      <w:tr>
        <w:tc>
          <w:tcPr>
            <w:tcW w:type="dxa" w:w="4176"/>
          </w:tcPr>
          <w:p>
            <w:pPr>
              <w:spacing w:line="278" w:lineRule="auto" w:after="0"/>
            </w:pPr>
            <w:r/>
            <w:r>
              <w:rPr>
                <w:rFonts w:ascii="Calibri" w:hAnsi="Calibri"/>
                <w:b/>
                <w:color w:val="172126"/>
                <w:sz w:val="15"/>
              </w:rPr>
              <w:t>Create a second key in a separate Anthropic workspace</w:t>
            </w:r>
          </w:p>
        </w:tc>
        <w:tc>
          <w:tcPr>
            <w:tcW w:type="dxa" w:w="5256"/>
          </w:tcPr>
          <w:p>
            <w:pPr>
              <w:spacing w:line="278" w:lineRule="auto" w:after="0"/>
            </w:pPr>
            <w:r/>
            <w:r>
              <w:rPr>
                <w:rFonts w:ascii="Calibri" w:hAnsi="Calibri"/>
                <w:b w:val="0"/>
                <w:color w:val="526068"/>
                <w:sz w:val="15"/>
              </w:rPr>
              <w:t>Attribution and a cap belong to the workspace, not the key</w:t>
            </w:r>
          </w:p>
        </w:tc>
      </w:tr>
      <w:tr>
        <w:tc>
          <w:tcPr>
            <w:tcW w:type="dxa" w:w="4176"/>
          </w:tcPr>
          <w:p>
            <w:pPr>
              <w:spacing w:line="278" w:lineRule="auto" w:after="0"/>
            </w:pPr>
            <w:r/>
            <w:r>
              <w:rPr>
                <w:rFonts w:ascii="Calibri" w:hAnsi="Calibri"/>
                <w:b/>
                <w:color w:val="172126"/>
                <w:sz w:val="15"/>
              </w:rPr>
              <w:t>Put a monthly spend limit on the dev workspace</w:t>
            </w:r>
          </w:p>
        </w:tc>
        <w:tc>
          <w:tcPr>
            <w:tcW w:type="dxa" w:w="5256"/>
          </w:tcPr>
          <w:p>
            <w:pPr>
              <w:spacing w:line="278" w:lineRule="auto" w:after="0"/>
            </w:pPr>
            <w:r/>
            <w:r>
              <w:rPr>
                <w:rFonts w:ascii="Calibri" w:hAnsi="Calibri"/>
                <w:b w:val="0"/>
                <w:color w:val="526068"/>
                <w:sz w:val="15"/>
              </w:rPr>
              <w:t>Caps the blast radius of a loop, which is the actual risk</w:t>
            </w:r>
          </w:p>
        </w:tc>
      </w:tr>
      <w:tr>
        <w:tc>
          <w:tcPr>
            <w:tcW w:type="dxa" w:w="4176"/>
          </w:tcPr>
          <w:p>
            <w:pPr>
              <w:spacing w:line="278" w:lineRule="auto" w:after="0"/>
            </w:pPr>
            <w:r/>
            <w:r>
              <w:rPr>
                <w:rFonts w:ascii="Calibri" w:hAnsi="Calibri"/>
                <w:b/>
                <w:color w:val="172126"/>
                <w:sz w:val="15"/>
              </w:rPr>
              <w:t>Leave production uncapped but ALERTED</w:t>
            </w:r>
          </w:p>
        </w:tc>
        <w:tc>
          <w:tcPr>
            <w:tcW w:type="dxa" w:w="5256"/>
          </w:tcPr>
          <w:p>
            <w:pPr>
              <w:spacing w:line="278" w:lineRule="auto" w:after="0"/>
            </w:pPr>
            <w:r/>
            <w:r>
              <w:rPr>
                <w:rFonts w:ascii="Calibri" w:hAnsi="Calibri"/>
                <w:b w:val="0"/>
                <w:color w:val="526068"/>
                <w:sz w:val="15"/>
              </w:rPr>
              <w:t>A hard cap on production is an outage waiting for a busy week</w:t>
            </w:r>
          </w:p>
        </w:tc>
      </w:tr>
      <w:tr>
        <w:tc>
          <w:tcPr>
            <w:tcW w:type="dxa" w:w="4176"/>
          </w:tcPr>
          <w:p>
            <w:pPr>
              <w:spacing w:line="278" w:lineRule="auto" w:after="0"/>
            </w:pPr>
            <w:r/>
            <w:r>
              <w:rPr>
                <w:rFonts w:ascii="Calibri" w:hAnsi="Calibri"/>
                <w:b/>
                <w:color w:val="172126"/>
                <w:sz w:val="15"/>
              </w:rPr>
              <w:t>Dev key in the .env of the box you test against, never in the repo</w:t>
            </w:r>
          </w:p>
        </w:tc>
        <w:tc>
          <w:tcPr>
            <w:tcW w:type="dxa" w:w="5256"/>
          </w:tcPr>
          <w:p>
            <w:pPr>
              <w:spacing w:line="278" w:lineRule="auto" w:after="0"/>
            </w:pPr>
            <w:r/>
            <w:r>
              <w:rPr>
                <w:rFonts w:ascii="Calibri" w:hAnsi="Calibri"/>
                <w:b w:val="0"/>
                <w:color w:val="526068"/>
                <w:sz w:val="15"/>
              </w:rPr>
              <w:t>The autosync credential guard matches sk-ant- shapes, but it is a net, not a policy</w:t>
            </w:r>
          </w:p>
        </w:tc>
      </w:tr>
      <w:tr>
        <w:tc>
          <w:tcPr>
            <w:tcW w:type="dxa" w:w="4176"/>
          </w:tcPr>
          <w:p>
            <w:pPr>
              <w:spacing w:line="278" w:lineRule="auto" w:after="0"/>
            </w:pPr>
            <w:r/>
            <w:r>
              <w:rPr>
                <w:rFonts w:ascii="Calibri" w:hAnsi="Calibri"/>
                <w:b/>
                <w:color w:val="172126"/>
                <w:sz w:val="15"/>
              </w:rPr>
              <w:t>Use the dev key even against production data</w:t>
            </w:r>
          </w:p>
        </w:tc>
        <w:tc>
          <w:tcPr>
            <w:tcW w:type="dxa" w:w="5256"/>
          </w:tcPr>
          <w:p>
            <w:pPr>
              <w:spacing w:line="278" w:lineRule="auto" w:after="0"/>
            </w:pPr>
            <w:r/>
            <w:r>
              <w:rPr>
                <w:rFonts w:ascii="Calibri" w:hAnsi="Calibri"/>
                <w:b w:val="0"/>
                <w:color w:val="526068"/>
                <w:sz w:val="15"/>
              </w:rPr>
              <w:t>The ledger then attributes your spend separately</w:t>
            </w:r>
          </w:p>
        </w:tc>
      </w:tr>
      <w:tr>
        <w:tc>
          <w:tcPr>
            <w:tcW w:type="dxa" w:w="4176"/>
          </w:tcPr>
          <w:p>
            <w:pPr>
              <w:spacing w:line="278" w:lineRule="auto" w:after="0"/>
            </w:pPr>
            <w:r/>
            <w:r>
              <w:rPr>
                <w:rFonts w:ascii="Calibri" w:hAnsi="Calibri"/>
                <w:b/>
                <w:color w:val="172126"/>
                <w:sz w:val="15"/>
              </w:rPr>
              <w:t>Rotate the production key at the same time</w:t>
            </w:r>
          </w:p>
        </w:tc>
        <w:tc>
          <w:tcPr>
            <w:tcW w:type="dxa" w:w="5256"/>
          </w:tcPr>
          <w:p>
            <w:pPr>
              <w:spacing w:line="278" w:lineRule="auto" w:after="0"/>
            </w:pPr>
            <w:r/>
            <w:r>
              <w:rPr>
                <w:rFonts w:ascii="Calibri" w:hAnsi="Calibri"/>
                <w:b w:val="0"/>
                <w:color w:val="526068"/>
                <w:sz w:val="15"/>
              </w:rPr>
              <w:t>It has lived in a .env on a box still serving a plain-HTTP vhost, and DEPLOY.md tells anyone deploying to append it by hand</w:t>
            </w:r>
          </w:p>
        </w:tc>
      </w:tr>
    </w:tbl>
    <w:p>
      <w:pPr>
        <w:spacing w:after="60"/>
      </w:pPr>
    </w:p>
    <w:p>
      <w:pPr>
        <w:spacing w:before="260" w:after="80" w:line="307" w:lineRule="auto"/>
      </w:pPr>
      <w:r>
        <w:rPr>
          <w:rFonts w:ascii="Calibri" w:hAnsi="Calibri"/>
          <w:b/>
          <w:color w:val="172126"/>
          <w:sz w:val="22"/>
        </w:rPr>
        <w:t>5.5  Drawings</w:t>
      </w:r>
    </w:p>
    <w:p>
      <w:pPr>
        <w:spacing w:before="0" w:after="140" w:line="307" w:lineRule="auto"/>
      </w:pPr>
      <w:r>
        <w:rPr>
          <w:rFonts w:ascii="Georgia" w:hAnsi="Georgia"/>
          <w:b w:val="0"/>
          <w:color w:val="526068"/>
          <w:sz w:val="19"/>
        </w:rPr>
        <w:t>The cad sidecar parses DXF natively through ezdxf and converts DWG with LibreDWG, which is built into the image — nothing to download, register for or install on the host. The ODA File Converter is preferred when present because its fidelity on awkward older DWGs is better; set EZDXF_ODAFC and mount it, and the sidecar tries ODA first and falls back. Configuring it can only improve results.</w:t>
      </w:r>
    </w:p>
    <w:p>
      <w:pPr>
        <w:spacing w:before="0" w:after="140" w:line="307" w:lineRule="auto"/>
      </w:pPr>
      <w:r>
        <w:rPr>
          <w:rFonts w:ascii="Georgia" w:hAnsi="Georgia"/>
          <w:b w:val="0"/>
          <w:color w:val="526068"/>
          <w:sz w:val="19"/>
        </w:rPr>
        <w:t>If a drawing defeats both, the upload is marked FAILED with a message telling the estimator to re-save as DXF. It is never silently ingested as unreadable bytes — a drawing that looks understood but is not is how a bill of quantities quietly loses a discipline. Note the cad image builds LibreDWG from source, so the first build takes several minutes; later builds hit the layer cache.</w:t>
      </w:r>
    </w:p>
    <w:p>
      <w:r>
        <w:br w:type="page"/>
      </w:r>
    </w:p>
    <w:p>
      <w:pPr>
        <w:spacing w:before="0" w:after="60" w:line="307" w:lineRule="auto"/>
      </w:pPr>
      <w:r>
        <w:rPr>
          <w:rFonts w:ascii="Consolas" w:hAnsi="Consolas"/>
          <w:b/>
          <w:color w:val="087E75"/>
          <w:sz w:val="15"/>
        </w:rPr>
        <w:t>PART 6</w:t>
      </w:r>
    </w:p>
    <w:p>
      <w:pPr>
        <w:spacing w:before="0" w:after="160" w:line="252" w:lineRule="auto"/>
      </w:pPr>
      <w:r>
        <w:rPr>
          <w:rFonts w:ascii="Georgia" w:hAnsi="Georgia"/>
          <w:b/>
          <w:color w:val="172126"/>
          <w:sz w:val="38"/>
        </w:rPr>
        <w:t>Deploy, rollback and backups</w:t>
      </w:r>
    </w:p>
    <w:p>
      <w:pPr>
        <w:spacing w:before="0" w:after="200" w:line="307" w:lineRule="auto"/>
      </w:pPr>
      <w:r>
        <w:rPr>
          <w:rFonts w:ascii="Georgia" w:hAnsi="Georgia"/>
          <w:b w:val="0"/>
          <w:color w:val="526068"/>
          <w:sz w:val="21"/>
        </w:rPr>
        <w:t>The deploy path works as designed and is currently broken by a stale password. There is no rollback. The backups are verified, and there is one copy of them, on the disk they protect.</w:t>
      </w:r>
    </w:p>
    <w:p>
      <w:pPr>
        <w:spacing w:before="260" w:after="80" w:line="307" w:lineRule="auto"/>
      </w:pPr>
      <w:r>
        <w:rPr>
          <w:rFonts w:ascii="Calibri" w:hAnsi="Calibri"/>
          <w:b/>
          <w:color w:val="172126"/>
          <w:sz w:val="22"/>
        </w:rPr>
        <w:t>6.1  Which path is the deploy path</w:t>
      </w:r>
    </w:p>
    <w:p>
      <w:pPr>
        <w:spacing w:before="0" w:after="140" w:line="307" w:lineRule="auto"/>
      </w:pPr>
      <w:r>
        <w:rPr>
          <w:rFonts w:ascii="Georgia" w:hAnsi="Georgia"/>
          <w:b w:val="0"/>
          <w:color w:val="526068"/>
          <w:sz w:val="19"/>
        </w:rPr>
        <w:t>There are three, which is two too many. scripts/update-from-git.sh is the one to use and the one to make canonical.</w:t>
      </w:r>
    </w:p>
    <w:tbl>
      <w:tblPr>
        <w:tblW w:type="auto" w:w="0"/>
        <w:jc w:val="left"/>
        <w:tblLook w:firstColumn="1" w:firstRow="1" w:lastColumn="0" w:lastRow="0" w:noHBand="0" w:noVBand="1" w:val="04A0"/>
        <w:tblBorders>
          <w:top w:val="single" w:sz="4" w:space="0" w:color="D8DEE2"/>
          <w:left w:val="single" w:sz="4" w:space="0" w:color="D8DEE2"/>
          <w:bottom w:val="single" w:sz="4" w:space="0" w:color="D8DEE2"/>
          <w:right w:val="single" w:sz="4" w:space="0" w:color="D8DEE2"/>
          <w:insideH w:val="single" w:sz="4" w:space="0" w:color="D8DEE2"/>
          <w:insideV w:val="single" w:sz="4" w:space="0" w:color="D8DEE2"/>
        </w:tblBorders>
      </w:tblPr>
      <w:tblGrid>
        <w:gridCol w:w="3360"/>
        <w:gridCol w:w="3360"/>
        <w:gridCol w:w="3360"/>
      </w:tblGrid>
      <w:tr>
        <w:tc>
          <w:tcPr>
            <w:tcW w:type="dxa" w:w="3024"/>
            <w:shd w:val="clear" w:fill="F0F3F4"/>
          </w:tcPr>
          <w:p>
            <w:r/>
            <w:r>
              <w:rPr>
                <w:rFonts w:ascii="Calibri" w:hAnsi="Calibri"/>
                <w:b/>
                <w:color w:val="667279"/>
                <w:sz w:val="13"/>
              </w:rPr>
              <w:t>PATH</w:t>
            </w:r>
          </w:p>
        </w:tc>
        <w:tc>
          <w:tcPr>
            <w:tcW w:type="dxa" w:w="5256"/>
            <w:shd w:val="clear" w:fill="F0F3F4"/>
          </w:tcPr>
          <w:p>
            <w:r/>
            <w:r>
              <w:rPr>
                <w:rFonts w:ascii="Calibri" w:hAnsi="Calibri"/>
                <w:b/>
                <w:color w:val="667279"/>
                <w:sz w:val="13"/>
              </w:rPr>
              <w:t>SHAPE</w:t>
            </w:r>
          </w:p>
        </w:tc>
        <w:tc>
          <w:tcPr>
            <w:tcW w:type="dxa" w:w="1152"/>
            <w:shd w:val="clear" w:fill="F0F3F4"/>
          </w:tcPr>
          <w:p>
            <w:r/>
            <w:r>
              <w:rPr>
                <w:rFonts w:ascii="Calibri" w:hAnsi="Calibri"/>
                <w:b/>
                <w:color w:val="667279"/>
                <w:sz w:val="13"/>
              </w:rPr>
              <w:t>USE IT?</w:t>
            </w:r>
          </w:p>
        </w:tc>
      </w:tr>
      <w:tr>
        <w:tc>
          <w:tcPr>
            <w:tcW w:type="dxa" w:w="3024"/>
          </w:tcPr>
          <w:p>
            <w:pPr>
              <w:spacing w:line="278" w:lineRule="auto" w:after="0"/>
            </w:pPr>
            <w:r/>
            <w:r>
              <w:rPr>
                <w:rFonts w:ascii="Calibri" w:hAnsi="Calibri"/>
                <w:b/>
                <w:color w:val="172126"/>
                <w:sz w:val="15"/>
              </w:rPr>
              <w:t>scripts/update-from-git.sh</w:t>
            </w:r>
          </w:p>
        </w:tc>
        <w:tc>
          <w:tcPr>
            <w:tcW w:type="dxa" w:w="5256"/>
          </w:tcPr>
          <w:p>
            <w:pPr>
              <w:spacing w:line="278" w:lineRule="auto" w:after="0"/>
            </w:pPr>
            <w:r/>
            <w:r>
              <w:rPr>
                <w:rFonts w:ascii="Calibri" w:hAnsi="Calibri"/>
                <w:b w:val="0"/>
                <w:color w:val="526068"/>
                <w:sz w:val="15"/>
              </w:rPr>
              <w:t>Server pulls from GitHub, rsyncs, migrates, re-seeds the catalog, rebuilds</w:t>
            </w:r>
          </w:p>
        </w:tc>
        <w:tc>
          <w:tcPr>
            <w:tcW w:type="dxa" w:w="1152"/>
            <w:shd w:val="clear" w:fill="E6F3F1"/>
          </w:tcPr>
          <w:p>
            <w:pPr>
              <w:spacing w:line="278" w:lineRule="auto" w:after="0"/>
            </w:pPr>
            <w:r/>
            <w:r>
              <w:rPr>
                <w:rFonts w:ascii="Calibri" w:hAnsi="Calibri"/>
                <w:b/>
                <w:color w:val="087E75"/>
                <w:sz w:val="15"/>
              </w:rPr>
              <w:t>Yes</w:t>
            </w:r>
          </w:p>
        </w:tc>
      </w:tr>
      <w:tr>
        <w:tc>
          <w:tcPr>
            <w:tcW w:type="dxa" w:w="3024"/>
          </w:tcPr>
          <w:p>
            <w:pPr>
              <w:spacing w:line="278" w:lineRule="auto" w:after="0"/>
            </w:pPr>
            <w:r/>
            <w:r>
              <w:rPr>
                <w:rFonts w:ascii="Calibri" w:hAnsi="Calibri"/>
                <w:b/>
                <w:color w:val="172126"/>
                <w:sz w:val="15"/>
              </w:rPr>
              <w:t>deploy.ps1</w:t>
            </w:r>
          </w:p>
        </w:tc>
        <w:tc>
          <w:tcPr>
            <w:tcW w:type="dxa" w:w="5256"/>
          </w:tcPr>
          <w:p>
            <w:pPr>
              <w:spacing w:line="278" w:lineRule="auto" w:after="0"/>
            </w:pPr>
            <w:r/>
            <w:r>
              <w:rPr>
                <w:rFonts w:ascii="Calibri" w:hAnsi="Calibri"/>
                <w:b w:val="0"/>
                <w:color w:val="526068"/>
                <w:sz w:val="15"/>
              </w:rPr>
              <w:t>Windows: package a tarball, scp it up, build on the server</w:t>
            </w:r>
          </w:p>
        </w:tc>
        <w:tc>
          <w:tcPr>
            <w:tcW w:type="dxa" w:w="1152"/>
            <w:shd w:val="clear" w:fill="FBEAE8"/>
          </w:tcPr>
          <w:p>
            <w:pPr>
              <w:spacing w:line="278" w:lineRule="auto" w:after="0"/>
            </w:pPr>
            <w:r/>
            <w:r>
              <w:rPr>
                <w:rFonts w:ascii="Calibri" w:hAnsi="Calibri"/>
                <w:b/>
                <w:color w:val="B42318"/>
                <w:sz w:val="15"/>
              </w:rPr>
              <w:t>No</w:t>
            </w:r>
          </w:p>
        </w:tc>
      </w:tr>
      <w:tr>
        <w:tc>
          <w:tcPr>
            <w:tcW w:type="dxa" w:w="3024"/>
          </w:tcPr>
          <w:p>
            <w:pPr>
              <w:spacing w:line="278" w:lineRule="auto" w:after="0"/>
            </w:pPr>
            <w:r/>
            <w:r>
              <w:rPr>
                <w:rFonts w:ascii="Calibri" w:hAnsi="Calibri"/>
                <w:b/>
                <w:color w:val="172126"/>
                <w:sz w:val="15"/>
              </w:rPr>
              <w:t>DEPLOY.md runbook</w:t>
            </w:r>
          </w:p>
        </w:tc>
        <w:tc>
          <w:tcPr>
            <w:tcW w:type="dxa" w:w="5256"/>
          </w:tcPr>
          <w:p>
            <w:pPr>
              <w:spacing w:line="278" w:lineRule="auto" w:after="0"/>
            </w:pPr>
            <w:r/>
            <w:r>
              <w:rPr>
                <w:rFonts w:ascii="Calibri" w:hAnsi="Calibri"/>
                <w:b w:val="0"/>
                <w:color w:val="526068"/>
                <w:sz w:val="15"/>
              </w:rPr>
              <w:t>The same tarball flow by hand</w:t>
            </w:r>
          </w:p>
        </w:tc>
        <w:tc>
          <w:tcPr>
            <w:tcW w:type="dxa" w:w="1152"/>
            <w:shd w:val="clear" w:fill="FBEAE8"/>
          </w:tcPr>
          <w:p>
            <w:pPr>
              <w:spacing w:line="278" w:lineRule="auto" w:after="0"/>
            </w:pPr>
            <w:r/>
            <w:r>
              <w:rPr>
                <w:rFonts w:ascii="Calibri" w:hAnsi="Calibri"/>
                <w:b/>
                <w:color w:val="B42318"/>
                <w:sz w:val="15"/>
              </w:rPr>
              <w:t>No</w:t>
            </w:r>
          </w:p>
        </w:tc>
      </w:tr>
    </w:tbl>
    <w:p>
      <w:pPr>
        <w:spacing w:after="60"/>
      </w:pPr>
    </w:p>
    <w:tbl>
      <w:tblPr>
        <w:tblW w:type="auto" w:w="0"/>
        <w:tblLook w:firstColumn="1" w:firstRow="1" w:lastColumn="0" w:lastRow="0" w:noHBand="0" w:noVBand="1" w:val="04A0"/>
        <w:tblBorders>
          <w:top w:val="single" w:sz="2" w:space="0" w:color="FBF0E0"/>
          <w:left w:val="single" w:sz="2" w:space="0" w:color="FBF0E0"/>
          <w:bottom w:val="single" w:sz="2" w:space="0" w:color="FBF0E0"/>
          <w:right w:val="single" w:sz="2" w:space="0" w:color="FBF0E0"/>
          <w:insideH w:val="single" w:sz="2" w:space="0" w:color="FBF0E0"/>
          <w:insideV w:val="single" w:sz="2" w:space="0" w:color="FBF0E0"/>
        </w:tblBorders>
      </w:tblPr>
      <w:tblGrid>
        <w:gridCol w:w="10080"/>
      </w:tblGrid>
      <w:tr>
        <w:tc>
          <w:tcPr>
            <w:tcW w:type="dxa" w:w="10080"/>
            <w:shd w:val="clear" w:fill="FBF0E0"/>
          </w:tcPr>
          <w:p>
            <w:r/>
            <w:r>
              <w:rPr>
                <w:rFonts w:ascii="Calibri" w:hAnsi="Calibri"/>
                <w:b/>
                <w:color w:val="A56000"/>
                <w:sz w:val="14"/>
              </w:rPr>
              <w:t>WHY THE SERVER PULLS RATHER THAN RECEIVING A COPY</w:t>
            </w:r>
          </w:p>
          <w:p>
            <w:pPr>
              <w:spacing w:before="60" w:line="302" w:lineRule="auto"/>
            </w:pPr>
            <w:r>
              <w:rPr>
                <w:rFonts w:ascii="Georgia" w:hAnsi="Georgia"/>
                <w:color w:val="172126"/>
                <w:sz w:val="17"/>
              </w:rPr>
              <w:t>Pasting the packaging half of the tarball flow into an SSH session silently produces a 45-byte empty tarball, scp's THAT over the good one, and then every docker compose build reports success with every layer CACHED — a deploy that looks perfect and ships nothing. deploy.ps1 refuses to run anywhere but Windows and checks the size of what arrived, precisely because of that. Pulling avoids the whole class.</w:t>
            </w:r>
          </w:p>
        </w:tc>
      </w:tr>
    </w:tbl>
    <w:p>
      <w:pPr>
        <w:spacing w:after="60"/>
      </w:pPr>
    </w:p>
    <w:p>
      <w:pPr>
        <w:spacing w:before="260" w:after="80" w:line="307" w:lineRule="auto"/>
      </w:pPr>
      <w:r>
        <w:rPr>
          <w:rFonts w:ascii="Calibri" w:hAnsi="Calibri"/>
          <w:b/>
          <w:color w:val="172126"/>
          <w:sz w:val="22"/>
        </w:rPr>
        <w:t>6.2  What update-from-git.sh does</w:t>
      </w:r>
    </w:p>
    <w:p>
      <w:pPr>
        <w:pStyle w:val="ListBullet"/>
        <w:spacing w:after="60" w:line="302" w:lineRule="auto"/>
        <w:ind w:left="360"/>
      </w:pPr>
      <w:r>
        <w:rPr>
          <w:rFonts w:ascii="Calibri" w:hAnsi="Calibri"/>
          <w:b/>
          <w:color w:val="172126"/>
          <w:sz w:val="17"/>
        </w:rPr>
        <w:t xml:space="preserve">1  </w:t>
      </w:r>
      <w:r>
        <w:rPr>
          <w:rFonts w:ascii="Georgia" w:hAnsi="Georgia"/>
          <w:color w:val="526068"/>
          <w:sz w:val="17"/>
        </w:rPr>
        <w:t>git clone --depth 1 of PRECKON_REPO, default techsmeinc/preckon-tenant. It detects whether the repo holds a plane at its root or nests it, rather than assuming.</w:t>
      </w:r>
    </w:p>
    <w:p>
      <w:pPr>
        <w:pStyle w:val="ListBullet"/>
        <w:spacing w:after="60" w:line="302" w:lineRule="auto"/>
        <w:ind w:left="360"/>
      </w:pPr>
      <w:r>
        <w:rPr>
          <w:rFonts w:ascii="Calibri" w:hAnsi="Calibri"/>
          <w:b/>
          <w:color w:val="172126"/>
          <w:sz w:val="17"/>
        </w:rPr>
        <w:t xml:space="preserve">2  </w:t>
      </w:r>
      <w:r>
        <w:rPr>
          <w:rFonts w:ascii="Georgia" w:hAnsi="Georgia"/>
          <w:color w:val="526068"/>
          <w:sz w:val="17"/>
        </w:rPr>
        <w:t>rsync -a --delete into /opt/&lt;plane&gt;/, excluding .env, docker-compose.override.yml, node_modules, .next, .uploads, __pycache__ and test-results.</w:t>
      </w:r>
    </w:p>
    <w:p>
      <w:pPr>
        <w:pStyle w:val="ListBullet"/>
        <w:spacing w:after="60" w:line="302" w:lineRule="auto"/>
        <w:ind w:left="360"/>
      </w:pPr>
      <w:r>
        <w:rPr>
          <w:rFonts w:ascii="Calibri" w:hAnsi="Calibri"/>
          <w:b/>
          <w:color w:val="172126"/>
          <w:sz w:val="17"/>
        </w:rPr>
        <w:t xml:space="preserve">3  </w:t>
      </w:r>
      <w:r>
        <w:rPr>
          <w:rFonts w:ascii="Georgia" w:hAnsi="Georgia"/>
          <w:color w:val="526068"/>
          <w:sz w:val="17"/>
        </w:rPr>
        <w:t>Every db/migrations/*.sql, in order.</w:t>
      </w:r>
    </w:p>
    <w:p>
      <w:pPr>
        <w:pStyle w:val="ListBullet"/>
        <w:spacing w:after="60" w:line="302" w:lineRule="auto"/>
        <w:ind w:left="360"/>
      </w:pPr>
      <w:r>
        <w:rPr>
          <w:rFonts w:ascii="Calibri" w:hAnsi="Calibri"/>
          <w:b/>
          <w:color w:val="172126"/>
          <w:sz w:val="17"/>
        </w:rPr>
        <w:t xml:space="preserve">4  </w:t>
      </w:r>
      <w:r>
        <w:rPr>
          <w:rFonts w:ascii="Georgia" w:hAnsi="Georgia"/>
          <w:color w:val="526068"/>
          <w:sz w:val="17"/>
        </w:rPr>
        <w:t>Rebuild the seeder, then run it to re-register the pack catalog. This FAILS the deploy if it fails — artifact schemas that do not match the running code mean every write touching a new field is rejected at runtime, which is an application that is up and quietly broken. The seeder is rebuilt first deliberately: without that, run reuses whatever seed image is on the box, registers the OLD catalog over the new code, and reports success.</w:t>
      </w:r>
    </w:p>
    <w:p>
      <w:pPr>
        <w:pStyle w:val="ListBullet"/>
        <w:spacing w:after="60" w:line="302" w:lineRule="auto"/>
        <w:ind w:left="360"/>
      </w:pPr>
      <w:r>
        <w:rPr>
          <w:rFonts w:ascii="Calibri" w:hAnsi="Calibri"/>
          <w:b/>
          <w:color w:val="172126"/>
          <w:sz w:val="17"/>
        </w:rPr>
        <w:t xml:space="preserve">5  </w:t>
      </w:r>
      <w:r>
        <w:rPr>
          <w:rFonts w:ascii="Georgia" w:hAnsi="Georgia"/>
          <w:color w:val="526068"/>
          <w:sz w:val="17"/>
        </w:rPr>
        <w:t>docker compose build, then up -d, for app, worker and cad.</w:t>
      </w:r>
    </w:p>
    <w:p>
      <w:pPr>
        <w:spacing w:after="40"/>
      </w:pPr>
    </w:p>
    <w:tbl>
      <w:tblPr>
        <w:tblW w:type="auto" w:w="0"/>
        <w:tblLook w:firstColumn="1" w:firstRow="1" w:lastColumn="0" w:lastRow="0" w:noHBand="0" w:noVBand="1" w:val="04A0"/>
        <w:tblBorders>
          <w:top w:val="single" w:sz="2" w:space="0" w:color="FBEAE8"/>
          <w:left w:val="single" w:sz="2" w:space="0" w:color="FBEAE8"/>
          <w:bottom w:val="single" w:sz="2" w:space="0" w:color="FBEAE8"/>
          <w:right w:val="single" w:sz="2" w:space="0" w:color="FBEAE8"/>
          <w:insideH w:val="single" w:sz="2" w:space="0" w:color="FBEAE8"/>
          <w:insideV w:val="single" w:sz="2" w:space="0" w:color="FBEAE8"/>
        </w:tblBorders>
      </w:tblPr>
      <w:tblGrid>
        <w:gridCol w:w="10080"/>
      </w:tblGrid>
      <w:tr>
        <w:tc>
          <w:tcPr>
            <w:tcW w:type="dxa" w:w="10080"/>
            <w:shd w:val="clear" w:fill="FBEAE8"/>
          </w:tcPr>
          <w:p>
            <w:r/>
            <w:r>
              <w:rPr>
                <w:rFonts w:ascii="Calibri" w:hAnsi="Calibri"/>
                <w:b/>
                <w:color w:val="B42318"/>
                <w:sz w:val="14"/>
              </w:rPr>
              <w:t>THE DEPLOY PATH DOES NOT CURRENTLY WORK — D1</w:t>
            </w:r>
          </w:p>
          <w:p>
            <w:pPr>
              <w:spacing w:before="60" w:line="302" w:lineRule="auto"/>
            </w:pPr>
            <w:r>
              <w:rPr>
                <w:rFonts w:ascii="Georgia" w:hAnsi="Georgia"/>
                <w:color w:val="172126"/>
                <w:sz w:val="17"/>
              </w:rPr>
              <w:t>update-from-git.sh:84 runs the migrations as mysql -uroot -ppreckon. That password was rotated on 1 September. Under set -euo pipefail the step exits non-zero and the deploy aborts before it builds anything. The same stale literal is in DEPLOY.md:41 and :61, defaulted in deploy.ps1:54, and defaulted in migrate.sh:22. Four files, one fix — the one already applied to backup.sh in commit bae5035. Step 3 should call migrate.sh rather than carrying its own loop.</w:t>
            </w:r>
          </w:p>
        </w:tc>
      </w:tr>
    </w:tbl>
    <w:p>
      <w:pPr>
        <w:spacing w:after="60"/>
      </w:pPr>
    </w:p>
    <w:p>
      <w:pPr>
        <w:spacing w:before="260" w:after="80" w:line="307" w:lineRule="auto"/>
      </w:pPr>
      <w:r>
        <w:rPr>
          <w:rFonts w:ascii="Calibri" w:hAnsi="Calibri"/>
          <w:b/>
          <w:color w:val="172126"/>
          <w:sz w:val="22"/>
        </w:rPr>
        <w:t>6.3  Rollback: there isn't one</w:t>
      </w:r>
    </w:p>
    <w:p>
      <w:pPr>
        <w:spacing w:before="0" w:after="140" w:line="307" w:lineRule="auto"/>
      </w:pPr>
      <w:r>
        <w:rPr>
          <w:rFonts w:ascii="Georgia" w:hAnsi="Georgia"/>
          <w:b w:val="0"/>
          <w:color w:val="526068"/>
          <w:sz w:val="19"/>
        </w:rPr>
        <w:t>Stated plainly, because assuming otherwise is how a bad deploy becomes an outage.</w:t>
      </w:r>
    </w:p>
    <w:p>
      <w:pPr>
        <w:pStyle w:val="ListBullet"/>
        <w:spacing w:after="60" w:line="302" w:lineRule="auto"/>
        <w:ind w:left="360"/>
      </w:pPr>
      <w:r>
        <w:rPr>
          <w:rFonts w:ascii="Georgia" w:hAnsi="Georgia"/>
          <w:color w:val="526068"/>
          <w:sz w:val="17"/>
        </w:rPr>
        <w:t>The clone is --depth 1 on the default branch, so it cannot be asked for a previous commit.</w:t>
      </w:r>
    </w:p>
    <w:p>
      <w:pPr>
        <w:pStyle w:val="ListBullet"/>
        <w:spacing w:after="60" w:line="302" w:lineRule="auto"/>
        <w:ind w:left="360"/>
      </w:pPr>
      <w:r>
        <w:rPr>
          <w:rFonts w:ascii="Georgia" w:hAnsi="Georgia"/>
          <w:color w:val="526068"/>
          <w:sz w:val="17"/>
        </w:rPr>
        <w:t>rsync --delete is destructive — the previous tree is gone, not shadowed.</w:t>
      </w:r>
    </w:p>
    <w:p>
      <w:pPr>
        <w:pStyle w:val="ListBullet"/>
        <w:spacing w:after="60" w:line="302" w:lineRule="auto"/>
        <w:ind w:left="360"/>
      </w:pPr>
      <w:r>
        <w:rPr>
          <w:rFonts w:ascii="Georgia" w:hAnsi="Georgia"/>
          <w:color w:val="526068"/>
          <w:sz w:val="17"/>
        </w:rPr>
        <w:t>Images are built in place with no tag, so docker compose up cannot be pointed at yesterday's image.</w:t>
      </w:r>
    </w:p>
    <w:p>
      <w:pPr>
        <w:pStyle w:val="ListBullet"/>
        <w:spacing w:after="60" w:line="302" w:lineRule="auto"/>
        <w:ind w:left="360"/>
      </w:pPr>
      <w:r>
        <w:rPr>
          <w:rFonts w:ascii="Georgia" w:hAnsi="Georgia"/>
          <w:color w:val="526068"/>
          <w:sz w:val="17"/>
        </w:rPr>
        <w:t>Migrations are forward-only. There are no down scripts.</w:t>
      </w:r>
    </w:p>
    <w:p>
      <w:pPr>
        <w:spacing w:after="40"/>
      </w:pPr>
    </w:p>
    <w:p>
      <w:pPr>
        <w:spacing w:before="0" w:after="140" w:line="307" w:lineRule="auto"/>
      </w:pPr>
      <w:r>
        <w:rPr>
          <w:rFonts w:ascii="Georgia" w:hAnsi="Georgia"/>
          <w:b w:val="0"/>
          <w:color w:val="526068"/>
          <w:sz w:val="19"/>
        </w:rPr>
        <w:t>Today, rollback means redeploying from an earlier commit by hand, and any migration applied in between stays applied. What would change that, in order of value for effort:</w:t>
      </w:r>
    </w:p>
    <w:tbl>
      <w:tblPr>
        <w:tblW w:type="auto" w:w="0"/>
        <w:jc w:val="left"/>
        <w:tblLook w:firstColumn="1" w:firstRow="1" w:lastColumn="0" w:lastRow="0" w:noHBand="0" w:noVBand="1" w:val="04A0"/>
        <w:tblBorders>
          <w:top w:val="single" w:sz="4" w:space="0" w:color="D8DEE2"/>
          <w:left w:val="single" w:sz="4" w:space="0" w:color="D8DEE2"/>
          <w:bottom w:val="single" w:sz="4" w:space="0" w:color="D8DEE2"/>
          <w:right w:val="single" w:sz="4" w:space="0" w:color="D8DEE2"/>
          <w:insideH w:val="single" w:sz="4" w:space="0" w:color="D8DEE2"/>
          <w:insideV w:val="single" w:sz="4" w:space="0" w:color="D8DEE2"/>
        </w:tblBorders>
      </w:tblPr>
      <w:tblGrid>
        <w:gridCol w:w="5040"/>
        <w:gridCol w:w="5040"/>
      </w:tblGrid>
      <w:tr>
        <w:tc>
          <w:tcPr>
            <w:tcW w:type="dxa" w:w="3888"/>
            <w:shd w:val="clear" w:fill="F0F3F4"/>
          </w:tcPr>
          <w:p>
            <w:r/>
            <w:r>
              <w:rPr>
                <w:rFonts w:ascii="Calibri" w:hAnsi="Calibri"/>
                <w:b/>
                <w:color w:val="667279"/>
                <w:sz w:val="13"/>
              </w:rPr>
              <w:t>CHANGE</w:t>
            </w:r>
          </w:p>
        </w:tc>
        <w:tc>
          <w:tcPr>
            <w:tcW w:type="dxa" w:w="5544"/>
            <w:shd w:val="clear" w:fill="F0F3F4"/>
          </w:tcPr>
          <w:p>
            <w:r/>
            <w:r>
              <w:rPr>
                <w:rFonts w:ascii="Calibri" w:hAnsi="Calibri"/>
                <w:b/>
                <w:color w:val="667279"/>
                <w:sz w:val="13"/>
              </w:rPr>
              <w:t>EFFECT</w:t>
            </w:r>
          </w:p>
        </w:tc>
      </w:tr>
      <w:tr>
        <w:tc>
          <w:tcPr>
            <w:tcW w:type="dxa" w:w="3888"/>
          </w:tcPr>
          <w:p>
            <w:pPr>
              <w:spacing w:line="278" w:lineRule="auto" w:after="0"/>
            </w:pPr>
            <w:r/>
            <w:r>
              <w:rPr>
                <w:rFonts w:ascii="Calibri" w:hAnsi="Calibri"/>
                <w:b/>
                <w:color w:val="172126"/>
                <w:sz w:val="15"/>
              </w:rPr>
              <w:t>Run backup.sh as step 0 of every deploy</w:t>
            </w:r>
          </w:p>
        </w:tc>
        <w:tc>
          <w:tcPr>
            <w:tcW w:type="dxa" w:w="5544"/>
          </w:tcPr>
          <w:p>
            <w:pPr>
              <w:spacing w:line="278" w:lineRule="auto" w:after="0"/>
            </w:pPr>
            <w:r/>
            <w:r>
              <w:rPr>
                <w:rFonts w:ascii="Calibri" w:hAnsi="Calibri"/>
                <w:b w:val="0"/>
                <w:color w:val="526068"/>
                <w:sz w:val="15"/>
              </w:rPr>
              <w:t>A restore point that matches the code that broke</w:t>
            </w:r>
          </w:p>
        </w:tc>
      </w:tr>
      <w:tr>
        <w:tc>
          <w:tcPr>
            <w:tcW w:type="dxa" w:w="3888"/>
          </w:tcPr>
          <w:p>
            <w:pPr>
              <w:spacing w:line="278" w:lineRule="auto" w:after="0"/>
            </w:pPr>
            <w:r/>
            <w:r>
              <w:rPr>
                <w:rFonts w:ascii="Calibri" w:hAnsi="Calibri"/>
                <w:b/>
                <w:color w:val="172126"/>
                <w:sz w:val="15"/>
              </w:rPr>
              <w:t>PRECKON_REF support and a full clone</w:t>
            </w:r>
          </w:p>
        </w:tc>
        <w:tc>
          <w:tcPr>
            <w:tcW w:type="dxa" w:w="5544"/>
          </w:tcPr>
          <w:p>
            <w:pPr>
              <w:spacing w:line="278" w:lineRule="auto" w:after="0"/>
            </w:pPr>
            <w:r/>
            <w:r>
              <w:rPr>
                <w:rFonts w:ascii="Calibri" w:hAnsi="Calibri"/>
                <w:b w:val="0"/>
                <w:color w:val="526068"/>
                <w:sz w:val="15"/>
              </w:rPr>
              <w:t>Deploy a named commit — therefore redeploy a previous one</w:t>
            </w:r>
          </w:p>
        </w:tc>
      </w:tr>
      <w:tr>
        <w:tc>
          <w:tcPr>
            <w:tcW w:type="dxa" w:w="3888"/>
          </w:tcPr>
          <w:p>
            <w:pPr>
              <w:spacing w:line="278" w:lineRule="auto" w:after="0"/>
            </w:pPr>
            <w:r/>
            <w:r>
              <w:rPr>
                <w:rFonts w:ascii="Calibri" w:hAnsi="Calibri"/>
                <w:b/>
                <w:color w:val="172126"/>
                <w:sz w:val="15"/>
              </w:rPr>
              <w:t>Tag images with the commit sha</w:t>
            </w:r>
          </w:p>
        </w:tc>
        <w:tc>
          <w:tcPr>
            <w:tcW w:type="dxa" w:w="5544"/>
          </w:tcPr>
          <w:p>
            <w:pPr>
              <w:spacing w:line="278" w:lineRule="auto" w:after="0"/>
            </w:pPr>
            <w:r/>
            <w:r>
              <w:rPr>
                <w:rFonts w:ascii="Calibri" w:hAnsi="Calibri"/>
                <w:b w:val="0"/>
                <w:color w:val="526068"/>
                <w:sz w:val="15"/>
              </w:rPr>
              <w:t>Roll back without rebuilding</w:t>
            </w:r>
          </w:p>
        </w:tc>
      </w:tr>
      <w:tr>
        <w:tc>
          <w:tcPr>
            <w:tcW w:type="dxa" w:w="3888"/>
          </w:tcPr>
          <w:p>
            <w:pPr>
              <w:spacing w:line="278" w:lineRule="auto" w:after="0"/>
            </w:pPr>
            <w:r/>
            <w:r>
              <w:rPr>
                <w:rFonts w:ascii="Calibri" w:hAnsi="Calibri"/>
                <w:b/>
                <w:color w:val="172126"/>
                <w:sz w:val="15"/>
              </w:rPr>
              <w:t>Keep the previous tree as /opt/&lt;plane&gt;.prev</w:t>
            </w:r>
          </w:p>
        </w:tc>
        <w:tc>
          <w:tcPr>
            <w:tcW w:type="dxa" w:w="5544"/>
          </w:tcPr>
          <w:p>
            <w:pPr>
              <w:spacing w:line="278" w:lineRule="auto" w:after="0"/>
            </w:pPr>
            <w:r/>
            <w:r>
              <w:rPr>
                <w:rFonts w:ascii="Calibri" w:hAnsi="Calibri"/>
                <w:b w:val="0"/>
                <w:color w:val="526068"/>
                <w:sz w:val="15"/>
              </w:rPr>
              <w:t>Recover a file without a network round trip</w:t>
            </w:r>
          </w:p>
        </w:tc>
      </w:tr>
    </w:tbl>
    <w:p>
      <w:pPr>
        <w:spacing w:after="60"/>
      </w:pPr>
    </w:p>
    <w:p>
      <w:pPr>
        <w:spacing w:before="260" w:after="80" w:line="307" w:lineRule="auto"/>
      </w:pPr>
      <w:r>
        <w:rPr>
          <w:rFonts w:ascii="Calibri" w:hAnsi="Calibri"/>
          <w:b/>
          <w:color w:val="172126"/>
          <w:sz w:val="22"/>
        </w:rPr>
        <w:t>6.4  Backups</w:t>
      </w:r>
    </w:p>
    <w:p>
      <w:pPr>
        <w:spacing w:before="0" w:after="140" w:line="307" w:lineRule="auto"/>
      </w:pPr>
      <w:r>
        <w:rPr>
          <w:rFonts w:ascii="Georgia" w:hAnsi="Georgia"/>
          <w:b w:val="0"/>
          <w:color w:val="526068"/>
          <w:sz w:val="19"/>
        </w:rPr>
        <w:t>backup.sh dumps with --single-transaction --quick --routines --triggers --events, gzips, then RESTORES the dump into a scratch database and compares table counts plus row counts on audit_event, artifact, project, document_register and ai_usage_ledger before keeping the file. It fails loudly if the restore does not match. Routines and triggers are included because the audit chain lives in a stored procedure, and a backup without it restores a database that cannot append to its own chain.</w:t>
      </w:r>
    </w:p>
    <w:tbl>
      <w:tblPr>
        <w:tblW w:type="auto" w:w="0"/>
        <w:jc w:val="left"/>
        <w:tblLook w:firstColumn="1" w:firstRow="1" w:lastColumn="0" w:lastRow="0" w:noHBand="0" w:noVBand="1" w:val="04A0"/>
        <w:tblBorders>
          <w:top w:val="single" w:sz="4" w:space="0" w:color="D8DEE2"/>
          <w:left w:val="single" w:sz="4" w:space="0" w:color="D8DEE2"/>
          <w:bottom w:val="single" w:sz="4" w:space="0" w:color="D8DEE2"/>
          <w:right w:val="single" w:sz="4" w:space="0" w:color="D8DEE2"/>
          <w:insideH w:val="single" w:sz="4" w:space="0" w:color="D8DEE2"/>
          <w:insideV w:val="single" w:sz="4" w:space="0" w:color="D8DEE2"/>
        </w:tblBorders>
      </w:tblPr>
      <w:tblGrid>
        <w:gridCol w:w="3360"/>
        <w:gridCol w:w="3360"/>
        <w:gridCol w:w="3360"/>
      </w:tblGrid>
      <w:tr>
        <w:tc>
          <w:tcPr>
            <w:tcW w:type="dxa" w:w="1656"/>
            <w:shd w:val="clear" w:fill="F0F3F4"/>
          </w:tcPr>
          <w:p>
            <w:r/>
            <w:r>
              <w:rPr>
                <w:rFonts w:ascii="Calibri" w:hAnsi="Calibri"/>
                <w:b/>
                <w:color w:val="667279"/>
                <w:sz w:val="13"/>
              </w:rPr>
              <w:t>PROPERTY</w:t>
            </w:r>
          </w:p>
        </w:tc>
        <w:tc>
          <w:tcPr>
            <w:tcW w:type="dxa" w:w="5112"/>
            <w:shd w:val="clear" w:fill="F0F3F4"/>
          </w:tcPr>
          <w:p>
            <w:r/>
            <w:r>
              <w:rPr>
                <w:rFonts w:ascii="Calibri" w:hAnsi="Calibri"/>
                <w:b/>
                <w:color w:val="667279"/>
                <w:sz w:val="13"/>
              </w:rPr>
              <w:t>VALUE</w:t>
            </w:r>
          </w:p>
        </w:tc>
        <w:tc>
          <w:tcPr>
            <w:tcW w:type="dxa" w:w="1224"/>
            <w:shd w:val="clear" w:fill="F0F3F4"/>
          </w:tcPr>
          <w:p>
            <w:r/>
            <w:r>
              <w:rPr>
                <w:rFonts w:ascii="Calibri" w:hAnsi="Calibri"/>
                <w:b/>
                <w:color w:val="667279"/>
                <w:sz w:val="13"/>
              </w:rPr>
              <w:t>STATE</w:t>
            </w:r>
          </w:p>
        </w:tc>
      </w:tr>
      <w:tr>
        <w:tc>
          <w:tcPr>
            <w:tcW w:type="dxa" w:w="1656"/>
          </w:tcPr>
          <w:p>
            <w:pPr>
              <w:spacing w:line="278" w:lineRule="auto" w:after="0"/>
            </w:pPr>
            <w:r/>
            <w:r>
              <w:rPr>
                <w:rFonts w:ascii="Calibri" w:hAnsi="Calibri"/>
                <w:b/>
                <w:color w:val="172126"/>
                <w:sz w:val="15"/>
              </w:rPr>
              <w:t>Location</w:t>
            </w:r>
          </w:p>
        </w:tc>
        <w:tc>
          <w:tcPr>
            <w:tcW w:type="dxa" w:w="5112"/>
          </w:tcPr>
          <w:p>
            <w:pPr>
              <w:spacing w:line="278" w:lineRule="auto" w:after="0"/>
            </w:pPr>
            <w:r/>
            <w:r>
              <w:rPr>
                <w:rFonts w:ascii="Calibri" w:hAnsi="Calibri"/>
                <w:b w:val="0"/>
                <w:color w:val="526068"/>
                <w:sz w:val="15"/>
              </w:rPr>
              <w:t>/opt/preckon-backups  (BACKUP_DIR)</w:t>
            </w:r>
          </w:p>
        </w:tc>
        <w:tc>
          <w:tcPr>
            <w:tcW w:type="dxa" w:w="1224"/>
            <w:shd w:val="clear" w:fill="E6F3F1"/>
          </w:tcPr>
          <w:p>
            <w:pPr>
              <w:spacing w:line="278" w:lineRule="auto" w:after="0"/>
            </w:pPr>
            <w:r/>
            <w:r>
              <w:rPr>
                <w:rFonts w:ascii="Calibri" w:hAnsi="Calibri"/>
                <w:b/>
                <w:color w:val="087E75"/>
                <w:sz w:val="15"/>
              </w:rPr>
              <w:t>Confirmed</w:t>
            </w:r>
          </w:p>
        </w:tc>
      </w:tr>
      <w:tr>
        <w:tc>
          <w:tcPr>
            <w:tcW w:type="dxa" w:w="1656"/>
          </w:tcPr>
          <w:p>
            <w:pPr>
              <w:spacing w:line="278" w:lineRule="auto" w:after="0"/>
            </w:pPr>
            <w:r/>
            <w:r>
              <w:rPr>
                <w:rFonts w:ascii="Calibri" w:hAnsi="Calibri"/>
                <w:b/>
                <w:color w:val="172126"/>
                <w:sz w:val="15"/>
              </w:rPr>
              <w:t>Retention</w:t>
            </w:r>
          </w:p>
        </w:tc>
        <w:tc>
          <w:tcPr>
            <w:tcW w:type="dxa" w:w="5112"/>
          </w:tcPr>
          <w:p>
            <w:pPr>
              <w:spacing w:line="278" w:lineRule="auto" w:after="0"/>
            </w:pPr>
            <w:r/>
            <w:r>
              <w:rPr>
                <w:rFonts w:ascii="Calibri" w:hAnsi="Calibri"/>
                <w:b w:val="0"/>
                <w:color w:val="526068"/>
                <w:sz w:val="15"/>
              </w:rPr>
              <w:t>14 files (BACKUP_KEEP), pruned oldest-first by ISO stamp</w:t>
            </w:r>
          </w:p>
        </w:tc>
        <w:tc>
          <w:tcPr>
            <w:tcW w:type="dxa" w:w="1224"/>
            <w:shd w:val="clear" w:fill="E6F3F1"/>
          </w:tcPr>
          <w:p>
            <w:pPr>
              <w:spacing w:line="278" w:lineRule="auto" w:after="0"/>
            </w:pPr>
            <w:r/>
            <w:r>
              <w:rPr>
                <w:rFonts w:ascii="Calibri" w:hAnsi="Calibri"/>
                <w:b/>
                <w:color w:val="087E75"/>
                <w:sz w:val="15"/>
              </w:rPr>
              <w:t>Confirmed</w:t>
            </w:r>
          </w:p>
        </w:tc>
      </w:tr>
      <w:tr>
        <w:tc>
          <w:tcPr>
            <w:tcW w:type="dxa" w:w="1656"/>
          </w:tcPr>
          <w:p>
            <w:pPr>
              <w:spacing w:line="278" w:lineRule="auto" w:after="0"/>
            </w:pPr>
            <w:r/>
            <w:r>
              <w:rPr>
                <w:rFonts w:ascii="Calibri" w:hAnsi="Calibri"/>
                <w:b/>
                <w:color w:val="172126"/>
                <w:sz w:val="15"/>
              </w:rPr>
              <w:t>Verification</w:t>
            </w:r>
          </w:p>
        </w:tc>
        <w:tc>
          <w:tcPr>
            <w:tcW w:type="dxa" w:w="5112"/>
          </w:tcPr>
          <w:p>
            <w:pPr>
              <w:spacing w:line="278" w:lineRule="auto" w:after="0"/>
            </w:pPr>
            <w:r/>
            <w:r>
              <w:rPr>
                <w:rFonts w:ascii="Calibri" w:hAnsi="Calibri"/>
                <w:b w:val="0"/>
                <w:color w:val="526068"/>
                <w:sz w:val="15"/>
              </w:rPr>
              <w:t>Every backup is restored and row-counted before it is kept</w:t>
            </w:r>
          </w:p>
        </w:tc>
        <w:tc>
          <w:tcPr>
            <w:tcW w:type="dxa" w:w="1224"/>
            <w:shd w:val="clear" w:fill="E6F3F1"/>
          </w:tcPr>
          <w:p>
            <w:pPr>
              <w:spacing w:line="278" w:lineRule="auto" w:after="0"/>
            </w:pPr>
            <w:r/>
            <w:r>
              <w:rPr>
                <w:rFonts w:ascii="Calibri" w:hAnsi="Calibri"/>
                <w:b/>
                <w:color w:val="087E75"/>
                <w:sz w:val="15"/>
              </w:rPr>
              <w:t>Confirmed</w:t>
            </w:r>
          </w:p>
        </w:tc>
      </w:tr>
      <w:tr>
        <w:tc>
          <w:tcPr>
            <w:tcW w:type="dxa" w:w="1656"/>
          </w:tcPr>
          <w:p>
            <w:pPr>
              <w:spacing w:line="278" w:lineRule="auto" w:after="0"/>
            </w:pPr>
            <w:r/>
            <w:r>
              <w:rPr>
                <w:rFonts w:ascii="Calibri" w:hAnsi="Calibri"/>
                <w:b/>
                <w:color w:val="172126"/>
                <w:sz w:val="15"/>
              </w:rPr>
              <w:t>Schedule</w:t>
            </w:r>
          </w:p>
        </w:tc>
        <w:tc>
          <w:tcPr>
            <w:tcW w:type="dxa" w:w="5112"/>
          </w:tcPr>
          <w:p>
            <w:pPr>
              <w:spacing w:line="278" w:lineRule="auto" w:after="0"/>
            </w:pPr>
            <w:r/>
            <w:r>
              <w:rPr>
                <w:rFonts w:ascii="Calibri" w:hAnsi="Calibri"/>
                <w:b w:val="0"/>
                <w:color w:val="526068"/>
                <w:sz w:val="15"/>
              </w:rPr>
              <w:t>Cron on the server. NOT in the repository — crontab -l</w:t>
            </w:r>
          </w:p>
        </w:tc>
        <w:tc>
          <w:tcPr>
            <w:tcW w:type="dxa" w:w="1224"/>
            <w:shd w:val="clear" w:fill="FBF0E0"/>
          </w:tcPr>
          <w:p>
            <w:pPr>
              <w:spacing w:line="278" w:lineRule="auto" w:after="0"/>
            </w:pPr>
            <w:r/>
            <w:r>
              <w:rPr>
                <w:rFonts w:ascii="Calibri" w:hAnsi="Calibri"/>
                <w:b/>
                <w:color w:val="A56000"/>
                <w:sz w:val="15"/>
              </w:rPr>
              <w:t>Open</w:t>
            </w:r>
          </w:p>
        </w:tc>
      </w:tr>
      <w:tr>
        <w:tc>
          <w:tcPr>
            <w:tcW w:type="dxa" w:w="1656"/>
          </w:tcPr>
          <w:p>
            <w:pPr>
              <w:spacing w:line="278" w:lineRule="auto" w:after="0"/>
            </w:pPr>
            <w:r/>
            <w:r>
              <w:rPr>
                <w:rFonts w:ascii="Calibri" w:hAnsi="Calibri"/>
                <w:b/>
                <w:color w:val="172126"/>
                <w:sz w:val="15"/>
              </w:rPr>
              <w:t>Restore</w:t>
            </w:r>
          </w:p>
        </w:tc>
        <w:tc>
          <w:tcPr>
            <w:tcW w:type="dxa" w:w="5112"/>
          </w:tcPr>
          <w:p>
            <w:pPr>
              <w:spacing w:line="278" w:lineRule="auto" w:after="0"/>
            </w:pPr>
            <w:r/>
            <w:r>
              <w:rPr>
                <w:rFonts w:ascii="Calibri" w:hAnsi="Calibri"/>
                <w:b w:val="0"/>
                <w:color w:val="526068"/>
                <w:sz w:val="15"/>
              </w:rPr>
              <w:t>sh scripts/backup.sh --restore &lt;file&gt; &lt;target-db&gt;</w:t>
            </w:r>
          </w:p>
        </w:tc>
        <w:tc>
          <w:tcPr>
            <w:tcW w:type="dxa" w:w="1224"/>
            <w:shd w:val="clear" w:fill="E6F3F1"/>
          </w:tcPr>
          <w:p>
            <w:pPr>
              <w:spacing w:line="278" w:lineRule="auto" w:after="0"/>
            </w:pPr>
            <w:r/>
            <w:r>
              <w:rPr>
                <w:rFonts w:ascii="Calibri" w:hAnsi="Calibri"/>
                <w:b/>
                <w:color w:val="087E75"/>
                <w:sz w:val="15"/>
              </w:rPr>
              <w:t>Confirmed</w:t>
            </w:r>
          </w:p>
        </w:tc>
      </w:tr>
      <w:tr>
        <w:tc>
          <w:tcPr>
            <w:tcW w:type="dxa" w:w="1656"/>
          </w:tcPr>
          <w:p>
            <w:pPr>
              <w:spacing w:line="278" w:lineRule="auto" w:after="0"/>
            </w:pPr>
            <w:r/>
            <w:r>
              <w:rPr>
                <w:rFonts w:ascii="Calibri" w:hAnsi="Calibri"/>
                <w:b/>
                <w:color w:val="172126"/>
                <w:sz w:val="15"/>
              </w:rPr>
              <w:t>Off-box copy</w:t>
            </w:r>
          </w:p>
        </w:tc>
        <w:tc>
          <w:tcPr>
            <w:tcW w:type="dxa" w:w="5112"/>
          </w:tcPr>
          <w:p>
            <w:pPr>
              <w:spacing w:line="278" w:lineRule="auto" w:after="0"/>
            </w:pPr>
            <w:r/>
            <w:r>
              <w:rPr>
                <w:rFonts w:ascii="Calibri" w:hAnsi="Calibri"/>
                <w:b w:val="0"/>
                <w:color w:val="526068"/>
                <w:sz w:val="15"/>
              </w:rPr>
              <w:t>There is none</w:t>
            </w:r>
          </w:p>
        </w:tc>
        <w:tc>
          <w:tcPr>
            <w:tcW w:type="dxa" w:w="1224"/>
            <w:shd w:val="clear" w:fill="FBEAE8"/>
          </w:tcPr>
          <w:p>
            <w:pPr>
              <w:spacing w:line="278" w:lineRule="auto" w:after="0"/>
            </w:pPr>
            <w:r/>
            <w:r>
              <w:rPr>
                <w:rFonts w:ascii="Calibri" w:hAnsi="Calibri"/>
                <w:b/>
                <w:color w:val="B42318"/>
                <w:sz w:val="15"/>
              </w:rPr>
              <w:t>None</w:t>
            </w:r>
          </w:p>
        </w:tc>
      </w:tr>
      <w:tr>
        <w:tc>
          <w:tcPr>
            <w:tcW w:type="dxa" w:w="1656"/>
          </w:tcPr>
          <w:p>
            <w:pPr>
              <w:spacing w:line="278" w:lineRule="auto" w:after="0"/>
            </w:pPr>
            <w:r/>
            <w:r>
              <w:rPr>
                <w:rFonts w:ascii="Calibri" w:hAnsi="Calibri"/>
                <w:b/>
                <w:color w:val="172126"/>
                <w:sz w:val="15"/>
              </w:rPr>
              <w:t>Host database</w:t>
            </w:r>
          </w:p>
        </w:tc>
        <w:tc>
          <w:tcPr>
            <w:tcW w:type="dxa" w:w="5112"/>
          </w:tcPr>
          <w:p>
            <w:pPr>
              <w:spacing w:line="278" w:lineRule="auto" w:after="0"/>
            </w:pPr>
            <w:r/>
            <w:r>
              <w:rPr>
                <w:rFonts w:ascii="Calibri" w:hAnsi="Calibri"/>
                <w:b w:val="0"/>
                <w:color w:val="526068"/>
                <w:sz w:val="15"/>
              </w:rPr>
              <w:t>preckon_host is not backed up at all</w:t>
            </w:r>
          </w:p>
        </w:tc>
        <w:tc>
          <w:tcPr>
            <w:tcW w:type="dxa" w:w="1224"/>
            <w:shd w:val="clear" w:fill="FBEAE8"/>
          </w:tcPr>
          <w:p>
            <w:pPr>
              <w:spacing w:line="278" w:lineRule="auto" w:after="0"/>
            </w:pPr>
            <w:r/>
            <w:r>
              <w:rPr>
                <w:rFonts w:ascii="Calibri" w:hAnsi="Calibri"/>
                <w:b/>
                <w:color w:val="B42318"/>
                <w:sz w:val="15"/>
              </w:rPr>
              <w:t>None</w:t>
            </w:r>
          </w:p>
        </w:tc>
      </w:tr>
      <w:tr>
        <w:tc>
          <w:tcPr>
            <w:tcW w:type="dxa" w:w="1656"/>
          </w:tcPr>
          <w:p>
            <w:pPr>
              <w:spacing w:line="278" w:lineRule="auto" w:after="0"/>
            </w:pPr>
            <w:r/>
            <w:r>
              <w:rPr>
                <w:rFonts w:ascii="Calibri" w:hAnsi="Calibri"/>
                <w:b/>
                <w:color w:val="172126"/>
                <w:sz w:val="15"/>
              </w:rPr>
              <w:t>Uploaded files</w:t>
            </w:r>
          </w:p>
        </w:tc>
        <w:tc>
          <w:tcPr>
            <w:tcW w:type="dxa" w:w="5112"/>
          </w:tcPr>
          <w:p>
            <w:pPr>
              <w:spacing w:line="278" w:lineRule="auto" w:after="0"/>
            </w:pPr>
            <w:r/>
            <w:r>
              <w:rPr>
                <w:rFonts w:ascii="Calibri" w:hAnsi="Calibri"/>
                <w:b w:val="0"/>
                <w:color w:val="526068"/>
                <w:sz w:val="15"/>
              </w:rPr>
              <w:t>Drawings and documents are not backed up</w:t>
            </w:r>
          </w:p>
        </w:tc>
        <w:tc>
          <w:tcPr>
            <w:tcW w:type="dxa" w:w="1224"/>
            <w:shd w:val="clear" w:fill="FBEAE8"/>
          </w:tcPr>
          <w:p>
            <w:pPr>
              <w:spacing w:line="278" w:lineRule="auto" w:after="0"/>
            </w:pPr>
            <w:r/>
            <w:r>
              <w:rPr>
                <w:rFonts w:ascii="Calibri" w:hAnsi="Calibri"/>
                <w:b/>
                <w:color w:val="B42318"/>
                <w:sz w:val="15"/>
              </w:rPr>
              <w:t>None</w:t>
            </w:r>
          </w:p>
        </w:tc>
      </w:tr>
    </w:tbl>
    <w:p>
      <w:pPr>
        <w:spacing w:after="60"/>
      </w:pPr>
    </w:p>
    <w:p>
      <w:pPr>
        <w:spacing w:before="0" w:after="140" w:line="307" w:lineRule="auto"/>
      </w:pPr>
      <w:r>
        <w:rPr>
          <w:rFonts w:ascii="Georgia" w:hAnsi="Georgia"/>
          <w:b w:val="0"/>
          <w:color w:val="526068"/>
          <w:sz w:val="19"/>
        </w:rPr>
        <w:t>The schedule is a documentation gap rather than a system gap. backup.sh's own comments record that cron ran it nightly and that from 1 September it wrote 20-byte files for three nights, because the password was rotated and cron sets no DB_PASS. The guard caught it every night and said so in the log; nobody reads the log. That is fixed — commit bae5035 reads DATABASE_PASSWORD from .env — but the crontab itself is uncommitted, so the hour it runs has to be read off the box.</w:t>
      </w:r>
    </w:p>
    <w:tbl>
      <w:tblPr>
        <w:tblW w:type="auto" w:w="0"/>
        <w:tblLook w:firstColumn="1" w:firstRow="1" w:lastColumn="0" w:lastRow="0" w:noHBand="0" w:noVBand="1" w:val="04A0"/>
        <w:tblBorders>
          <w:top w:val="single" w:sz="2" w:space="0" w:color="FBEAE8"/>
          <w:left w:val="single" w:sz="2" w:space="0" w:color="FBEAE8"/>
          <w:bottom w:val="single" w:sz="2" w:space="0" w:color="FBEAE8"/>
          <w:right w:val="single" w:sz="2" w:space="0" w:color="FBEAE8"/>
          <w:insideH w:val="single" w:sz="2" w:space="0" w:color="FBEAE8"/>
          <w:insideV w:val="single" w:sz="2" w:space="0" w:color="FBEAE8"/>
        </w:tblBorders>
      </w:tblPr>
      <w:tblGrid>
        <w:gridCol w:w="10080"/>
      </w:tblGrid>
      <w:tr>
        <w:tc>
          <w:tcPr>
            <w:tcW w:type="dxa" w:w="10080"/>
            <w:shd w:val="clear" w:fill="FBEAE8"/>
          </w:tcPr>
          <w:p>
            <w:r/>
            <w:r>
              <w:rPr>
                <w:rFonts w:ascii="Calibri" w:hAnsi="Calibri"/>
                <w:b/>
                <w:color w:val="B42318"/>
                <w:sz w:val="14"/>
              </w:rPr>
              <w:t>THE ONE TO FIX FIRST</w:t>
            </w:r>
          </w:p>
          <w:p>
            <w:pPr>
              <w:spacing w:before="60" w:line="302" w:lineRule="auto"/>
            </w:pPr>
            <w:r>
              <w:rPr>
                <w:rFonts w:ascii="Georgia" w:hAnsi="Georgia"/>
                <w:color w:val="172126"/>
                <w:sz w:val="17"/>
              </w:rPr>
              <w:t>/opt/preckon-backups sits on the VPS whose database it protects. A disk failure or a provider incident takes the database and all fourteen backups in the same event. Everything else in this part is an improvement; this is the difference between having backups and believing you do. Combined with Part 8.5 — no external monitoring is wired — nothing currently tells anybody that a backup failed.</w:t>
            </w:r>
          </w:p>
        </w:tc>
      </w:tr>
    </w:tbl>
    <w:p>
      <w:pPr>
        <w:spacing w:after="60"/>
      </w:pPr>
    </w:p>
    <w:p>
      <w:pPr>
        <w:spacing w:before="200" w:after="60" w:line="307" w:lineRule="auto"/>
      </w:pPr>
      <w:r>
        <w:rPr>
          <w:rFonts w:ascii="Calibri" w:hAnsi="Calibri"/>
          <w:b/>
          <w:color w:val="087E75"/>
          <w:sz w:val="19"/>
        </w:rPr>
        <w:t>Restoring</w:t>
      </w:r>
    </w:p>
    <w:tbl>
      <w:tblPr>
        <w:tblW w:type="auto" w:w="0"/>
        <w:tblLook w:firstColumn="1" w:firstRow="1" w:lastColumn="0" w:lastRow="0" w:noHBand="0" w:noVBand="1" w:val="04A0"/>
        <w:tblBorders>
          <w:top w:val="single" w:sz="2" w:space="0" w:color="E7EBEE"/>
          <w:left w:val="single" w:sz="2" w:space="0" w:color="E7EBEE"/>
          <w:bottom w:val="single" w:sz="2" w:space="0" w:color="E7EBEE"/>
          <w:right w:val="single" w:sz="2" w:space="0" w:color="E7EBEE"/>
          <w:insideH w:val="single" w:sz="2" w:space="0" w:color="E7EBEE"/>
          <w:insideV w:val="single" w:sz="2" w:space="0" w:color="E7EBEE"/>
        </w:tblBorders>
      </w:tblPr>
      <w:tblGrid>
        <w:gridCol w:w="10080"/>
      </w:tblGrid>
      <w:tr>
        <w:tc>
          <w:tcPr>
            <w:tcW w:type="dxa" w:w="10080"/>
            <w:shd w:val="clear" w:fill="F5F7F8"/>
          </w:tcPr>
          <w:p>
            <w:pPr>
              <w:spacing w:line="288" w:lineRule="auto"/>
            </w:pPr>
            <w:r/>
            <w:r>
              <w:rPr>
                <w:rFonts w:ascii="Consolas" w:hAnsi="Consolas"/>
                <w:color w:val="172126"/>
                <w:sz w:val="16"/>
              </w:rPr>
              <w:t>cd /opt/preckon-tenant</w:t>
              <w:br/>
              <w:t>sh scripts/backup.sh --restore /opt/preckon-backups/&lt;file&gt;.sql.gz preckon_tenant_check</w:t>
              <w:br/>
              <w:t># then, before switching anything over:</w:t>
              <w:br/>
              <w:t>curl -s https://app.preckon.com/api/v1/audit/verify</w:t>
            </w:r>
          </w:p>
        </w:tc>
      </w:tr>
    </w:tbl>
    <w:p>
      <w:pPr>
        <w:spacing w:after="40"/>
      </w:pPr>
    </w:p>
    <w:p>
      <w:pPr>
        <w:spacing w:before="0" w:after="140" w:line="307" w:lineRule="auto"/>
      </w:pPr>
      <w:r>
        <w:rPr>
          <w:rFonts w:ascii="Georgia" w:hAnsi="Georgia"/>
          <w:b w:val="0"/>
          <w:color w:val="526068"/>
          <w:sz w:val="19"/>
        </w:rPr>
        <w:t>Restore into a scratch database, never over the live one, and verify the audit chain before you trust it.</w:t>
      </w:r>
    </w:p>
    <w:p>
      <w:r>
        <w:br w:type="page"/>
      </w:r>
    </w:p>
    <w:p>
      <w:pPr>
        <w:spacing w:before="0" w:after="60" w:line="307" w:lineRule="auto"/>
      </w:pPr>
      <w:r>
        <w:rPr>
          <w:rFonts w:ascii="Consolas" w:hAnsi="Consolas"/>
          <w:b/>
          <w:color w:val="087E75"/>
          <w:sz w:val="15"/>
        </w:rPr>
        <w:t>PART 7</w:t>
      </w:r>
    </w:p>
    <w:p>
      <w:pPr>
        <w:spacing w:before="0" w:after="160" w:line="252" w:lineRule="auto"/>
      </w:pPr>
      <w:r>
        <w:rPr>
          <w:rFonts w:ascii="Georgia" w:hAnsi="Georgia"/>
          <w:b/>
          <w:color w:val="172126"/>
          <w:sz w:val="38"/>
        </w:rPr>
        <w:t>Security posture</w:t>
      </w:r>
    </w:p>
    <w:p>
      <w:pPr>
        <w:spacing w:before="0" w:after="200" w:line="307" w:lineRule="auto"/>
      </w:pPr>
      <w:r>
        <w:rPr>
          <w:rFonts w:ascii="Georgia" w:hAnsi="Georgia"/>
          <w:b w:val="0"/>
          <w:color w:val="526068"/>
          <w:sz w:val="21"/>
        </w:rPr>
        <w:t>What is actually protecting this box, which of it belongs to us, and the credential exposure that is still open.</w:t>
      </w:r>
    </w:p>
    <w:p>
      <w:pPr>
        <w:spacing w:before="260" w:after="80" w:line="307" w:lineRule="auto"/>
      </w:pPr>
      <w:r>
        <w:rPr>
          <w:rFonts w:ascii="Calibri" w:hAnsi="Calibri"/>
          <w:b/>
          <w:color w:val="172126"/>
          <w:sz w:val="22"/>
        </w:rPr>
        <w:t>7.1  TLS</w:t>
      </w:r>
    </w:p>
    <w:p>
      <w:pPr>
        <w:spacing w:before="0" w:after="140" w:line="307" w:lineRule="auto"/>
      </w:pPr>
      <w:r>
        <w:rPr>
          <w:rFonts w:ascii="Georgia" w:hAnsi="Georgia"/>
          <w:b w:val="0"/>
          <w:color w:val="526068"/>
          <w:sz w:val="19"/>
        </w:rPr>
        <w:t>nginx terminates for host.preckon.com and app.preckon.com; the app containers publish to loopback only and nginx proxies to them. The renewal mechanism is NOT in the repository — no certbot config, no renew hook, no systemd timer.</w:t>
      </w:r>
    </w:p>
    <w:tbl>
      <w:tblPr>
        <w:tblW w:type="auto" w:w="0"/>
        <w:tblLook w:firstColumn="1" w:firstRow="1" w:lastColumn="0" w:lastRow="0" w:noHBand="0" w:noVBand="1" w:val="04A0"/>
        <w:tblBorders>
          <w:top w:val="single" w:sz="2" w:space="0" w:color="E7EBEE"/>
          <w:left w:val="single" w:sz="2" w:space="0" w:color="E7EBEE"/>
          <w:bottom w:val="single" w:sz="2" w:space="0" w:color="E7EBEE"/>
          <w:right w:val="single" w:sz="2" w:space="0" w:color="E7EBEE"/>
          <w:insideH w:val="single" w:sz="2" w:space="0" w:color="E7EBEE"/>
          <w:insideV w:val="single" w:sz="2" w:space="0" w:color="E7EBEE"/>
        </w:tblBorders>
      </w:tblPr>
      <w:tblGrid>
        <w:gridCol w:w="10080"/>
      </w:tblGrid>
      <w:tr>
        <w:tc>
          <w:tcPr>
            <w:tcW w:type="dxa" w:w="10080"/>
            <w:shd w:val="clear" w:fill="F5F7F8"/>
          </w:tcPr>
          <w:p>
            <w:pPr>
              <w:spacing w:line="288" w:lineRule="auto"/>
            </w:pPr>
            <w:r/>
            <w:r>
              <w:rPr>
                <w:rFonts w:ascii="Consolas" w:hAnsi="Consolas"/>
                <w:color w:val="172126"/>
                <w:sz w:val="16"/>
              </w:rPr>
              <w:t>certbot certificates</w:t>
              <w:br/>
              <w:t>systemctl list-timers | grep -i certbot</w:t>
            </w:r>
          </w:p>
        </w:tc>
      </w:tr>
    </w:tbl>
    <w:p>
      <w:pPr>
        <w:spacing w:after="40"/>
      </w:pPr>
    </w:p>
    <w:p>
      <w:pPr>
        <w:spacing w:before="0" w:after="140" w:line="307" w:lineRule="auto"/>
      </w:pPr>
      <w:r>
        <w:rPr>
          <w:rFonts w:ascii="Georgia" w:hAnsi="Georgia"/>
          <w:b w:val="0"/>
          <w:color w:val="526068"/>
          <w:sz w:val="19"/>
        </w:rPr>
        <w:t>If those come back empty the certificate is manual, and its expiry date is the single most important unknown in this document. A certificate warning in front of a client is unrecoverable in the moment.</w:t>
      </w:r>
    </w:p>
    <w:p>
      <w:pPr>
        <w:spacing w:before="0" w:after="140" w:line="307" w:lineRule="auto"/>
      </w:pPr>
      <w:r>
        <w:rPr>
          <w:rFonts w:ascii="Georgia" w:hAnsi="Georgia"/>
          <w:b w:val="0"/>
          <w:color w:val="526068"/>
          <w:sz w:val="19"/>
        </w:rPr>
        <w:t>nginx should also send the security headers on every 443 vhost — the app sends its own, but nginx answers the http→https redirects and its own error pages without ever reaching the app, and those are exactly the responses an attacker can provoke. Use always on each add_header, and run nginx -t before every reload. Do not add HSTS preload yet: it compiles the domain into browsers and is effectively irreversible.</w:t>
      </w:r>
    </w:p>
    <w:p>
      <w:pPr>
        <w:spacing w:before="260" w:after="80" w:line="307" w:lineRule="auto"/>
      </w:pPr>
      <w:r>
        <w:rPr>
          <w:rFonts w:ascii="Calibri" w:hAnsi="Calibri"/>
          <w:b/>
          <w:color w:val="172126"/>
          <w:sz w:val="22"/>
        </w:rPr>
        <w:t>7.2  The firewall — two layers, and the one that works is not ours</w:t>
      </w:r>
    </w:p>
    <w:p>
      <w:pPr>
        <w:spacing w:before="0" w:after="140" w:line="307" w:lineRule="auto"/>
      </w:pPr>
      <w:r>
        <w:rPr>
          <w:rFonts w:ascii="Georgia" w:hAnsi="Georgia"/>
          <w:b w:val="0"/>
          <w:color w:val="526068"/>
          <w:sz w:val="19"/>
        </w:rPr>
        <w:t>A scan of the production host found nine services listening on 0.0.0.0 and no firewall running on the host. Testing from outside, with 22, 80 and 443 as controls to prove the test works, showed everything else filtered — so something upstream, almost certainly the provider's network firewall, is doing the work.</w:t>
      </w:r>
    </w:p>
    <w:p>
      <w:pPr>
        <w:spacing w:before="0" w:after="140" w:line="307" w:lineRule="auto"/>
      </w:pPr>
      <w:r>
        <w:rPr>
          <w:rFonts w:ascii="Georgia" w:hAnsi="Georgia"/>
          <w:b w:val="0"/>
          <w:color w:val="526068"/>
          <w:sz w:val="19"/>
        </w:rPr>
        <w:t>That is a real difference in urgency and it is worth being exact about: this is not a live exposure. What stays true is that the only thing between an unauthenticated database and the internet is a rule in a console nobody on this team can see in the repository, which no deploy re-asserts, and which will be lost in the first provider migration.</w:t>
      </w:r>
    </w:p>
    <w:tbl>
      <w:tblPr>
        <w:tblW w:type="auto" w:w="0"/>
        <w:jc w:val="left"/>
        <w:tblLook w:firstColumn="1" w:firstRow="1" w:lastColumn="0" w:lastRow="0" w:noHBand="0" w:noVBand="1" w:val="04A0"/>
        <w:tblBorders>
          <w:top w:val="single" w:sz="4" w:space="0" w:color="D8DEE2"/>
          <w:left w:val="single" w:sz="4" w:space="0" w:color="D8DEE2"/>
          <w:bottom w:val="single" w:sz="4" w:space="0" w:color="D8DEE2"/>
          <w:right w:val="single" w:sz="4" w:space="0" w:color="D8DEE2"/>
          <w:insideH w:val="single" w:sz="4" w:space="0" w:color="D8DEE2"/>
          <w:insideV w:val="single" w:sz="4" w:space="0" w:color="D8DEE2"/>
        </w:tblBorders>
      </w:tblPr>
      <w:tblGrid>
        <w:gridCol w:w="3360"/>
        <w:gridCol w:w="3360"/>
        <w:gridCol w:w="3360"/>
      </w:tblGrid>
      <w:tr>
        <w:tc>
          <w:tcPr>
            <w:tcW w:type="dxa" w:w="2304"/>
            <w:shd w:val="clear" w:fill="F0F3F4"/>
          </w:tcPr>
          <w:p>
            <w:r/>
            <w:r>
              <w:rPr>
                <w:rFonts w:ascii="Calibri" w:hAnsi="Calibri"/>
                <w:b/>
                <w:color w:val="667279"/>
                <w:sz w:val="13"/>
              </w:rPr>
              <w:t>LAYER</w:t>
            </w:r>
          </w:p>
        </w:tc>
        <w:tc>
          <w:tcPr>
            <w:tcW w:type="dxa" w:w="4824"/>
            <w:shd w:val="clear" w:fill="F0F3F4"/>
          </w:tcPr>
          <w:p>
            <w:r/>
            <w:r>
              <w:rPr>
                <w:rFonts w:ascii="Calibri" w:hAnsi="Calibri"/>
                <w:b/>
                <w:color w:val="667279"/>
                <w:sz w:val="13"/>
              </w:rPr>
              <w:t>WHAT IT COVERS</w:t>
            </w:r>
          </w:p>
        </w:tc>
        <w:tc>
          <w:tcPr>
            <w:tcW w:type="dxa" w:w="1224"/>
            <w:shd w:val="clear" w:fill="F0F3F4"/>
          </w:tcPr>
          <w:p>
            <w:r/>
            <w:r>
              <w:rPr>
                <w:rFonts w:ascii="Calibri" w:hAnsi="Calibri"/>
                <w:b/>
                <w:color w:val="667279"/>
                <w:sz w:val="13"/>
              </w:rPr>
              <w:t>STATE</w:t>
            </w:r>
          </w:p>
        </w:tc>
      </w:tr>
      <w:tr>
        <w:tc>
          <w:tcPr>
            <w:tcW w:type="dxa" w:w="2304"/>
          </w:tcPr>
          <w:p>
            <w:pPr>
              <w:spacing w:line="278" w:lineRule="auto" w:after="0"/>
            </w:pPr>
            <w:r/>
            <w:r>
              <w:rPr>
                <w:rFonts w:ascii="Calibri" w:hAnsi="Calibri"/>
                <w:b/>
                <w:color w:val="172126"/>
                <w:sz w:val="15"/>
              </w:rPr>
              <w:t>Compose bind addresses</w:t>
            </w:r>
          </w:p>
        </w:tc>
        <w:tc>
          <w:tcPr>
            <w:tcW w:type="dxa" w:w="4824"/>
          </w:tcPr>
          <w:p>
            <w:pPr>
              <w:spacing w:line="278" w:lineRule="auto" w:after="0"/>
            </w:pPr>
            <w:r/>
            <w:r>
              <w:rPr>
                <w:rFonts w:ascii="Calibri" w:hAnsi="Calibri"/>
                <w:b w:val="0"/>
                <w:color w:val="526068"/>
                <w:sz w:val="15"/>
              </w:rPr>
              <w:t>Every published port is 127.0.0.1</w:t>
            </w:r>
          </w:p>
        </w:tc>
        <w:tc>
          <w:tcPr>
            <w:tcW w:type="dxa" w:w="1224"/>
            <w:shd w:val="clear" w:fill="E6F3F1"/>
          </w:tcPr>
          <w:p>
            <w:pPr>
              <w:spacing w:line="278" w:lineRule="auto" w:after="0"/>
            </w:pPr>
            <w:r/>
            <w:r>
              <w:rPr>
                <w:rFonts w:ascii="Calibri" w:hAnsi="Calibri"/>
                <w:b/>
                <w:color w:val="087E75"/>
                <w:sz w:val="15"/>
              </w:rPr>
              <w:t>Done</w:t>
            </w:r>
          </w:p>
        </w:tc>
      </w:tr>
      <w:tr>
        <w:tc>
          <w:tcPr>
            <w:tcW w:type="dxa" w:w="2304"/>
          </w:tcPr>
          <w:p>
            <w:pPr>
              <w:spacing w:line="278" w:lineRule="auto" w:after="0"/>
            </w:pPr>
            <w:r/>
            <w:r>
              <w:rPr>
                <w:rFonts w:ascii="Calibri" w:hAnsi="Calibri"/>
                <w:b/>
                <w:color w:val="172126"/>
                <w:sz w:val="15"/>
              </w:rPr>
              <w:t>Provider edge</w:t>
            </w:r>
          </w:p>
        </w:tc>
        <w:tc>
          <w:tcPr>
            <w:tcW w:type="dxa" w:w="4824"/>
          </w:tcPr>
          <w:p>
            <w:pPr>
              <w:spacing w:line="278" w:lineRule="auto" w:after="0"/>
            </w:pPr>
            <w:r/>
            <w:r>
              <w:rPr>
                <w:rFonts w:ascii="Calibri" w:hAnsi="Calibri"/>
                <w:b w:val="0"/>
                <w:color w:val="526068"/>
                <w:sz w:val="15"/>
              </w:rPr>
              <w:t>Permits 22/80/443 only — verified externally</w:t>
            </w:r>
          </w:p>
        </w:tc>
        <w:tc>
          <w:tcPr>
            <w:tcW w:type="dxa" w:w="1224"/>
            <w:shd w:val="clear" w:fill="E6F3F1"/>
          </w:tcPr>
          <w:p>
            <w:pPr>
              <w:spacing w:line="278" w:lineRule="auto" w:after="0"/>
            </w:pPr>
            <w:r/>
            <w:r>
              <w:rPr>
                <w:rFonts w:ascii="Calibri" w:hAnsi="Calibri"/>
                <w:b/>
                <w:color w:val="087E75"/>
                <w:sz w:val="15"/>
              </w:rPr>
              <w:t>Confirmed</w:t>
            </w:r>
          </w:p>
        </w:tc>
      </w:tr>
      <w:tr>
        <w:tc>
          <w:tcPr>
            <w:tcW w:type="dxa" w:w="2304"/>
          </w:tcPr>
          <w:p>
            <w:pPr>
              <w:spacing w:line="278" w:lineRule="auto" w:after="0"/>
            </w:pPr>
            <w:r/>
            <w:r>
              <w:rPr>
                <w:rFonts w:ascii="Calibri" w:hAnsi="Calibri"/>
                <w:b/>
                <w:color w:val="172126"/>
                <w:sz w:val="15"/>
              </w:rPr>
              <w:t>Host ufw</w:t>
            </w:r>
          </w:p>
        </w:tc>
        <w:tc>
          <w:tcPr>
            <w:tcW w:type="dxa" w:w="4824"/>
          </w:tcPr>
          <w:p>
            <w:pPr>
              <w:spacing w:line="278" w:lineRule="auto" w:after="0"/>
            </w:pPr>
            <w:r/>
            <w:r>
              <w:rPr>
                <w:rFonts w:ascii="Calibri" w:hAnsi="Calibri"/>
                <w:b w:val="0"/>
                <w:color w:val="526068"/>
                <w:sz w:val="15"/>
              </w:rPr>
              <w:t>Allow 22/80/443, then enable. Keep a second terminal open</w:t>
            </w:r>
          </w:p>
        </w:tc>
        <w:tc>
          <w:tcPr>
            <w:tcW w:type="dxa" w:w="1224"/>
            <w:shd w:val="clear" w:fill="FBF0E0"/>
          </w:tcPr>
          <w:p>
            <w:pPr>
              <w:spacing w:line="278" w:lineRule="auto" w:after="0"/>
            </w:pPr>
            <w:r/>
            <w:r>
              <w:rPr>
                <w:rFonts w:ascii="Calibri" w:hAnsi="Calibri"/>
                <w:b/>
                <w:color w:val="A56000"/>
                <w:sz w:val="15"/>
              </w:rPr>
              <w:t>Unverified</w:t>
            </w:r>
          </w:p>
        </w:tc>
      </w:tr>
      <w:tr>
        <w:tc>
          <w:tcPr>
            <w:tcW w:type="dxa" w:w="2304"/>
          </w:tcPr>
          <w:p>
            <w:pPr>
              <w:spacing w:line="278" w:lineRule="auto" w:after="0"/>
            </w:pPr>
            <w:r/>
            <w:r>
              <w:rPr>
                <w:rFonts w:ascii="Calibri" w:hAnsi="Calibri"/>
                <w:b/>
                <w:color w:val="172126"/>
                <w:sz w:val="15"/>
              </w:rPr>
              <w:t>Ollama :11434</w:t>
            </w:r>
          </w:p>
        </w:tc>
        <w:tc>
          <w:tcPr>
            <w:tcW w:type="dxa" w:w="4824"/>
          </w:tcPr>
          <w:p>
            <w:pPr>
              <w:spacing w:line="278" w:lineRule="auto" w:after="0"/>
            </w:pPr>
            <w:r/>
            <w:r>
              <w:rPr>
                <w:rFonts w:ascii="Calibri" w:hAnsi="Calibri"/>
                <w:b w:val="0"/>
                <w:color w:val="526068"/>
                <w:sz w:val="15"/>
              </w:rPr>
              <w:t>Bind to loopback. It has NO authentication of its own — do this first</w:t>
            </w:r>
          </w:p>
        </w:tc>
        <w:tc>
          <w:tcPr>
            <w:tcW w:type="dxa" w:w="1224"/>
            <w:shd w:val="clear" w:fill="FBF0E0"/>
          </w:tcPr>
          <w:p>
            <w:pPr>
              <w:spacing w:line="278" w:lineRule="auto" w:after="0"/>
            </w:pPr>
            <w:r/>
            <w:r>
              <w:rPr>
                <w:rFonts w:ascii="Calibri" w:hAnsi="Calibri"/>
                <w:b/>
                <w:color w:val="A56000"/>
                <w:sz w:val="15"/>
              </w:rPr>
              <w:t>Runbook</w:t>
            </w:r>
          </w:p>
        </w:tc>
      </w:tr>
      <w:tr>
        <w:tc>
          <w:tcPr>
            <w:tcW w:type="dxa" w:w="2304"/>
          </w:tcPr>
          <w:p>
            <w:pPr>
              <w:spacing w:line="278" w:lineRule="auto" w:after="0"/>
            </w:pPr>
            <w:r/>
            <w:r>
              <w:rPr>
                <w:rFonts w:ascii="Calibri" w:hAnsi="Calibri"/>
                <w:b/>
                <w:color w:val="172126"/>
                <w:sz w:val="15"/>
              </w:rPr>
              <w:t>Host MariaDB :3306</w:t>
            </w:r>
          </w:p>
        </w:tc>
        <w:tc>
          <w:tcPr>
            <w:tcW w:type="dxa" w:w="4824"/>
          </w:tcPr>
          <w:p>
            <w:pPr>
              <w:spacing w:line="278" w:lineRule="auto" w:after="0"/>
            </w:pPr>
            <w:r/>
            <w:r>
              <w:rPr>
                <w:rFonts w:ascii="Calibri" w:hAnsi="Calibri"/>
                <w:b w:val="0"/>
                <w:color w:val="526068"/>
                <w:sz w:val="15"/>
              </w:rPr>
              <w:t>bind-address = 127.0.0.1</w:t>
            </w:r>
          </w:p>
        </w:tc>
        <w:tc>
          <w:tcPr>
            <w:tcW w:type="dxa" w:w="1224"/>
            <w:shd w:val="clear" w:fill="FBF0E0"/>
          </w:tcPr>
          <w:p>
            <w:pPr>
              <w:spacing w:line="278" w:lineRule="auto" w:after="0"/>
            </w:pPr>
            <w:r/>
            <w:r>
              <w:rPr>
                <w:rFonts w:ascii="Calibri" w:hAnsi="Calibri"/>
                <w:b/>
                <w:color w:val="A56000"/>
                <w:sz w:val="15"/>
              </w:rPr>
              <w:t>Runbook</w:t>
            </w:r>
          </w:p>
        </w:tc>
      </w:tr>
      <w:tr>
        <w:tc>
          <w:tcPr>
            <w:tcW w:type="dxa" w:w="2304"/>
          </w:tcPr>
          <w:p>
            <w:pPr>
              <w:spacing w:line="278" w:lineRule="auto" w:after="0"/>
            </w:pPr>
            <w:r/>
            <w:r>
              <w:rPr>
                <w:rFonts w:ascii="Calibri" w:hAnsi="Calibri"/>
                <w:b/>
                <w:color w:val="172126"/>
                <w:sz w:val="15"/>
              </w:rPr>
              <w:t>rpcbind, cockpit</w:t>
            </w:r>
          </w:p>
        </w:tc>
        <w:tc>
          <w:tcPr>
            <w:tcW w:type="dxa" w:w="4824"/>
          </w:tcPr>
          <w:p>
            <w:pPr>
              <w:spacing w:line="278" w:lineRule="auto" w:after="0"/>
            </w:pPr>
            <w:r/>
            <w:r>
              <w:rPr>
                <w:rFonts w:ascii="Calibri" w:hAnsi="Calibri"/>
                <w:b w:val="0"/>
                <w:color w:val="526068"/>
                <w:sz w:val="15"/>
              </w:rPr>
              <w:t>Disable both. rpcbind is a reflection-amplification source</w:t>
            </w:r>
          </w:p>
        </w:tc>
        <w:tc>
          <w:tcPr>
            <w:tcW w:type="dxa" w:w="1224"/>
            <w:shd w:val="clear" w:fill="FBF0E0"/>
          </w:tcPr>
          <w:p>
            <w:pPr>
              <w:spacing w:line="278" w:lineRule="auto" w:after="0"/>
            </w:pPr>
            <w:r/>
            <w:r>
              <w:rPr>
                <w:rFonts w:ascii="Calibri" w:hAnsi="Calibri"/>
                <w:b/>
                <w:color w:val="A56000"/>
                <w:sz w:val="15"/>
              </w:rPr>
              <w:t>Runbook</w:t>
            </w:r>
          </w:p>
        </w:tc>
      </w:tr>
      <w:tr>
        <w:tc>
          <w:tcPr>
            <w:tcW w:type="dxa" w:w="2304"/>
          </w:tcPr>
          <w:p>
            <w:pPr>
              <w:spacing w:line="278" w:lineRule="auto" w:after="0"/>
            </w:pPr>
            <w:r/>
            <w:r>
              <w:rPr>
                <w:rFonts w:ascii="Calibri" w:hAnsi="Calibri"/>
                <w:b/>
                <w:color w:val="172126"/>
                <w:sz w:val="15"/>
              </w:rPr>
              <w:t>nginx headers, server_tokens off</w:t>
            </w:r>
          </w:p>
        </w:tc>
        <w:tc>
          <w:tcPr>
            <w:tcW w:type="dxa" w:w="4824"/>
          </w:tcPr>
          <w:p>
            <w:pPr>
              <w:spacing w:line="278" w:lineRule="auto" w:after="0"/>
            </w:pPr>
            <w:r/>
            <w:r>
              <w:rPr>
                <w:rFonts w:ascii="Calibri" w:hAnsi="Calibri"/>
                <w:b w:val="0"/>
                <w:color w:val="526068"/>
                <w:sz w:val="15"/>
              </w:rPr>
              <w:t>HSTS and friends on every 443 vhost</w:t>
            </w:r>
          </w:p>
        </w:tc>
        <w:tc>
          <w:tcPr>
            <w:tcW w:type="dxa" w:w="1224"/>
            <w:shd w:val="clear" w:fill="FBF0E0"/>
          </w:tcPr>
          <w:p>
            <w:pPr>
              <w:spacing w:line="278" w:lineRule="auto" w:after="0"/>
            </w:pPr>
            <w:r/>
            <w:r>
              <w:rPr>
                <w:rFonts w:ascii="Calibri" w:hAnsi="Calibri"/>
                <w:b/>
                <w:color w:val="A56000"/>
                <w:sz w:val="15"/>
              </w:rPr>
              <w:t>Runbook</w:t>
            </w:r>
          </w:p>
        </w:tc>
      </w:tr>
    </w:tbl>
    <w:p>
      <w:pPr>
        <w:spacing w:after="60"/>
      </w:pPr>
    </w:p>
    <w:p>
      <w:pPr>
        <w:spacing w:before="0" w:after="140" w:line="307" w:lineRule="auto"/>
      </w:pPr>
      <w:r>
        <w:rPr>
          <w:rFonts w:ascii="Georgia" w:hAnsi="Georgia"/>
          <w:b w:val="0"/>
          <w:color w:val="526068"/>
          <w:sz w:val="19"/>
        </w:rPr>
        <w:t>Full steps are in preckon-host/docs/SERVER-HARDENING.md. Check ufw status verbose before assuming any of it is in place — a written runbook is not a configured host.</w:t>
      </w:r>
    </w:p>
    <w:tbl>
      <w:tblPr>
        <w:tblW w:type="auto" w:w="0"/>
        <w:tblLook w:firstColumn="1" w:firstRow="1" w:lastColumn="0" w:lastRow="0" w:noHBand="0" w:noVBand="1" w:val="04A0"/>
        <w:tblBorders>
          <w:top w:val="single" w:sz="2" w:space="0" w:color="FBF0E0"/>
          <w:left w:val="single" w:sz="2" w:space="0" w:color="FBF0E0"/>
          <w:bottom w:val="single" w:sz="2" w:space="0" w:color="FBF0E0"/>
          <w:right w:val="single" w:sz="2" w:space="0" w:color="FBF0E0"/>
          <w:insideH w:val="single" w:sz="2" w:space="0" w:color="FBF0E0"/>
          <w:insideV w:val="single" w:sz="2" w:space="0" w:color="FBF0E0"/>
        </w:tblBorders>
      </w:tblPr>
      <w:tblGrid>
        <w:gridCol w:w="10080"/>
      </w:tblGrid>
      <w:tr>
        <w:tc>
          <w:tcPr>
            <w:tcW w:type="dxa" w:w="10080"/>
            <w:shd w:val="clear" w:fill="FBF0E0"/>
          </w:tcPr>
          <w:p>
            <w:r/>
            <w:r>
              <w:rPr>
                <w:rFonts w:ascii="Calibri" w:hAnsi="Calibri"/>
                <w:b/>
                <w:color w:val="A56000"/>
                <w:sz w:val="14"/>
              </w:rPr>
              <w:t>STILL OPEN: A PLAIN-HTTP VHOST ON THE PRODUCTION IP</w:t>
            </w:r>
          </w:p>
          <w:p>
            <w:pPr>
              <w:spacing w:before="60" w:line="302" w:lineRule="auto"/>
            </w:pPr>
            <w:r>
              <w:rPr>
                <w:rFonts w:ascii="Georgia" w:hAnsi="Georgia"/>
                <w:color w:val="172126"/>
                <w:sz w:val="17"/>
              </w:rPr>
              <w:t>A legacy api-server on :5000 from /home/deploy/tenderlogix-autocad, served over plain HTTP on the bare IP by four duplicate nginx blocks. Either bind it to loopback and give its vhost a certificate, or stop it and delete the four server_name blocks. Leaving it undoes part of everything else in this part.</w:t>
            </w:r>
          </w:p>
        </w:tc>
      </w:tr>
    </w:tbl>
    <w:p>
      <w:pPr>
        <w:spacing w:after="60"/>
      </w:pPr>
    </w:p>
    <w:p>
      <w:pPr>
        <w:spacing w:before="260" w:after="80" w:line="307" w:lineRule="auto"/>
      </w:pPr>
      <w:r>
        <w:rPr>
          <w:rFonts w:ascii="Calibri" w:hAnsi="Calibri"/>
          <w:b/>
          <w:color w:val="172126"/>
          <w:sz w:val="22"/>
        </w:rPr>
        <w:t>7.3  What the hardening work does and does not establish</w:t>
      </w:r>
    </w:p>
    <w:p>
      <w:pPr>
        <w:spacing w:before="0" w:after="140" w:line="307" w:lineRule="auto"/>
      </w:pPr>
      <w:r>
        <w:rPr>
          <w:rFonts w:ascii="Georgia" w:hAnsi="Georgia"/>
          <w:b w:val="0"/>
          <w:color w:val="526068"/>
          <w:sz w:val="19"/>
        </w:rPr>
        <w:t>It closes the injection window, removes a database and an unauthenticated inference server from any network path, and stops the console being framed or its assets sniffed. It is not a response to a compromise, and nothing in it establishes whether anything reached those ports while they were open. If that question matters — and with an unauthenticated MySQL it reasonably might — it needs its own look at the auth logs, the database logs and the audit chain. That is separate work from shutting the doors.</w:t>
      </w:r>
    </w:p>
    <w:p>
      <w:pPr>
        <w:spacing w:before="260" w:after="80" w:line="307" w:lineRule="auto"/>
      </w:pPr>
      <w:r>
        <w:rPr>
          <w:rFonts w:ascii="Calibri" w:hAnsi="Calibri"/>
          <w:b/>
          <w:color w:val="172126"/>
          <w:sz w:val="22"/>
        </w:rPr>
        <w:t>7.4  The credential exposure, and the order that closes it</w:t>
      </w:r>
    </w:p>
    <w:p>
      <w:pPr>
        <w:spacing w:before="0" w:after="140" w:line="307" w:lineRule="auto"/>
      </w:pPr>
      <w:r>
        <w:rPr>
          <w:rFonts w:ascii="Georgia" w:hAnsi="Georgia"/>
          <w:b w:val="0"/>
          <w:color w:val="526068"/>
          <w:sz w:val="19"/>
        </w:rPr>
        <w:t>A file removed from one branch is not removed from a repository, and a repository that has been public for six weeks cannot be made private retroactively. The order matters:</w:t>
      </w:r>
    </w:p>
    <w:p>
      <w:pPr>
        <w:pStyle w:val="ListBullet"/>
        <w:spacing w:after="60" w:line="302" w:lineRule="auto"/>
        <w:ind w:left="360"/>
      </w:pPr>
      <w:r>
        <w:rPr>
          <w:rFonts w:ascii="Calibri" w:hAnsi="Calibri"/>
          <w:b/>
          <w:color w:val="172126"/>
          <w:sz w:val="17"/>
        </w:rPr>
        <w:t xml:space="preserve">1  </w:t>
      </w:r>
      <w:r>
        <w:rPr>
          <w:rFonts w:ascii="Georgia" w:hAnsi="Georgia"/>
          <w:color w:val="526068"/>
          <w:sz w:val="17"/>
        </w:rPr>
        <w:t>Rotate the three account passwords and the server password. They have been publicly readable for six weeks. Everything else is cleanup; this is the only step that removes the exposure. It locks three colleagues out until they are told the new ones, which is why it is a decision rather than a task.</w:t>
      </w:r>
    </w:p>
    <w:p>
      <w:pPr>
        <w:pStyle w:val="ListBullet"/>
        <w:spacing w:after="60" w:line="302" w:lineRule="auto"/>
        <w:ind w:left="360"/>
      </w:pPr>
      <w:r>
        <w:rPr>
          <w:rFonts w:ascii="Calibri" w:hAnsi="Calibri"/>
          <w:b/>
          <w:color w:val="172126"/>
          <w:sz w:val="17"/>
        </w:rPr>
        <w:t xml:space="preserve">2  </w:t>
      </w:r>
      <w:r>
        <w:rPr>
          <w:rFonts w:ascii="Georgia" w:hAnsi="Georgia"/>
          <w:color w:val="526068"/>
          <w:sz w:val="17"/>
        </w:rPr>
        <w:t>Delete the credential files from the monorepo. That fixes the working copy, preckon-system on its next publish, and every future push to the public repo.</w:t>
      </w:r>
    </w:p>
    <w:p>
      <w:pPr>
        <w:pStyle w:val="ListBullet"/>
        <w:spacing w:after="60" w:line="302" w:lineRule="auto"/>
        <w:ind w:left="360"/>
      </w:pPr>
      <w:r>
        <w:rPr>
          <w:rFonts w:ascii="Calibri" w:hAnsi="Calibri"/>
          <w:b/>
          <w:color w:val="172126"/>
          <w:sz w:val="17"/>
        </w:rPr>
        <w:t xml:space="preserve">3  </w:t>
      </w:r>
      <w:r>
        <w:rPr>
          <w:rFonts w:ascii="Georgia" w:hAnsi="Georgia"/>
          <w:color w:val="526068"/>
          <w:sz w:val="17"/>
        </w:rPr>
        <w:t>Fix the two that are still committed today — D8 and D10 in Part 10.1. Rotating a password that a README still documents achieves less than it looks.</w:t>
      </w:r>
    </w:p>
    <w:p>
      <w:pPr>
        <w:pStyle w:val="ListBullet"/>
        <w:spacing w:after="60" w:line="302" w:lineRule="auto"/>
        <w:ind w:left="360"/>
      </w:pPr>
      <w:r>
        <w:rPr>
          <w:rFonts w:ascii="Calibri" w:hAnsi="Calibri"/>
          <w:b/>
          <w:color w:val="172126"/>
          <w:sz w:val="17"/>
        </w:rPr>
        <w:t xml:space="preserve">4  </w:t>
      </w:r>
      <w:r>
        <w:rPr>
          <w:rFonts w:ascii="Georgia" w:hAnsi="Georgia"/>
          <w:color w:val="526068"/>
          <w:sz w:val="17"/>
        </w:rPr>
        <w:t>Delete the pre-sync-2026-08-13 branch, after confirming nobody wants the initial-commit lineage. If they do, tag it once the file is purged.</w:t>
      </w:r>
    </w:p>
    <w:p>
      <w:pPr>
        <w:pStyle w:val="ListBullet"/>
        <w:spacing w:after="60" w:line="302" w:lineRule="auto"/>
        <w:ind w:left="360"/>
      </w:pPr>
      <w:r>
        <w:rPr>
          <w:rFonts w:ascii="Calibri" w:hAnsi="Calibri"/>
          <w:b/>
          <w:color w:val="172126"/>
          <w:sz w:val="17"/>
        </w:rPr>
        <w:t xml:space="preserve">5  </w:t>
      </w:r>
      <w:r>
        <w:rPr>
          <w:rFonts w:ascii="Georgia" w:hAnsi="Georgia"/>
          <w:color w:val="526068"/>
          <w:sz w:val="17"/>
        </w:rPr>
        <w:t>Make the public repository private, or delete it. This does not un-publish six weeks of readable history, and forks or clones may exist.</w:t>
      </w:r>
    </w:p>
    <w:p>
      <w:pPr>
        <w:pStyle w:val="ListBullet"/>
        <w:spacing w:after="60" w:line="302" w:lineRule="auto"/>
        <w:ind w:left="360"/>
      </w:pPr>
      <w:r>
        <w:rPr>
          <w:rFonts w:ascii="Calibri" w:hAnsi="Calibri"/>
          <w:b/>
          <w:color w:val="172126"/>
          <w:sz w:val="17"/>
        </w:rPr>
        <w:t xml:space="preserve">6  </w:t>
      </w:r>
      <w:r>
        <w:rPr>
          <w:rFonts w:ascii="Georgia" w:hAnsi="Georgia"/>
          <w:color w:val="526068"/>
          <w:sz w:val="17"/>
        </w:rPr>
        <w:t>Purge from history with git filter-repo. Last, because it is the most disruptive and the least urgent once the passwords are dead.</w:t>
      </w:r>
    </w:p>
    <w:p>
      <w:pPr>
        <w:spacing w:after="40"/>
      </w:pPr>
    </w:p>
    <w:p>
      <w:pPr>
        <w:spacing w:before="0" w:after="140" w:line="307" w:lineRule="auto"/>
      </w:pPr>
      <w:r>
        <w:rPr>
          <w:rFonts w:ascii="Georgia" w:hAnsi="Georgia"/>
          <w:b w:val="0"/>
          <w:color w:val="526068"/>
          <w:sz w:val="19"/>
        </w:rPr>
        <w:t>The branch-by-branch detail — which refs still serve DEMO-CREDENTIALS.md, and why preckon-system holds both copies — is in Preckon_Branches_and_Repositories_v1.0.docx.</w:t>
      </w:r>
    </w:p>
    <w:p>
      <w:r>
        <w:br w:type="page"/>
      </w:r>
    </w:p>
    <w:p>
      <w:pPr>
        <w:spacing w:before="0" w:after="60" w:line="307" w:lineRule="auto"/>
      </w:pPr>
      <w:r>
        <w:rPr>
          <w:rFonts w:ascii="Consolas" w:hAnsi="Consolas"/>
          <w:b/>
          <w:color w:val="087E75"/>
          <w:sz w:val="15"/>
        </w:rPr>
        <w:t>PART 8</w:t>
      </w:r>
    </w:p>
    <w:p>
      <w:pPr>
        <w:spacing w:before="0" w:after="160" w:line="252" w:lineRule="auto"/>
      </w:pPr>
      <w:r>
        <w:rPr>
          <w:rFonts w:ascii="Georgia" w:hAnsi="Georgia"/>
          <w:b/>
          <w:color w:val="172126"/>
          <w:sz w:val="38"/>
        </w:rPr>
        <w:t>Repositories, branches and publishing</w:t>
      </w:r>
    </w:p>
    <w:p>
      <w:pPr>
        <w:spacing w:before="0" w:after="200" w:line="307" w:lineRule="auto"/>
      </w:pPr>
      <w:r>
        <w:rPr>
          <w:rFonts w:ascii="Georgia" w:hAnsi="Georgia"/>
          <w:b w:val="0"/>
          <w:color w:val="526068"/>
          <w:sz w:val="21"/>
        </w:rPr>
        <w:t>Four repositories, one of them public, and a publishing model that merges rather than force-pushes for a reason worth knowing.</w:t>
      </w:r>
    </w:p>
    <w:p>
      <w:pPr>
        <w:spacing w:before="260" w:after="80" w:line="307" w:lineRule="auto"/>
      </w:pPr>
      <w:r>
        <w:rPr>
          <w:rFonts w:ascii="Calibri" w:hAnsi="Calibri"/>
          <w:b/>
          <w:color w:val="172126"/>
          <w:sz w:val="22"/>
        </w:rPr>
        <w:t>8.1  The four repositories</w:t>
      </w:r>
    </w:p>
    <w:tbl>
      <w:tblPr>
        <w:tblW w:type="auto" w:w="0"/>
        <w:jc w:val="left"/>
        <w:tblLook w:firstColumn="1" w:firstRow="1" w:lastColumn="0" w:lastRow="0" w:noHBand="0" w:noVBand="1" w:val="04A0"/>
        <w:tblBorders>
          <w:top w:val="single" w:sz="4" w:space="0" w:color="D8DEE2"/>
          <w:left w:val="single" w:sz="4" w:space="0" w:color="D8DEE2"/>
          <w:bottom w:val="single" w:sz="4" w:space="0" w:color="D8DEE2"/>
          <w:right w:val="single" w:sz="4" w:space="0" w:color="D8DEE2"/>
          <w:insideH w:val="single" w:sz="4" w:space="0" w:color="D8DEE2"/>
          <w:insideV w:val="single" w:sz="4" w:space="0" w:color="D8DEE2"/>
        </w:tblBorders>
      </w:tblPr>
      <w:tblGrid>
        <w:gridCol w:w="3360"/>
        <w:gridCol w:w="3360"/>
        <w:gridCol w:w="3360"/>
      </w:tblGrid>
      <w:tr>
        <w:tc>
          <w:tcPr>
            <w:tcW w:type="dxa" w:w="2736"/>
            <w:shd w:val="clear" w:fill="F0F3F4"/>
          </w:tcPr>
          <w:p>
            <w:r/>
            <w:r>
              <w:rPr>
                <w:rFonts w:ascii="Calibri" w:hAnsi="Calibri"/>
                <w:b/>
                <w:color w:val="667279"/>
                <w:sz w:val="13"/>
              </w:rPr>
              <w:t>REPOSITORY</w:t>
            </w:r>
          </w:p>
        </w:tc>
        <w:tc>
          <w:tcPr>
            <w:tcW w:type="dxa" w:w="1224"/>
            <w:shd w:val="clear" w:fill="F0F3F4"/>
          </w:tcPr>
          <w:p>
            <w:r/>
            <w:r>
              <w:rPr>
                <w:rFonts w:ascii="Calibri" w:hAnsi="Calibri"/>
                <w:b/>
                <w:color w:val="667279"/>
                <w:sz w:val="13"/>
              </w:rPr>
              <w:t>VISIBILITY</w:t>
            </w:r>
          </w:p>
        </w:tc>
        <w:tc>
          <w:tcPr>
            <w:tcW w:type="dxa" w:w="5544"/>
            <w:shd w:val="clear" w:fill="F0F3F4"/>
          </w:tcPr>
          <w:p>
            <w:r/>
            <w:r>
              <w:rPr>
                <w:rFonts w:ascii="Calibri" w:hAnsi="Calibri"/>
                <w:b/>
                <w:color w:val="667279"/>
                <w:sz w:val="13"/>
              </w:rPr>
              <w:t>ROLE</w:t>
            </w:r>
          </w:p>
        </w:tc>
      </w:tr>
      <w:tr>
        <w:tc>
          <w:tcPr>
            <w:tcW w:type="dxa" w:w="2736"/>
          </w:tcPr>
          <w:p>
            <w:pPr>
              <w:spacing w:line="278" w:lineRule="auto" w:after="0"/>
            </w:pPr>
            <w:r/>
            <w:r>
              <w:rPr>
                <w:rFonts w:ascii="Calibri" w:hAnsi="Calibri"/>
                <w:b/>
                <w:color w:val="172126"/>
                <w:sz w:val="15"/>
              </w:rPr>
              <w:t>divya053/newcomplete</w:t>
            </w:r>
          </w:p>
        </w:tc>
        <w:tc>
          <w:tcPr>
            <w:tcW w:type="dxa" w:w="1224"/>
            <w:shd w:val="clear" w:fill="FBEAE8"/>
          </w:tcPr>
          <w:p>
            <w:pPr>
              <w:spacing w:line="278" w:lineRule="auto" w:after="0"/>
            </w:pPr>
            <w:r/>
            <w:r>
              <w:rPr>
                <w:rFonts w:ascii="Calibri" w:hAnsi="Calibri"/>
                <w:b/>
                <w:color w:val="B42318"/>
                <w:sz w:val="15"/>
              </w:rPr>
              <w:t>public</w:t>
            </w:r>
          </w:p>
        </w:tc>
        <w:tc>
          <w:tcPr>
            <w:tcW w:type="dxa" w:w="5544"/>
          </w:tcPr>
          <w:p>
            <w:pPr>
              <w:spacing w:line="278" w:lineRule="auto" w:after="0"/>
            </w:pPr>
            <w:r/>
            <w:r>
              <w:rPr>
                <w:rFonts w:ascii="Calibri" w:hAnsi="Calibri"/>
                <w:b w:val="0"/>
                <w:color w:val="526068"/>
                <w:sz w:val="15"/>
              </w:rPr>
              <w:t>Working monorepo. Autosync pushes every ten minutes since July</w:t>
            </w:r>
          </w:p>
        </w:tc>
      </w:tr>
      <w:tr>
        <w:tc>
          <w:tcPr>
            <w:tcW w:type="dxa" w:w="2736"/>
          </w:tcPr>
          <w:p>
            <w:pPr>
              <w:spacing w:line="278" w:lineRule="auto" w:after="0"/>
            </w:pPr>
            <w:r/>
            <w:r>
              <w:rPr>
                <w:rFonts w:ascii="Calibri" w:hAnsi="Calibri"/>
                <w:b/>
                <w:color w:val="172126"/>
                <w:sz w:val="15"/>
              </w:rPr>
              <w:t>techsmeinc/preckon-system</w:t>
            </w:r>
          </w:p>
        </w:tc>
        <w:tc>
          <w:tcPr>
            <w:tcW w:type="dxa" w:w="1224"/>
          </w:tcPr>
          <w:p>
            <w:pPr>
              <w:spacing w:line="278" w:lineRule="auto" w:after="0"/>
            </w:pPr>
            <w:r/>
            <w:r>
              <w:rPr>
                <w:rFonts w:ascii="Calibri" w:hAnsi="Calibri"/>
                <w:b/>
                <w:color w:val="526068"/>
                <w:sz w:val="15"/>
              </w:rPr>
              <w:t>private</w:t>
            </w:r>
          </w:p>
        </w:tc>
        <w:tc>
          <w:tcPr>
            <w:tcW w:type="dxa" w:w="5544"/>
          </w:tcPr>
          <w:p>
            <w:pPr>
              <w:spacing w:line="278" w:lineRule="auto" w:after="0"/>
            </w:pPr>
            <w:r/>
            <w:r>
              <w:rPr>
                <w:rFonts w:ascii="Calibri" w:hAnsi="Calibri"/>
                <w:b w:val="0"/>
                <w:color w:val="526068"/>
                <w:sz w:val="15"/>
              </w:rPr>
              <w:t>Organisation artefact — subtree of Preckon-system/</w:t>
            </w:r>
          </w:p>
        </w:tc>
      </w:tr>
      <w:tr>
        <w:tc>
          <w:tcPr>
            <w:tcW w:type="dxa" w:w="2736"/>
          </w:tcPr>
          <w:p>
            <w:pPr>
              <w:spacing w:line="278" w:lineRule="auto" w:after="0"/>
            </w:pPr>
            <w:r/>
            <w:r>
              <w:rPr>
                <w:rFonts w:ascii="Calibri" w:hAnsi="Calibri"/>
                <w:b/>
                <w:color w:val="172126"/>
                <w:sz w:val="15"/>
              </w:rPr>
              <w:t>techsmeinc/preckon-tenant</w:t>
            </w:r>
          </w:p>
        </w:tc>
        <w:tc>
          <w:tcPr>
            <w:tcW w:type="dxa" w:w="1224"/>
          </w:tcPr>
          <w:p>
            <w:pPr>
              <w:spacing w:line="278" w:lineRule="auto" w:after="0"/>
            </w:pPr>
            <w:r/>
            <w:r>
              <w:rPr>
                <w:rFonts w:ascii="Calibri" w:hAnsi="Calibri"/>
                <w:b/>
                <w:color w:val="526068"/>
                <w:sz w:val="15"/>
              </w:rPr>
              <w:t>private</w:t>
            </w:r>
          </w:p>
        </w:tc>
        <w:tc>
          <w:tcPr>
            <w:tcW w:type="dxa" w:w="5544"/>
          </w:tcPr>
          <w:p>
            <w:pPr>
              <w:spacing w:line="278" w:lineRule="auto" w:after="0"/>
            </w:pPr>
            <w:r/>
            <w:r>
              <w:rPr>
                <w:rFonts w:ascii="Calibri" w:hAnsi="Calibri"/>
                <w:b w:val="0"/>
                <w:color w:val="526068"/>
                <w:sz w:val="15"/>
              </w:rPr>
              <w:t>Tenant plane at its root. WHAT THE SERVER DEPLOYS FROM</w:t>
            </w:r>
          </w:p>
        </w:tc>
      </w:tr>
      <w:tr>
        <w:tc>
          <w:tcPr>
            <w:tcW w:type="dxa" w:w="2736"/>
          </w:tcPr>
          <w:p>
            <w:pPr>
              <w:spacing w:line="278" w:lineRule="auto" w:after="0"/>
            </w:pPr>
            <w:r/>
            <w:r>
              <w:rPr>
                <w:rFonts w:ascii="Calibri" w:hAnsi="Calibri"/>
                <w:b/>
                <w:color w:val="172126"/>
                <w:sz w:val="15"/>
              </w:rPr>
              <w:t>techsmeinc/preckon-host</w:t>
            </w:r>
          </w:p>
        </w:tc>
        <w:tc>
          <w:tcPr>
            <w:tcW w:type="dxa" w:w="1224"/>
          </w:tcPr>
          <w:p>
            <w:pPr>
              <w:spacing w:line="278" w:lineRule="auto" w:after="0"/>
            </w:pPr>
            <w:r/>
            <w:r>
              <w:rPr>
                <w:rFonts w:ascii="Calibri" w:hAnsi="Calibri"/>
                <w:b/>
                <w:color w:val="526068"/>
                <w:sz w:val="15"/>
              </w:rPr>
              <w:t>private</w:t>
            </w:r>
          </w:p>
        </w:tc>
        <w:tc>
          <w:tcPr>
            <w:tcW w:type="dxa" w:w="5544"/>
          </w:tcPr>
          <w:p>
            <w:pPr>
              <w:spacing w:line="278" w:lineRule="auto" w:after="0"/>
            </w:pPr>
            <w:r/>
            <w:r>
              <w:rPr>
                <w:rFonts w:ascii="Calibri" w:hAnsi="Calibri"/>
                <w:b w:val="0"/>
                <w:color w:val="526068"/>
                <w:sz w:val="15"/>
              </w:rPr>
              <w:t>Host plane at its root</w:t>
            </w:r>
          </w:p>
        </w:tc>
      </w:tr>
    </w:tbl>
    <w:p>
      <w:pPr>
        <w:spacing w:after="60"/>
      </w:pPr>
    </w:p>
    <w:p>
      <w:pPr>
        <w:spacing w:before="260" w:after="80" w:line="307" w:lineRule="auto"/>
      </w:pPr>
      <w:r>
        <w:rPr>
          <w:rFonts w:ascii="Calibri" w:hAnsi="Calibri"/>
          <w:b/>
          <w:color w:val="172126"/>
          <w:sz w:val="22"/>
        </w:rPr>
        <w:t>8.2  What deploys to production</w:t>
      </w:r>
    </w:p>
    <w:p>
      <w:pPr>
        <w:spacing w:before="0" w:after="140" w:line="307" w:lineRule="auto"/>
      </w:pPr>
      <w:r>
        <w:rPr>
          <w:rFonts w:ascii="Georgia" w:hAnsi="Georgia"/>
          <w:b w:val="0"/>
          <w:color w:val="526068"/>
          <w:sz w:val="19"/>
        </w:rPr>
        <w:t>main of techsmeinc/preckon-tenant and techsmeinc/preckon-host. update-from-git.sh clones --depth 1 with no --branch, so it takes the default branch. There is no staging branch and no environment-per-branch. Work happens in the monorepo; a nightly mirror publishes subtree splits into the three organisation repositories; feature branches (agent/*) are opened against the org repos.</w:t>
      </w:r>
    </w:p>
    <w:p>
      <w:pPr>
        <w:spacing w:before="260" w:after="80" w:line="307" w:lineRule="auto"/>
      </w:pPr>
      <w:r>
        <w:rPr>
          <w:rFonts w:ascii="Calibri" w:hAnsi="Calibri"/>
          <w:b/>
          <w:color w:val="172126"/>
          <w:sz w:val="22"/>
        </w:rPr>
        <w:t>8.3  Two things to know before you push</w:t>
      </w:r>
    </w:p>
    <w:p>
      <w:pPr>
        <w:pStyle w:val="ListBullet"/>
        <w:spacing w:after="60" w:line="302" w:lineRule="auto"/>
        <w:ind w:left="360"/>
      </w:pPr>
      <w:r>
        <w:rPr>
          <w:rFonts w:ascii="Georgia" w:hAnsi="Georgia"/>
          <w:color w:val="526068"/>
          <w:sz w:val="17"/>
        </w:rPr>
        <w:t>preckon-host has NO COMMON ANCESTOR with the monorepo subtree, so git refuses to merge them. It is published by overlay — start from the remote tip, lay the subtree content on top as one commit. The remote's history is preserved and extended, the push is a fast-forward, and files that exist only on the remote survive because an overlay adds and updates but never deletes.</w:t>
      </w:r>
    </w:p>
    <w:p>
      <w:pPr>
        <w:pStyle w:val="ListBullet"/>
        <w:spacing w:after="60" w:line="302" w:lineRule="auto"/>
        <w:ind w:left="360"/>
      </w:pPr>
      <w:r>
        <w:rPr>
          <w:rFonts w:ascii="Georgia" w:hAnsi="Georgia"/>
          <w:color w:val="526068"/>
          <w:sz w:val="17"/>
        </w:rPr>
        <w:t>Pushing to preckon-tenant fails unless .github/workflows/ci.yml is excluded: the token in use has no workflow scope.</w:t>
      </w:r>
    </w:p>
    <w:p>
      <w:pPr>
        <w:spacing w:after="40"/>
      </w:pPr>
    </w:p>
    <w:tbl>
      <w:tblPr>
        <w:tblW w:type="auto" w:w="0"/>
        <w:tblLook w:firstColumn="1" w:firstRow="1" w:lastColumn="0" w:lastRow="0" w:noHBand="0" w:noVBand="1" w:val="04A0"/>
        <w:tblBorders>
          <w:top w:val="single" w:sz="2" w:space="0" w:color="FBF0E0"/>
          <w:left w:val="single" w:sz="2" w:space="0" w:color="FBF0E0"/>
          <w:bottom w:val="single" w:sz="2" w:space="0" w:color="FBF0E0"/>
          <w:right w:val="single" w:sz="2" w:space="0" w:color="FBF0E0"/>
          <w:insideH w:val="single" w:sz="2" w:space="0" w:color="FBF0E0"/>
          <w:insideV w:val="single" w:sz="2" w:space="0" w:color="FBF0E0"/>
        </w:tblBorders>
      </w:tblPr>
      <w:tblGrid>
        <w:gridCol w:w="10080"/>
      </w:tblGrid>
      <w:tr>
        <w:tc>
          <w:tcPr>
            <w:tcW w:type="dxa" w:w="10080"/>
            <w:shd w:val="clear" w:fill="FBF0E0"/>
          </w:tcPr>
          <w:p>
            <w:r/>
            <w:r>
              <w:rPr>
                <w:rFonts w:ascii="Calibri" w:hAnsi="Calibri"/>
                <w:b/>
                <w:color w:val="A56000"/>
                <w:sz w:val="14"/>
              </w:rPr>
              <w:t>WHY THE MIRROR MERGES INSTEAD OF FORCE-PUSHING</w:t>
            </w:r>
          </w:p>
          <w:p>
            <w:pPr>
              <w:spacing w:before="60" w:line="302" w:lineRule="auto"/>
            </w:pPr>
            <w:r>
              <w:rPr>
                <w:rFonts w:ascii="Georgia" w:hAnsi="Georgia"/>
                <w:color w:val="172126"/>
                <w:sz w:val="17"/>
              </w:rPr>
              <w:t>The obvious mirror is split-and-force: the monorepo is the source of truth and the org repositories are artefacts. That is wrong here, and was nearly expensive. Two directories had been deleted directly on GitHub and those deletions existed only on the remote — a force-push of a fresh split would have resurrected fourteen files somebody deliberately removed, silently, on a schedule, forever.</w:t>
            </w:r>
          </w:p>
        </w:tc>
      </w:tr>
    </w:tbl>
    <w:p>
      <w:pPr>
        <w:spacing w:after="60"/>
      </w:pPr>
    </w:p>
    <w:p>
      <w:pPr>
        <w:spacing w:before="260" w:after="80" w:line="307" w:lineRule="auto"/>
      </w:pPr>
      <w:r>
        <w:rPr>
          <w:rFonts w:ascii="Calibri" w:hAnsi="Calibri"/>
          <w:b/>
          <w:color w:val="172126"/>
          <w:sz w:val="22"/>
        </w:rPr>
        <w:t>8.4  AutoCAD-BOQ-Tender</w:t>
      </w:r>
    </w:p>
    <w:p>
      <w:pPr>
        <w:spacing w:before="0" w:after="140" w:line="307" w:lineRule="auto"/>
      </w:pPr>
      <w:r>
        <w:rPr>
          <w:rFonts w:ascii="Georgia" w:hAnsi="Georgia"/>
          <w:b w:val="0"/>
          <w:color w:val="526068"/>
          <w:sz w:val="19"/>
        </w:rPr>
        <w:t>Not a remote, which is why it is easy to miss. It is a directory at the monorepo root — 442 files tracked in the monorepo and published to techsmeinc/preckon-system. Its own .gitmodules declares a submodule tenderlogix-autocad pointing at github.com/techsmeinc/tenderlogix-autocad.git, but the working tree has those files committed as ORDINARY BLOBS, not a gitlink. Two copies exist: the org repository, and the checked-in one that actually ships.</w:t>
      </w:r>
    </w:p>
    <w:p>
      <w:pPr>
        <w:spacing w:before="0" w:after="140" w:line="307" w:lineRule="auto"/>
      </w:pPr>
      <w:r>
        <w:rPr>
          <w:rFonts w:ascii="Georgia" w:hAnsi="Georgia"/>
          <w:b w:val="0"/>
          <w:color w:val="526068"/>
          <w:sz w:val="19"/>
        </w:rPr>
        <w:t>It is a separate application from the two planes: DrawLogix (Next, :3001, basePath /drawlogix), a portal on :5173, an API server on :5000 and a Python sidecar, with its own environment in DrawLogix/.env.local. On the VPS it is the :5000 process behind the plain-HTTP vhost in Part 7.2.</w:t>
      </w:r>
    </w:p>
    <w:tbl>
      <w:tblPr>
        <w:tblW w:type="auto" w:w="0"/>
        <w:tblLook w:firstColumn="1" w:firstRow="1" w:lastColumn="0" w:lastRow="0" w:noHBand="0" w:noVBand="1" w:val="04A0"/>
        <w:tblBorders>
          <w:top w:val="single" w:sz="2" w:space="0" w:color="FBF0E0"/>
          <w:left w:val="single" w:sz="2" w:space="0" w:color="FBF0E0"/>
          <w:bottom w:val="single" w:sz="2" w:space="0" w:color="FBF0E0"/>
          <w:right w:val="single" w:sz="2" w:space="0" w:color="FBF0E0"/>
          <w:insideH w:val="single" w:sz="2" w:space="0" w:color="FBF0E0"/>
          <w:insideV w:val="single" w:sz="2" w:space="0" w:color="FBF0E0"/>
        </w:tblBorders>
      </w:tblPr>
      <w:tblGrid>
        <w:gridCol w:w="10080"/>
      </w:tblGrid>
      <w:tr>
        <w:tc>
          <w:tcPr>
            <w:tcW w:type="dxa" w:w="10080"/>
            <w:shd w:val="clear" w:fill="FBF0E0"/>
          </w:tcPr>
          <w:p>
            <w:r/>
            <w:r>
              <w:rPr>
                <w:rFonts w:ascii="Calibri" w:hAnsi="Calibri"/>
                <w:b/>
                <w:color w:val="A56000"/>
                <w:sz w:val="14"/>
              </w:rPr>
              <w:t>DECISION NEEDED</w:t>
            </w:r>
          </w:p>
          <w:p>
            <w:pPr>
              <w:spacing w:before="60" w:line="302" w:lineRule="auto"/>
            </w:pPr>
            <w:r>
              <w:rPr>
                <w:rFonts w:ascii="Georgia" w:hAnsi="Georgia"/>
                <w:color w:val="172126"/>
                <w:sz w:val="17"/>
              </w:rPr>
              <w:t>Is it in scope? And if the organisation repository is authoritative, the monorepo copy should become a real submodule or be deleted. Right now it is neither, so there is no answer to 'which copy is the one that runs' other than 'the checked-in one, by accident'.</w:t>
            </w:r>
          </w:p>
        </w:tc>
      </w:tr>
    </w:tbl>
    <w:p>
      <w:pPr>
        <w:spacing w:after="60"/>
      </w:pPr>
    </w:p>
    <w:p>
      <w:pPr>
        <w:spacing w:before="260" w:after="80" w:line="307" w:lineRule="auto"/>
      </w:pPr>
      <w:r>
        <w:rPr>
          <w:rFonts w:ascii="Calibri" w:hAnsi="Calibri"/>
          <w:b/>
          <w:color w:val="172126"/>
          <w:sz w:val="22"/>
        </w:rPr>
        <w:t>8.5  Observability — what is real and what is a facade</w:t>
      </w:r>
    </w:p>
    <w:p>
      <w:pPr>
        <w:spacing w:before="0" w:after="140" w:line="307" w:lineRule="auto"/>
      </w:pPr>
      <w:r>
        <w:rPr>
          <w:rFonts w:ascii="Georgia" w:hAnsi="Georgia"/>
          <w:b w:val="0"/>
          <w:color w:val="526068"/>
          <w:sz w:val="19"/>
        </w:rPr>
        <w:t>Real, in-product: queue health, AI health, failed jobs, throughput, audit verification, artifact trace and provenance — correlated by trace_id, job_id and tenant_id, with an audit event trail and provenance edges.</w:t>
      </w:r>
    </w:p>
    <w:tbl>
      <w:tblPr>
        <w:tblW w:type="auto" w:w="0"/>
        <w:tblLook w:firstColumn="1" w:firstRow="1" w:lastColumn="0" w:lastRow="0" w:noHBand="0" w:noVBand="1" w:val="04A0"/>
        <w:tblBorders>
          <w:top w:val="single" w:sz="2" w:space="0" w:color="FBEAE8"/>
          <w:left w:val="single" w:sz="2" w:space="0" w:color="FBEAE8"/>
          <w:bottom w:val="single" w:sz="2" w:space="0" w:color="FBEAE8"/>
          <w:right w:val="single" w:sz="2" w:space="0" w:color="FBEAE8"/>
          <w:insideH w:val="single" w:sz="2" w:space="0" w:color="FBEAE8"/>
          <w:insideV w:val="single" w:sz="2" w:space="0" w:color="FBEAE8"/>
        </w:tblBorders>
      </w:tblPr>
      <w:tblGrid>
        <w:gridCol w:w="10080"/>
      </w:tblGrid>
      <w:tr>
        <w:tc>
          <w:tcPr>
            <w:tcW w:type="dxa" w:w="10080"/>
            <w:shd w:val="clear" w:fill="FBEAE8"/>
          </w:tcPr>
          <w:p>
            <w:r/>
            <w:r>
              <w:rPr>
                <w:rFonts w:ascii="Calibri" w:hAnsi="Calibri"/>
                <w:b/>
                <w:color w:val="B42318"/>
                <w:sz w:val="14"/>
              </w:rPr>
              <w:t>NOT REAL</w:t>
            </w:r>
          </w:p>
          <w:p>
            <w:pPr>
              <w:spacing w:before="60" w:line="302" w:lineRule="auto"/>
            </w:pPr>
            <w:r>
              <w:rPr>
                <w:rFonts w:ascii="Georgia" w:hAnsi="Georgia"/>
                <w:color w:val="172126"/>
                <w:sz w:val="17"/>
              </w:rPr>
              <w:t>There is no external dashboard wired — no Datadog, no Grafana, no Sentry, no CloudWatch. The Host observability endpoints are read-through facades returning realistic shapes until arq/Redis and Langfuse are wired. Do not plan on alerting that does not exist. In particular, nothing pages anybody when a backup fails, a certificate nears expiry, or the AI queue stalls.</w:t>
            </w:r>
          </w:p>
        </w:tc>
      </w:tr>
    </w:tbl>
    <w:p>
      <w:pPr>
        <w:spacing w:after="60"/>
      </w:pPr>
    </w:p>
    <w:p>
      <w:r>
        <w:br w:type="page"/>
      </w:r>
    </w:p>
    <w:p>
      <w:pPr>
        <w:spacing w:before="0" w:after="60" w:line="307" w:lineRule="auto"/>
      </w:pPr>
      <w:r>
        <w:rPr>
          <w:rFonts w:ascii="Consolas" w:hAnsi="Consolas"/>
          <w:b/>
          <w:color w:val="087E75"/>
          <w:sz w:val="15"/>
        </w:rPr>
        <w:t>PART 9</w:t>
      </w:r>
    </w:p>
    <w:p>
      <w:pPr>
        <w:spacing w:before="0" w:after="160" w:line="252" w:lineRule="auto"/>
      </w:pPr>
      <w:r>
        <w:rPr>
          <w:rFonts w:ascii="Georgia" w:hAnsi="Georgia"/>
          <w:b/>
          <w:color w:val="172126"/>
          <w:sz w:val="38"/>
        </w:rPr>
        <w:t>Knowing it works</w:t>
      </w:r>
    </w:p>
    <w:p>
      <w:pPr>
        <w:spacing w:before="0" w:after="200" w:line="307" w:lineRule="auto"/>
      </w:pPr>
      <w:r>
        <w:rPr>
          <w:rFonts w:ascii="Georgia" w:hAnsi="Georgia"/>
          <w:b w:val="0"/>
          <w:color w:val="526068"/>
          <w:sz w:val="21"/>
        </w:rPr>
        <w:t>Health checks, the test suites and what to run after a deploy. A deploy that reports success is not the same as a system that works, and this system has several ways of being up and quietly wrong.</w:t>
      </w:r>
    </w:p>
    <w:p>
      <w:pPr>
        <w:spacing w:before="260" w:after="80" w:line="307" w:lineRule="auto"/>
      </w:pPr>
      <w:r>
        <w:rPr>
          <w:rFonts w:ascii="Calibri" w:hAnsi="Calibri"/>
          <w:b/>
          <w:color w:val="172126"/>
          <w:sz w:val="22"/>
        </w:rPr>
        <w:t>9.1  After every deploy</w:t>
      </w:r>
    </w:p>
    <w:tbl>
      <w:tblPr>
        <w:tblW w:type="auto" w:w="0"/>
        <w:tblLook w:firstColumn="1" w:firstRow="1" w:lastColumn="0" w:lastRow="0" w:noHBand="0" w:noVBand="1" w:val="04A0"/>
        <w:tblBorders>
          <w:top w:val="single" w:sz="2" w:space="0" w:color="E7EBEE"/>
          <w:left w:val="single" w:sz="2" w:space="0" w:color="E7EBEE"/>
          <w:bottom w:val="single" w:sz="2" w:space="0" w:color="E7EBEE"/>
          <w:right w:val="single" w:sz="2" w:space="0" w:color="E7EBEE"/>
          <w:insideH w:val="single" w:sz="2" w:space="0" w:color="E7EBEE"/>
          <w:insideV w:val="single" w:sz="2" w:space="0" w:color="E7EBEE"/>
        </w:tblBorders>
      </w:tblPr>
      <w:tblGrid>
        <w:gridCol w:w="10080"/>
      </w:tblGrid>
      <w:tr>
        <w:tc>
          <w:tcPr>
            <w:tcW w:type="dxa" w:w="10080"/>
            <w:shd w:val="clear" w:fill="F5F7F8"/>
          </w:tcPr>
          <w:p>
            <w:pPr>
              <w:spacing w:line="288" w:lineRule="auto"/>
            </w:pPr>
            <w:r/>
            <w:r>
              <w:rPr>
                <w:rFonts w:ascii="Consolas" w:hAnsi="Consolas"/>
                <w:color w:val="172126"/>
                <w:sz w:val="16"/>
              </w:rPr>
              <w:t>cd /opt/preckon-tenant</w:t>
              <w:br/>
              <w:t>docker compose ps --format '{{.Service}}\t{{.Status}}'</w:t>
              <w:br/>
              <w:t>docker compose logs worker | grep 'Claude:'      # key present? stubs refused?</w:t>
              <w:br/>
              <w:t>curl -s localhost:4000/healthz                    # worker</w:t>
              <w:br/>
              <w:t>curl -s localhost:3100/api/healthz                # tenant core</w:t>
              <w:br/>
              <w:t>curl -s -o /dev/null -w '%{http_code}\n' localhost:3000/checklist.html   # host, expect 200</w:t>
              <w:br/>
              <w:t>curl -s https://app.preckon.com/api/v1/audit/verify</w:t>
            </w:r>
          </w:p>
        </w:tc>
      </w:tr>
    </w:tbl>
    <w:p>
      <w:pPr>
        <w:spacing w:after="40"/>
      </w:pPr>
    </w:p>
    <w:p>
      <w:pPr>
        <w:spacing w:before="0" w:after="140" w:line="307" w:lineRule="auto"/>
      </w:pPr>
      <w:r>
        <w:rPr>
          <w:rFonts w:ascii="Georgia" w:hAnsi="Georgia"/>
          <w:b w:val="0"/>
          <w:color w:val="526068"/>
          <w:sz w:val="19"/>
        </w:rPr>
        <w:t>The worker boot line is the highest-value single check on the box: it says in one line whether Claude is configured and whether substitute output is permitted, which together determine whether anything you are looking at is real.</w:t>
      </w:r>
    </w:p>
    <w:p>
      <w:pPr>
        <w:spacing w:before="260" w:after="80" w:line="307" w:lineRule="auto"/>
      </w:pPr>
      <w:r>
        <w:rPr>
          <w:rFonts w:ascii="Calibri" w:hAnsi="Calibri"/>
          <w:b/>
          <w:color w:val="172126"/>
          <w:sz w:val="22"/>
        </w:rPr>
        <w:t>9.2  The test suites</w:t>
      </w:r>
    </w:p>
    <w:tbl>
      <w:tblPr>
        <w:tblW w:type="auto" w:w="0"/>
        <w:jc w:val="left"/>
        <w:tblLook w:firstColumn="1" w:firstRow="1" w:lastColumn="0" w:lastRow="0" w:noHBand="0" w:noVBand="1" w:val="04A0"/>
        <w:tblBorders>
          <w:top w:val="single" w:sz="4" w:space="0" w:color="D8DEE2"/>
          <w:left w:val="single" w:sz="4" w:space="0" w:color="D8DEE2"/>
          <w:bottom w:val="single" w:sz="4" w:space="0" w:color="D8DEE2"/>
          <w:right w:val="single" w:sz="4" w:space="0" w:color="D8DEE2"/>
          <w:insideH w:val="single" w:sz="4" w:space="0" w:color="D8DEE2"/>
          <w:insideV w:val="single" w:sz="4" w:space="0" w:color="D8DEE2"/>
        </w:tblBorders>
      </w:tblPr>
      <w:tblGrid>
        <w:gridCol w:w="3360"/>
        <w:gridCol w:w="3360"/>
        <w:gridCol w:w="3360"/>
      </w:tblGrid>
      <w:tr>
        <w:tc>
          <w:tcPr>
            <w:tcW w:type="dxa" w:w="2160"/>
            <w:shd w:val="clear" w:fill="F0F3F4"/>
          </w:tcPr>
          <w:p>
            <w:r/>
            <w:r>
              <w:rPr>
                <w:rFonts w:ascii="Calibri" w:hAnsi="Calibri"/>
                <w:b/>
                <w:color w:val="667279"/>
                <w:sz w:val="13"/>
              </w:rPr>
              <w:t>SUITE</w:t>
            </w:r>
          </w:p>
        </w:tc>
        <w:tc>
          <w:tcPr>
            <w:tcW w:type="dxa" w:w="5616"/>
            <w:shd w:val="clear" w:fill="F0F3F4"/>
          </w:tcPr>
          <w:p>
            <w:r/>
            <w:r>
              <w:rPr>
                <w:rFonts w:ascii="Calibri" w:hAnsi="Calibri"/>
                <w:b/>
                <w:color w:val="667279"/>
                <w:sz w:val="13"/>
              </w:rPr>
              <w:t>PROVES</w:t>
            </w:r>
          </w:p>
        </w:tc>
        <w:tc>
          <w:tcPr>
            <w:tcW w:type="dxa" w:w="1656"/>
            <w:shd w:val="clear" w:fill="F0F3F4"/>
          </w:tcPr>
          <w:p>
            <w:r/>
            <w:r>
              <w:rPr>
                <w:rFonts w:ascii="Calibri" w:hAnsi="Calibri"/>
                <w:b/>
                <w:color w:val="667279"/>
                <w:sz w:val="13"/>
              </w:rPr>
              <w:t>COMMAND</w:t>
            </w:r>
          </w:p>
        </w:tc>
      </w:tr>
      <w:tr>
        <w:tc>
          <w:tcPr>
            <w:tcW w:type="dxa" w:w="2160"/>
          </w:tcPr>
          <w:p>
            <w:pPr>
              <w:spacing w:line="278" w:lineRule="auto" w:after="0"/>
            </w:pPr>
            <w:r/>
            <w:r>
              <w:rPr>
                <w:rFonts w:ascii="Calibri" w:hAnsi="Calibri"/>
                <w:b/>
                <w:color w:val="172126"/>
                <w:sz w:val="15"/>
              </w:rPr>
              <w:t>test/skeleton.test.ts</w:t>
            </w:r>
          </w:p>
        </w:tc>
        <w:tc>
          <w:tcPr>
            <w:tcW w:type="dxa" w:w="5616"/>
          </w:tcPr>
          <w:p>
            <w:pPr>
              <w:spacing w:line="278" w:lineRule="auto" w:after="0"/>
            </w:pPr>
            <w:r/>
            <w:r>
              <w:rPr>
                <w:rFonts w:ascii="Calibri" w:hAnsi="Calibri"/>
                <w:b w:val="0"/>
                <w:color w:val="526068"/>
                <w:sz w:val="15"/>
              </w:rPr>
              <w:t>The seven end-to-end steps: ingest → tender → gate pause → confirm → resume → boq → gate, with provenance, stale propagation, supersede and re-run, and the audit chain verifying</w:t>
            </w:r>
          </w:p>
        </w:tc>
        <w:tc>
          <w:tcPr>
            <w:tcW w:type="dxa" w:w="1656"/>
          </w:tcPr>
          <w:p>
            <w:pPr>
              <w:spacing w:line="278" w:lineRule="auto" w:after="0"/>
            </w:pPr>
            <w:r/>
            <w:r>
              <w:rPr>
                <w:rFonts w:ascii="Consolas" w:hAnsi="Consolas"/>
                <w:b w:val="0"/>
                <w:color w:val="526068"/>
                <w:sz w:val="15"/>
              </w:rPr>
              <w:t>npm test</w:t>
            </w:r>
          </w:p>
        </w:tc>
      </w:tr>
      <w:tr>
        <w:tc>
          <w:tcPr>
            <w:tcW w:type="dxa" w:w="2160"/>
          </w:tcPr>
          <w:p>
            <w:pPr>
              <w:spacing w:line="278" w:lineRule="auto" w:after="0"/>
            </w:pPr>
            <w:r/>
            <w:r>
              <w:rPr>
                <w:rFonts w:ascii="Calibri" w:hAnsi="Calibri"/>
                <w:b/>
                <w:color w:val="172126"/>
                <w:sz w:val="15"/>
              </w:rPr>
              <w:t>test/tenancy.test.ts</w:t>
            </w:r>
          </w:p>
        </w:tc>
        <w:tc>
          <w:tcPr>
            <w:tcW w:type="dxa" w:w="5616"/>
          </w:tcPr>
          <w:p>
            <w:pPr>
              <w:spacing w:line="278" w:lineRule="auto" w:after="0"/>
            </w:pPr>
            <w:r/>
            <w:r>
              <w:rPr>
                <w:rFonts w:ascii="Calibri" w:hAnsi="Calibri"/>
                <w:b w:val="0"/>
                <w:color w:val="526068"/>
                <w:sz w:val="15"/>
              </w:rPr>
              <w:t>App-layer tenant isolation — a cross-tenant read returns zero rows. The RLS equivalent</w:t>
            </w:r>
          </w:p>
        </w:tc>
        <w:tc>
          <w:tcPr>
            <w:tcW w:type="dxa" w:w="1656"/>
          </w:tcPr>
          <w:p>
            <w:pPr>
              <w:spacing w:line="278" w:lineRule="auto" w:after="0"/>
            </w:pPr>
            <w:r/>
            <w:r>
              <w:rPr>
                <w:rFonts w:ascii="Consolas" w:hAnsi="Consolas"/>
                <w:b w:val="0"/>
                <w:color w:val="526068"/>
                <w:sz w:val="15"/>
              </w:rPr>
              <w:t>npm test</w:t>
            </w:r>
          </w:p>
        </w:tc>
      </w:tr>
      <w:tr>
        <w:tc>
          <w:tcPr>
            <w:tcW w:type="dxa" w:w="2160"/>
          </w:tcPr>
          <w:p>
            <w:pPr>
              <w:spacing w:line="278" w:lineRule="auto" w:after="0"/>
            </w:pPr>
            <w:r/>
            <w:r>
              <w:rPr>
                <w:rFonts w:ascii="Calibri" w:hAnsi="Calibri"/>
                <w:b/>
                <w:color w:val="172126"/>
                <w:sz w:val="15"/>
              </w:rPr>
              <w:t>test/trust-boundary.test.ts</w:t>
            </w:r>
          </w:p>
        </w:tc>
        <w:tc>
          <w:tcPr>
            <w:tcW w:type="dxa" w:w="5616"/>
          </w:tcPr>
          <w:p>
            <w:pPr>
              <w:spacing w:line="278" w:lineRule="auto" w:after="0"/>
            </w:pPr>
            <w:r/>
            <w:r>
              <w:rPr>
                <w:rFonts w:ascii="Calibri" w:hAnsi="Calibri"/>
                <w:b w:val="0"/>
                <w:color w:val="526068"/>
                <w:sz w:val="15"/>
              </w:rPr>
              <w:t>The worker declares no DB dependency and imports no store module</w:t>
            </w:r>
          </w:p>
        </w:tc>
        <w:tc>
          <w:tcPr>
            <w:tcW w:type="dxa" w:w="1656"/>
          </w:tcPr>
          <w:p>
            <w:pPr>
              <w:spacing w:line="278" w:lineRule="auto" w:after="0"/>
            </w:pPr>
            <w:r/>
            <w:r>
              <w:rPr>
                <w:rFonts w:ascii="Consolas" w:hAnsi="Consolas"/>
                <w:b w:val="0"/>
                <w:color w:val="526068"/>
                <w:sz w:val="15"/>
              </w:rPr>
              <w:t>npm test</w:t>
            </w:r>
          </w:p>
        </w:tc>
      </w:tr>
      <w:tr>
        <w:tc>
          <w:tcPr>
            <w:tcW w:type="dxa" w:w="2160"/>
          </w:tcPr>
          <w:p>
            <w:pPr>
              <w:spacing w:line="278" w:lineRule="auto" w:after="0"/>
            </w:pPr>
            <w:r/>
            <w:r>
              <w:rPr>
                <w:rFonts w:ascii="Calibri" w:hAnsi="Calibri"/>
                <w:b/>
                <w:color w:val="172126"/>
                <w:sz w:val="15"/>
              </w:rPr>
              <w:t>test/packs.test.ts</w:t>
            </w:r>
          </w:p>
        </w:tc>
        <w:tc>
          <w:tcPr>
            <w:tcW w:type="dxa" w:w="5616"/>
          </w:tcPr>
          <w:p>
            <w:pPr>
              <w:spacing w:line="278" w:lineRule="auto" w:after="0"/>
            </w:pPr>
            <w:r/>
            <w:r>
              <w:rPr>
                <w:rFonts w:ascii="Calibri" w:hAnsi="Calibri"/>
                <w:b w:val="0"/>
                <w:color w:val="526068"/>
                <w:sz w:val="15"/>
              </w:rPr>
              <w:t>The generic resolver runs every domain pack with zero errors</w:t>
            </w:r>
          </w:p>
        </w:tc>
        <w:tc>
          <w:tcPr>
            <w:tcW w:type="dxa" w:w="1656"/>
          </w:tcPr>
          <w:p>
            <w:pPr>
              <w:spacing w:line="278" w:lineRule="auto" w:after="0"/>
            </w:pPr>
            <w:r/>
            <w:r>
              <w:rPr>
                <w:rFonts w:ascii="Consolas" w:hAnsi="Consolas"/>
                <w:b w:val="0"/>
                <w:color w:val="526068"/>
                <w:sz w:val="15"/>
              </w:rPr>
              <w:t>npm test</w:t>
            </w:r>
          </w:p>
        </w:tc>
      </w:tr>
      <w:tr>
        <w:tc>
          <w:tcPr>
            <w:tcW w:type="dxa" w:w="2160"/>
          </w:tcPr>
          <w:p>
            <w:pPr>
              <w:spacing w:line="278" w:lineRule="auto" w:after="0"/>
            </w:pPr>
            <w:r/>
            <w:r>
              <w:rPr>
                <w:rFonts w:ascii="Calibri" w:hAnsi="Calibri"/>
                <w:b/>
                <w:color w:val="172126"/>
                <w:sz w:val="15"/>
              </w:rPr>
              <w:t>e2e/</w:t>
            </w:r>
          </w:p>
        </w:tc>
        <w:tc>
          <w:tcPr>
            <w:tcW w:type="dxa" w:w="5616"/>
          </w:tcPr>
          <w:p>
            <w:pPr>
              <w:spacing w:line="278" w:lineRule="auto" w:after="0"/>
            </w:pPr>
            <w:r/>
            <w:r>
              <w:rPr>
                <w:rFonts w:ascii="Calibri" w:hAnsi="Calibri"/>
                <w:b w:val="0"/>
                <w:color w:val="526068"/>
                <w:sz w:val="15"/>
              </w:rPr>
              <w:t>Playwright — login and the full core-loop journey</w:t>
            </w:r>
          </w:p>
        </w:tc>
        <w:tc>
          <w:tcPr>
            <w:tcW w:type="dxa" w:w="1656"/>
          </w:tcPr>
          <w:p>
            <w:pPr>
              <w:spacing w:line="278" w:lineRule="auto" w:after="0"/>
            </w:pPr>
            <w:r/>
            <w:r>
              <w:rPr>
                <w:rFonts w:ascii="Consolas" w:hAnsi="Consolas"/>
                <w:b w:val="0"/>
                <w:color w:val="526068"/>
                <w:sz w:val="15"/>
              </w:rPr>
              <w:t>npm run test:e2e</w:t>
            </w:r>
          </w:p>
        </w:tc>
      </w:tr>
    </w:tbl>
    <w:p>
      <w:pPr>
        <w:spacing w:after="60"/>
      </w:pPr>
    </w:p>
    <w:p>
      <w:pPr>
        <w:spacing w:before="0" w:after="140" w:line="307" w:lineRule="auto"/>
      </w:pPr>
      <w:r>
        <w:rPr>
          <w:rFonts w:ascii="Georgia" w:hAnsi="Georgia"/>
          <w:b w:val="0"/>
          <w:color w:val="526068"/>
          <w:sz w:val="19"/>
        </w:rPr>
        <w:t>Tests need a seeded MySQL on 3308: docker compose up -d db &amp;&amp; npm run seed, then npm test. The skeleton test drives the real runtime with an in-process dispatcher, so it needs no worker container and is fully deterministic.</w:t>
      </w:r>
    </w:p>
    <w:tbl>
      <w:tblPr>
        <w:tblW w:type="auto" w:w="0"/>
        <w:tblLook w:firstColumn="1" w:firstRow="1" w:lastColumn="0" w:lastRow="0" w:noHBand="0" w:noVBand="1" w:val="04A0"/>
        <w:tblBorders>
          <w:top w:val="single" w:sz="2" w:space="0" w:color="FBF0E0"/>
          <w:left w:val="single" w:sz="2" w:space="0" w:color="FBF0E0"/>
          <w:bottom w:val="single" w:sz="2" w:space="0" w:color="FBF0E0"/>
          <w:right w:val="single" w:sz="2" w:space="0" w:color="FBF0E0"/>
          <w:insideH w:val="single" w:sz="2" w:space="0" w:color="FBF0E0"/>
          <w:insideV w:val="single" w:sz="2" w:space="0" w:color="FBF0E0"/>
        </w:tblBorders>
      </w:tblPr>
      <w:tblGrid>
        <w:gridCol w:w="10080"/>
      </w:tblGrid>
      <w:tr>
        <w:tc>
          <w:tcPr>
            <w:tcW w:type="dxa" w:w="10080"/>
            <w:shd w:val="clear" w:fill="FBF0E0"/>
          </w:tcPr>
          <w:p>
            <w:r/>
            <w:r>
              <w:rPr>
                <w:rFonts w:ascii="Calibri" w:hAnsi="Calibri"/>
                <w:b/>
                <w:color w:val="A56000"/>
                <w:sz w:val="14"/>
              </w:rPr>
              <w:t>AUTH_SIGNIN_MAX AND THE E2E SUITE</w:t>
            </w:r>
          </w:p>
          <w:p>
            <w:pPr>
              <w:spacing w:before="60" w:line="302" w:lineRule="auto"/>
            </w:pPr>
            <w:r>
              <w:rPr>
                <w:rFonts w:ascii="Georgia" w:hAnsi="Georgia"/>
                <w:color w:val="172126"/>
                <w:sz w:val="17"/>
              </w:rPr>
              <w:t>Sign-in throttles at three attempts per minute, which is the point. AUTH_SIGNIN_MAX exists only so the local e2e suite — which signs in once per test — can run. It must stay UNSET on anything publicly reachable, and the deploy tarball excludes the local .env specifically so a local value of 200 cannot reach the server.</w:t>
            </w:r>
          </w:p>
        </w:tc>
      </w:tr>
    </w:tbl>
    <w:p>
      <w:pPr>
        <w:spacing w:after="60"/>
      </w:pPr>
    </w:p>
    <w:p>
      <w:pPr>
        <w:spacing w:before="260" w:after="80" w:line="307" w:lineRule="auto"/>
      </w:pPr>
      <w:r>
        <w:rPr>
          <w:rFonts w:ascii="Calibri" w:hAnsi="Calibri"/>
          <w:b/>
          <w:color w:val="172126"/>
          <w:sz w:val="22"/>
        </w:rPr>
        <w:t>9.3  The QA checklist</w:t>
      </w:r>
    </w:p>
    <w:p>
      <w:pPr>
        <w:spacing w:before="0" w:after="140" w:line="307" w:lineRule="auto"/>
      </w:pPr>
      <w:r>
        <w:rPr>
          <w:rFonts w:ascii="Georgia" w:hAnsi="Georgia"/>
          <w:b w:val="0"/>
          <w:color w:val="526068"/>
          <w:sz w:val="19"/>
        </w:rPr>
        <w:t>A static page baked into the Host image at build time, served at /checklist.html on whatever origin serves the Host console. Because it is baked in, publishing an updated one means rebuilding the host — copying a file into a running container vanishes on the next recreate. Results are stored per browser in localStorage, so each tester keeps their own, and Export CSV pulls from the same case list the page renders.</w:t>
      </w:r>
    </w:p>
    <w:p>
      <w:pPr>
        <w:spacing w:before="260" w:after="80" w:line="307" w:lineRule="auto"/>
      </w:pPr>
      <w:r>
        <w:rPr>
          <w:rFonts w:ascii="Calibri" w:hAnsi="Calibri"/>
          <w:b/>
          <w:color w:val="172126"/>
          <w:sz w:val="22"/>
        </w:rPr>
        <w:t>9.4  Retiring stub-era artifacts</w:t>
      </w:r>
    </w:p>
    <w:p>
      <w:pPr>
        <w:spacing w:before="0" w:after="140" w:line="307" w:lineRule="auto"/>
      </w:pPr>
      <w:r>
        <w:rPr>
          <w:rFonts w:ascii="Georgia" w:hAnsi="Georgia"/>
          <w:b w:val="0"/>
          <w:color w:val="526068"/>
          <w:sz w:val="19"/>
        </w:rPr>
        <w:t>A project that ran before ANTHROPIC_API_KEY was set carries records that look real and are not. Clear them without breaking provenance:</w:t>
      </w:r>
    </w:p>
    <w:tbl>
      <w:tblPr>
        <w:tblW w:type="auto" w:w="0"/>
        <w:tblLook w:firstColumn="1" w:firstRow="1" w:lastColumn="0" w:lastRow="0" w:noHBand="0" w:noVBand="1" w:val="04A0"/>
        <w:tblBorders>
          <w:top w:val="single" w:sz="2" w:space="0" w:color="E7EBEE"/>
          <w:left w:val="single" w:sz="2" w:space="0" w:color="E7EBEE"/>
          <w:bottom w:val="single" w:sz="2" w:space="0" w:color="E7EBEE"/>
          <w:right w:val="single" w:sz="2" w:space="0" w:color="E7EBEE"/>
          <w:insideH w:val="single" w:sz="2" w:space="0" w:color="E7EBEE"/>
          <w:insideV w:val="single" w:sz="2" w:space="0" w:color="E7EBEE"/>
        </w:tblBorders>
      </w:tblPr>
      <w:tblGrid>
        <w:gridCol w:w="10080"/>
      </w:tblGrid>
      <w:tr>
        <w:tc>
          <w:tcPr>
            <w:tcW w:type="dxa" w:w="10080"/>
            <w:shd w:val="clear" w:fill="F5F7F8"/>
          </w:tcPr>
          <w:p>
            <w:pPr>
              <w:spacing w:line="288" w:lineRule="auto"/>
            </w:pPr>
            <w:r/>
            <w:r>
              <w:rPr>
                <w:rFonts w:ascii="Consolas" w:hAnsi="Consolas"/>
                <w:color w:val="172126"/>
                <w:sz w:val="16"/>
              </w:rPr>
              <w:t>node scripts/retire-artifacts.mjs --project &lt;pid&gt; --before 2026-08-01 --dry-run</w:t>
              <w:br/>
              <w:t>node scripts/retire-artifacts.mjs --project &lt;pid&gt; --before 2026-08-01 \</w:t>
              <w:br/>
              <w:t xml:space="preserve">  --reason "stub-agent output"</w:t>
            </w:r>
          </w:p>
        </w:tc>
      </w:tr>
    </w:tbl>
    <w:p>
      <w:pPr>
        <w:spacing w:after="40"/>
      </w:pPr>
    </w:p>
    <w:p>
      <w:pPr>
        <w:spacing w:before="0" w:after="140" w:line="307" w:lineRule="auto"/>
      </w:pPr>
      <w:r>
        <w:rPr>
          <w:rFonts w:ascii="Georgia" w:hAnsi="Georgia"/>
          <w:b w:val="0"/>
          <w:color w:val="526068"/>
          <w:sz w:val="19"/>
        </w:rPr>
        <w:t>It supersedes rather than deletes, so downstream records keep their lineage, and writes one audit entry through the chain's stored procedure. Verify after with GET /api/v1/audit/verify.</w:t>
      </w:r>
    </w:p>
    <w:p>
      <w:r>
        <w:br w:type="page"/>
      </w:r>
    </w:p>
    <w:p>
      <w:pPr>
        <w:spacing w:before="0" w:after="60" w:line="307" w:lineRule="auto"/>
      </w:pPr>
      <w:r>
        <w:rPr>
          <w:rFonts w:ascii="Consolas" w:hAnsi="Consolas"/>
          <w:b/>
          <w:color w:val="087E75"/>
          <w:sz w:val="15"/>
        </w:rPr>
        <w:t>PART 10</w:t>
      </w:r>
    </w:p>
    <w:p>
      <w:pPr>
        <w:spacing w:before="0" w:after="160" w:line="252" w:lineRule="auto"/>
      </w:pPr>
      <w:r>
        <w:rPr>
          <w:rFonts w:ascii="Georgia" w:hAnsi="Georgia"/>
          <w:b/>
          <w:color w:val="172126"/>
          <w:sz w:val="38"/>
        </w:rPr>
        <w:t>Defects, open items and decisions</w:t>
      </w:r>
    </w:p>
    <w:p>
      <w:pPr>
        <w:spacing w:before="0" w:after="200" w:line="307" w:lineRule="auto"/>
      </w:pPr>
      <w:r>
        <w:rPr>
          <w:rFonts w:ascii="Georgia" w:hAnsi="Georgia"/>
          <w:b w:val="0"/>
          <w:color w:val="526068"/>
          <w:sz w:val="21"/>
        </w:rPr>
        <w:t>Everything this document could not close, in one place, with what it would take to close each one.</w:t>
      </w:r>
    </w:p>
    <w:p>
      <w:pPr>
        <w:spacing w:before="260" w:after="80" w:line="307" w:lineRule="auto"/>
      </w:pPr>
      <w:r>
        <w:rPr>
          <w:rFonts w:ascii="Calibri" w:hAnsi="Calibri"/>
          <w:b/>
          <w:color w:val="172126"/>
          <w:sz w:val="22"/>
        </w:rPr>
        <w:t>10.1  Defect register</w:t>
      </w:r>
    </w:p>
    <w:tbl>
      <w:tblPr>
        <w:tblW w:type="auto" w:w="0"/>
        <w:jc w:val="left"/>
        <w:tblLook w:firstColumn="1" w:firstRow="1" w:lastColumn="0" w:lastRow="0" w:noHBand="0" w:noVBand="1" w:val="04A0"/>
        <w:tblBorders>
          <w:top w:val="single" w:sz="4" w:space="0" w:color="D8DEE2"/>
          <w:left w:val="single" w:sz="4" w:space="0" w:color="D8DEE2"/>
          <w:bottom w:val="single" w:sz="4" w:space="0" w:color="D8DEE2"/>
          <w:right w:val="single" w:sz="4" w:space="0" w:color="D8DEE2"/>
          <w:insideH w:val="single" w:sz="4" w:space="0" w:color="D8DEE2"/>
          <w:insideV w:val="single" w:sz="4" w:space="0" w:color="D8DEE2"/>
        </w:tblBorders>
      </w:tblPr>
      <w:tblGrid>
        <w:gridCol w:w="2520"/>
        <w:gridCol w:w="2520"/>
        <w:gridCol w:w="2520"/>
        <w:gridCol w:w="2520"/>
      </w:tblGrid>
      <w:tr>
        <w:tc>
          <w:tcPr>
            <w:tcW w:type="dxa" w:w="432"/>
            <w:shd w:val="clear" w:fill="F0F3F4"/>
          </w:tcPr>
          <w:p>
            <w:r/>
            <w:r>
              <w:rPr>
                <w:rFonts w:ascii="Calibri" w:hAnsi="Calibri"/>
                <w:b/>
                <w:color w:val="667279"/>
                <w:sz w:val="13"/>
              </w:rPr>
              <w:t>#</w:t>
            </w:r>
          </w:p>
        </w:tc>
        <w:tc>
          <w:tcPr>
            <w:tcW w:type="dxa" w:w="2160"/>
            <w:shd w:val="clear" w:fill="F0F3F4"/>
          </w:tcPr>
          <w:p>
            <w:r/>
            <w:r>
              <w:rPr>
                <w:rFonts w:ascii="Calibri" w:hAnsi="Calibri"/>
                <w:b/>
                <w:color w:val="667279"/>
                <w:sz w:val="13"/>
              </w:rPr>
              <w:t>WHERE</w:t>
            </w:r>
          </w:p>
        </w:tc>
        <w:tc>
          <w:tcPr>
            <w:tcW w:type="dxa" w:w="5616"/>
            <w:shd w:val="clear" w:fill="F0F3F4"/>
          </w:tcPr>
          <w:p>
            <w:r/>
            <w:r>
              <w:rPr>
                <w:rFonts w:ascii="Calibri" w:hAnsi="Calibri"/>
                <w:b/>
                <w:color w:val="667279"/>
                <w:sz w:val="13"/>
              </w:rPr>
              <w:t>DEFECT</w:t>
            </w:r>
          </w:p>
        </w:tc>
        <w:tc>
          <w:tcPr>
            <w:tcW w:type="dxa" w:w="1080"/>
            <w:shd w:val="clear" w:fill="F0F3F4"/>
          </w:tcPr>
          <w:p>
            <w:r/>
            <w:r>
              <w:rPr>
                <w:rFonts w:ascii="Calibri" w:hAnsi="Calibri"/>
                <w:b/>
                <w:color w:val="667279"/>
                <w:sz w:val="13"/>
              </w:rPr>
              <w:t>SEVERITY</w:t>
            </w:r>
          </w:p>
        </w:tc>
      </w:tr>
      <w:tr>
        <w:tc>
          <w:tcPr>
            <w:tcW w:type="dxa" w:w="432"/>
          </w:tcPr>
          <w:p>
            <w:pPr>
              <w:spacing w:line="278" w:lineRule="auto" w:after="0"/>
            </w:pPr>
            <w:r/>
            <w:r>
              <w:rPr>
                <w:rFonts w:ascii="Calibri" w:hAnsi="Calibri"/>
                <w:b/>
                <w:color w:val="172126"/>
                <w:sz w:val="15"/>
              </w:rPr>
              <w:t>D1</w:t>
            </w:r>
          </w:p>
        </w:tc>
        <w:tc>
          <w:tcPr>
            <w:tcW w:type="dxa" w:w="2160"/>
          </w:tcPr>
          <w:p>
            <w:pPr>
              <w:spacing w:line="278" w:lineRule="auto" w:after="0"/>
            </w:pPr>
            <w:r/>
            <w:r>
              <w:rPr>
                <w:rFonts w:ascii="Consolas" w:hAnsi="Consolas"/>
                <w:b w:val="0"/>
                <w:color w:val="526068"/>
                <w:sz w:val="15"/>
              </w:rPr>
              <w:t>update-from-git.sh:84</w:t>
            </w:r>
          </w:p>
        </w:tc>
        <w:tc>
          <w:tcPr>
            <w:tcW w:type="dxa" w:w="5616"/>
          </w:tcPr>
          <w:p>
            <w:pPr>
              <w:spacing w:line="278" w:lineRule="auto" w:after="0"/>
            </w:pPr>
            <w:r/>
            <w:r>
              <w:rPr>
                <w:rFonts w:ascii="Calibri" w:hAnsi="Calibri"/>
                <w:b w:val="0"/>
                <w:color w:val="526068"/>
                <w:sz w:val="15"/>
              </w:rPr>
              <w:t>Migrations run with the pre-rotation password. Under set -euo pipefail the deploy aborts. THE DOCUMENTED DEPLOY PATH IS BROKEN TODAY</w:t>
            </w:r>
          </w:p>
        </w:tc>
        <w:tc>
          <w:tcPr>
            <w:tcW w:type="dxa" w:w="1080"/>
            <w:shd w:val="clear" w:fill="FBEAE8"/>
          </w:tcPr>
          <w:p>
            <w:pPr>
              <w:spacing w:line="278" w:lineRule="auto" w:after="0"/>
            </w:pPr>
            <w:r/>
            <w:r>
              <w:rPr>
                <w:rFonts w:ascii="Calibri" w:hAnsi="Calibri"/>
                <w:b/>
                <w:color w:val="B42318"/>
                <w:sz w:val="15"/>
              </w:rPr>
              <w:t>Critical</w:t>
            </w:r>
          </w:p>
        </w:tc>
      </w:tr>
      <w:tr>
        <w:tc>
          <w:tcPr>
            <w:tcW w:type="dxa" w:w="432"/>
          </w:tcPr>
          <w:p>
            <w:pPr>
              <w:spacing w:line="278" w:lineRule="auto" w:after="0"/>
            </w:pPr>
            <w:r/>
            <w:r>
              <w:rPr>
                <w:rFonts w:ascii="Calibri" w:hAnsi="Calibri"/>
                <w:b/>
                <w:color w:val="172126"/>
                <w:sz w:val="15"/>
              </w:rPr>
              <w:t>D2</w:t>
            </w:r>
          </w:p>
        </w:tc>
        <w:tc>
          <w:tcPr>
            <w:tcW w:type="dxa" w:w="2160"/>
          </w:tcPr>
          <w:p>
            <w:pPr>
              <w:spacing w:line="278" w:lineRule="auto" w:after="0"/>
            </w:pPr>
            <w:r/>
            <w:r>
              <w:rPr>
                <w:rFonts w:ascii="Consolas" w:hAnsi="Consolas"/>
                <w:b w:val="0"/>
                <w:color w:val="526068"/>
                <w:sz w:val="15"/>
              </w:rPr>
              <w:t>DEPLOY.md:41, :61</w:t>
            </w:r>
          </w:p>
        </w:tc>
        <w:tc>
          <w:tcPr>
            <w:tcW w:type="dxa" w:w="5616"/>
          </w:tcPr>
          <w:p>
            <w:pPr>
              <w:spacing w:line="278" w:lineRule="auto" w:after="0"/>
            </w:pPr>
            <w:r/>
            <w:r>
              <w:rPr>
                <w:rFonts w:ascii="Calibri" w:hAnsi="Calibri"/>
                <w:b w:val="0"/>
                <w:color w:val="526068"/>
                <w:sz w:val="15"/>
              </w:rPr>
              <w:t>The same stale literal in the runbook a new starter would follow</w:t>
            </w:r>
          </w:p>
        </w:tc>
        <w:tc>
          <w:tcPr>
            <w:tcW w:type="dxa" w:w="1080"/>
            <w:shd w:val="clear" w:fill="FBEAE8"/>
          </w:tcPr>
          <w:p>
            <w:pPr>
              <w:spacing w:line="278" w:lineRule="auto" w:after="0"/>
            </w:pPr>
            <w:r/>
            <w:r>
              <w:rPr>
                <w:rFonts w:ascii="Calibri" w:hAnsi="Calibri"/>
                <w:b/>
                <w:color w:val="B42318"/>
                <w:sz w:val="15"/>
              </w:rPr>
              <w:t>High</w:t>
            </w:r>
          </w:p>
        </w:tc>
      </w:tr>
      <w:tr>
        <w:tc>
          <w:tcPr>
            <w:tcW w:type="dxa" w:w="432"/>
          </w:tcPr>
          <w:p>
            <w:pPr>
              <w:spacing w:line="278" w:lineRule="auto" w:after="0"/>
            </w:pPr>
            <w:r/>
            <w:r>
              <w:rPr>
                <w:rFonts w:ascii="Calibri" w:hAnsi="Calibri"/>
                <w:b/>
                <w:color w:val="172126"/>
                <w:sz w:val="15"/>
              </w:rPr>
              <w:t>D3</w:t>
            </w:r>
          </w:p>
        </w:tc>
        <w:tc>
          <w:tcPr>
            <w:tcW w:type="dxa" w:w="2160"/>
          </w:tcPr>
          <w:p>
            <w:pPr>
              <w:spacing w:line="278" w:lineRule="auto" w:after="0"/>
            </w:pPr>
            <w:r/>
            <w:r>
              <w:rPr>
                <w:rFonts w:ascii="Consolas" w:hAnsi="Consolas"/>
                <w:b w:val="0"/>
                <w:color w:val="526068"/>
                <w:sz w:val="15"/>
              </w:rPr>
              <w:t>deploy.ps1:54</w:t>
            </w:r>
          </w:p>
        </w:tc>
        <w:tc>
          <w:tcPr>
            <w:tcW w:type="dxa" w:w="5616"/>
          </w:tcPr>
          <w:p>
            <w:pPr>
              <w:spacing w:line="278" w:lineRule="auto" w:after="0"/>
            </w:pPr>
            <w:r/>
            <w:r>
              <w:rPr>
                <w:rFonts w:ascii="Calibri" w:hAnsi="Calibri"/>
                <w:b w:val="0"/>
                <w:color w:val="526068"/>
                <w:sz w:val="15"/>
              </w:rPr>
              <w:t>DbPass defaults to the pre-rotation password</w:t>
            </w:r>
          </w:p>
        </w:tc>
        <w:tc>
          <w:tcPr>
            <w:tcW w:type="dxa" w:w="1080"/>
            <w:shd w:val="clear" w:fill="FBEAE8"/>
          </w:tcPr>
          <w:p>
            <w:pPr>
              <w:spacing w:line="278" w:lineRule="auto" w:after="0"/>
            </w:pPr>
            <w:r/>
            <w:r>
              <w:rPr>
                <w:rFonts w:ascii="Calibri" w:hAnsi="Calibri"/>
                <w:b/>
                <w:color w:val="B42318"/>
                <w:sz w:val="15"/>
              </w:rPr>
              <w:t>High</w:t>
            </w:r>
          </w:p>
        </w:tc>
      </w:tr>
      <w:tr>
        <w:tc>
          <w:tcPr>
            <w:tcW w:type="dxa" w:w="432"/>
          </w:tcPr>
          <w:p>
            <w:pPr>
              <w:spacing w:line="278" w:lineRule="auto" w:after="0"/>
            </w:pPr>
            <w:r/>
            <w:r>
              <w:rPr>
                <w:rFonts w:ascii="Calibri" w:hAnsi="Calibri"/>
                <w:b/>
                <w:color w:val="172126"/>
                <w:sz w:val="15"/>
              </w:rPr>
              <w:t>D4</w:t>
            </w:r>
          </w:p>
        </w:tc>
        <w:tc>
          <w:tcPr>
            <w:tcW w:type="dxa" w:w="2160"/>
          </w:tcPr>
          <w:p>
            <w:pPr>
              <w:spacing w:line="278" w:lineRule="auto" w:after="0"/>
            </w:pPr>
            <w:r/>
            <w:r>
              <w:rPr>
                <w:rFonts w:ascii="Consolas" w:hAnsi="Consolas"/>
                <w:b w:val="0"/>
                <w:color w:val="526068"/>
                <w:sz w:val="15"/>
              </w:rPr>
              <w:t>scripts/migrate.sh:22</w:t>
            </w:r>
          </w:p>
        </w:tc>
        <w:tc>
          <w:tcPr>
            <w:tcW w:type="dxa" w:w="5616"/>
          </w:tcPr>
          <w:p>
            <w:pPr>
              <w:spacing w:line="278" w:lineRule="auto" w:after="0"/>
            </w:pPr>
            <w:r/>
            <w:r>
              <w:rPr>
                <w:rFonts w:ascii="Calibri" w:hAnsi="Calibri"/>
                <w:b w:val="0"/>
                <w:color w:val="526068"/>
                <w:sz w:val="15"/>
              </w:rPr>
              <w:t>DB_PASS defaults to the pre-rotation password</w:t>
            </w:r>
          </w:p>
        </w:tc>
        <w:tc>
          <w:tcPr>
            <w:tcW w:type="dxa" w:w="1080"/>
            <w:shd w:val="clear" w:fill="FBEAE8"/>
          </w:tcPr>
          <w:p>
            <w:pPr>
              <w:spacing w:line="278" w:lineRule="auto" w:after="0"/>
            </w:pPr>
            <w:r/>
            <w:r>
              <w:rPr>
                <w:rFonts w:ascii="Calibri" w:hAnsi="Calibri"/>
                <w:b/>
                <w:color w:val="B42318"/>
                <w:sz w:val="15"/>
              </w:rPr>
              <w:t>High</w:t>
            </w:r>
          </w:p>
        </w:tc>
      </w:tr>
      <w:tr>
        <w:tc>
          <w:tcPr>
            <w:tcW w:type="dxa" w:w="432"/>
          </w:tcPr>
          <w:p>
            <w:pPr>
              <w:spacing w:line="278" w:lineRule="auto" w:after="0"/>
            </w:pPr>
            <w:r/>
            <w:r>
              <w:rPr>
                <w:rFonts w:ascii="Calibri" w:hAnsi="Calibri"/>
                <w:b/>
                <w:color w:val="172126"/>
                <w:sz w:val="15"/>
              </w:rPr>
              <w:t>D5</w:t>
            </w:r>
          </w:p>
        </w:tc>
        <w:tc>
          <w:tcPr>
            <w:tcW w:type="dxa" w:w="2160"/>
          </w:tcPr>
          <w:p>
            <w:pPr>
              <w:spacing w:line="278" w:lineRule="auto" w:after="0"/>
            </w:pPr>
            <w:r/>
            <w:r>
              <w:rPr>
                <w:rFonts w:ascii="Consolas" w:hAnsi="Consolas"/>
                <w:b w:val="0"/>
                <w:color w:val="526068"/>
                <w:sz w:val="15"/>
              </w:rPr>
              <w:t>scripts/backup.sh</w:t>
            </w:r>
          </w:p>
        </w:tc>
        <w:tc>
          <w:tcPr>
            <w:tcW w:type="dxa" w:w="5616"/>
          </w:tcPr>
          <w:p>
            <w:pPr>
              <w:spacing w:line="278" w:lineRule="auto" w:after="0"/>
            </w:pPr>
            <w:r/>
            <w:r>
              <w:rPr>
                <w:rFonts w:ascii="Calibri" w:hAnsi="Calibri"/>
                <w:b w:val="0"/>
                <w:color w:val="526068"/>
                <w:sz w:val="15"/>
              </w:rPr>
              <w:t>Covers preckon_tenant only; backups live on the disk they protect; uploads not covered</w:t>
            </w:r>
          </w:p>
        </w:tc>
        <w:tc>
          <w:tcPr>
            <w:tcW w:type="dxa" w:w="1080"/>
            <w:shd w:val="clear" w:fill="FBEAE8"/>
          </w:tcPr>
          <w:p>
            <w:pPr>
              <w:spacing w:line="278" w:lineRule="auto" w:after="0"/>
            </w:pPr>
            <w:r/>
            <w:r>
              <w:rPr>
                <w:rFonts w:ascii="Calibri" w:hAnsi="Calibri"/>
                <w:b/>
                <w:color w:val="B42318"/>
                <w:sz w:val="15"/>
              </w:rPr>
              <w:t>High</w:t>
            </w:r>
          </w:p>
        </w:tc>
      </w:tr>
      <w:tr>
        <w:tc>
          <w:tcPr>
            <w:tcW w:type="dxa" w:w="432"/>
          </w:tcPr>
          <w:p>
            <w:pPr>
              <w:spacing w:line="278" w:lineRule="auto" w:after="0"/>
            </w:pPr>
            <w:r/>
            <w:r>
              <w:rPr>
                <w:rFonts w:ascii="Calibri" w:hAnsi="Calibri"/>
                <w:b/>
                <w:color w:val="172126"/>
                <w:sz w:val="15"/>
              </w:rPr>
              <w:t>D6</w:t>
            </w:r>
          </w:p>
        </w:tc>
        <w:tc>
          <w:tcPr>
            <w:tcW w:type="dxa" w:w="2160"/>
          </w:tcPr>
          <w:p>
            <w:pPr>
              <w:spacing w:line="278" w:lineRule="auto" w:after="0"/>
            </w:pPr>
            <w:r/>
            <w:r>
              <w:rPr>
                <w:rFonts w:ascii="Consolas" w:hAnsi="Consolas"/>
                <w:b w:val="0"/>
                <w:color w:val="526068"/>
                <w:sz w:val="15"/>
              </w:rPr>
              <w:t>deploy design</w:t>
            </w:r>
          </w:p>
        </w:tc>
        <w:tc>
          <w:tcPr>
            <w:tcW w:type="dxa" w:w="5616"/>
          </w:tcPr>
          <w:p>
            <w:pPr>
              <w:spacing w:line="278" w:lineRule="auto" w:after="0"/>
            </w:pPr>
            <w:r/>
            <w:r>
              <w:rPr>
                <w:rFonts w:ascii="Calibri" w:hAnsi="Calibri"/>
                <w:b w:val="0"/>
                <w:color w:val="526068"/>
                <w:sz w:val="15"/>
              </w:rPr>
              <w:t>No rollback path exists — §6.3</w:t>
            </w:r>
          </w:p>
        </w:tc>
        <w:tc>
          <w:tcPr>
            <w:tcW w:type="dxa" w:w="1080"/>
            <w:shd w:val="clear" w:fill="FBEAE8"/>
          </w:tcPr>
          <w:p>
            <w:pPr>
              <w:spacing w:line="278" w:lineRule="auto" w:after="0"/>
            </w:pPr>
            <w:r/>
            <w:r>
              <w:rPr>
                <w:rFonts w:ascii="Calibri" w:hAnsi="Calibri"/>
                <w:b/>
                <w:color w:val="B42318"/>
                <w:sz w:val="15"/>
              </w:rPr>
              <w:t>High</w:t>
            </w:r>
          </w:p>
        </w:tc>
      </w:tr>
      <w:tr>
        <w:tc>
          <w:tcPr>
            <w:tcW w:type="dxa" w:w="432"/>
          </w:tcPr>
          <w:p>
            <w:pPr>
              <w:spacing w:line="278" w:lineRule="auto" w:after="0"/>
            </w:pPr>
            <w:r/>
            <w:r>
              <w:rPr>
                <w:rFonts w:ascii="Calibri" w:hAnsi="Calibri"/>
                <w:b/>
                <w:color w:val="172126"/>
                <w:sz w:val="15"/>
              </w:rPr>
              <w:t>D7</w:t>
            </w:r>
          </w:p>
        </w:tc>
        <w:tc>
          <w:tcPr>
            <w:tcW w:type="dxa" w:w="2160"/>
          </w:tcPr>
          <w:p>
            <w:pPr>
              <w:spacing w:line="278" w:lineRule="auto" w:after="0"/>
            </w:pPr>
            <w:r/>
            <w:r>
              <w:rPr>
                <w:rFonts w:ascii="Consolas" w:hAnsi="Consolas"/>
                <w:b w:val="0"/>
                <w:color w:val="526068"/>
                <w:sz w:val="15"/>
              </w:rPr>
              <w:t>preckon-host compose:53-55</w:t>
            </w:r>
          </w:p>
        </w:tc>
        <w:tc>
          <w:tcPr>
            <w:tcW w:type="dxa" w:w="5616"/>
          </w:tcPr>
          <w:p>
            <w:pPr>
              <w:spacing w:line="278" w:lineRule="auto" w:after="0"/>
            </w:pPr>
            <w:r/>
            <w:r>
              <w:rPr>
                <w:rFonts w:ascii="Calibri" w:hAnsi="Calibri"/>
                <w:b w:val="0"/>
                <w:color w:val="526068"/>
                <w:sz w:val="15"/>
              </w:rPr>
              <w:t>BETTER_AUTH_SECRET, BETTER_AUTH_URL and INTERNAL_SERVICE_TOKEN are hardcoded change-me-* literals, NOT read from .env, despite the README saying to change them there</w:t>
            </w:r>
          </w:p>
        </w:tc>
        <w:tc>
          <w:tcPr>
            <w:tcW w:type="dxa" w:w="1080"/>
            <w:shd w:val="clear" w:fill="FBEAE8"/>
          </w:tcPr>
          <w:p>
            <w:pPr>
              <w:spacing w:line="278" w:lineRule="auto" w:after="0"/>
            </w:pPr>
            <w:r/>
            <w:r>
              <w:rPr>
                <w:rFonts w:ascii="Calibri" w:hAnsi="Calibri"/>
                <w:b/>
                <w:color w:val="B42318"/>
                <w:sz w:val="15"/>
              </w:rPr>
              <w:t>High</w:t>
            </w:r>
          </w:p>
        </w:tc>
      </w:tr>
      <w:tr>
        <w:tc>
          <w:tcPr>
            <w:tcW w:type="dxa" w:w="432"/>
          </w:tcPr>
          <w:p>
            <w:pPr>
              <w:spacing w:line="278" w:lineRule="auto" w:after="0"/>
            </w:pPr>
            <w:r/>
            <w:r>
              <w:rPr>
                <w:rFonts w:ascii="Calibri" w:hAnsi="Calibri"/>
                <w:b/>
                <w:color w:val="172126"/>
                <w:sz w:val="15"/>
              </w:rPr>
              <w:t>D8</w:t>
            </w:r>
          </w:p>
        </w:tc>
        <w:tc>
          <w:tcPr>
            <w:tcW w:type="dxa" w:w="2160"/>
          </w:tcPr>
          <w:p>
            <w:pPr>
              <w:spacing w:line="278" w:lineRule="auto" w:after="0"/>
            </w:pPr>
            <w:r/>
            <w:r>
              <w:rPr>
                <w:rFonts w:ascii="Consolas" w:hAnsi="Consolas"/>
                <w:b w:val="0"/>
                <w:color w:val="526068"/>
                <w:sz w:val="15"/>
              </w:rPr>
              <w:t>preckon-host compose:94 and README step 4</w:t>
            </w:r>
          </w:p>
        </w:tc>
        <w:tc>
          <w:tcPr>
            <w:tcW w:type="dxa" w:w="5616"/>
          </w:tcPr>
          <w:p>
            <w:pPr>
              <w:spacing w:line="278" w:lineRule="auto" w:after="0"/>
            </w:pPr>
            <w:r/>
            <w:r>
              <w:rPr>
                <w:rFonts w:ascii="Calibri" w:hAnsi="Calibri"/>
                <w:b w:val="0"/>
                <w:color w:val="526068"/>
                <w:sz w:val="15"/>
              </w:rPr>
              <w:t>A published console password committed as a literal in two files that sync to a public repository. The seed reuses an existing account rather than resetting it, so rotation holds — but the literal stays readable</w:t>
            </w:r>
          </w:p>
        </w:tc>
        <w:tc>
          <w:tcPr>
            <w:tcW w:type="dxa" w:w="1080"/>
            <w:shd w:val="clear" w:fill="FBEAE8"/>
          </w:tcPr>
          <w:p>
            <w:pPr>
              <w:spacing w:line="278" w:lineRule="auto" w:after="0"/>
            </w:pPr>
            <w:r/>
            <w:r>
              <w:rPr>
                <w:rFonts w:ascii="Calibri" w:hAnsi="Calibri"/>
                <w:b/>
                <w:color w:val="B42318"/>
                <w:sz w:val="15"/>
              </w:rPr>
              <w:t>High</w:t>
            </w:r>
          </w:p>
        </w:tc>
      </w:tr>
      <w:tr>
        <w:tc>
          <w:tcPr>
            <w:tcW w:type="dxa" w:w="432"/>
          </w:tcPr>
          <w:p>
            <w:pPr>
              <w:spacing w:line="278" w:lineRule="auto" w:after="0"/>
            </w:pPr>
            <w:r/>
            <w:r>
              <w:rPr>
                <w:rFonts w:ascii="Calibri" w:hAnsi="Calibri"/>
                <w:b/>
                <w:color w:val="172126"/>
                <w:sz w:val="15"/>
              </w:rPr>
              <w:t>D9</w:t>
            </w:r>
          </w:p>
        </w:tc>
        <w:tc>
          <w:tcPr>
            <w:tcW w:type="dxa" w:w="2160"/>
          </w:tcPr>
          <w:p>
            <w:pPr>
              <w:spacing w:line="278" w:lineRule="auto" w:after="0"/>
            </w:pPr>
            <w:r/>
            <w:r>
              <w:rPr>
                <w:rFonts w:ascii="Consolas" w:hAnsi="Consolas"/>
                <w:b w:val="0"/>
                <w:color w:val="526068"/>
                <w:sz w:val="15"/>
              </w:rPr>
              <w:t>preckon-tenant compose:164-165</w:t>
            </w:r>
          </w:p>
        </w:tc>
        <w:tc>
          <w:tcPr>
            <w:tcW w:type="dxa" w:w="5616"/>
          </w:tcPr>
          <w:p>
            <w:pPr>
              <w:spacing w:line="278" w:lineRule="auto" w:after="0"/>
            </w:pPr>
            <w:r/>
            <w:r>
              <w:rPr>
                <w:rFonts w:ascii="Calibri" w:hAnsi="Calibri"/>
                <w:b w:val="0"/>
                <w:color w:val="526068"/>
                <w:sz w:val="15"/>
              </w:rPr>
              <w:t>The seed service demands TENANT_OWNER_PASSWORD with :? and never reads it; TENANT_OWNER_EMAIL is still owner@riverside.build; the README calls this step 'seed demo tenant/owner/project'</w:t>
            </w:r>
          </w:p>
        </w:tc>
        <w:tc>
          <w:tcPr>
            <w:tcW w:type="dxa" w:w="1080"/>
            <w:shd w:val="clear" w:fill="FBF0E0"/>
          </w:tcPr>
          <w:p>
            <w:pPr>
              <w:spacing w:line="278" w:lineRule="auto" w:after="0"/>
            </w:pPr>
            <w:r/>
            <w:r>
              <w:rPr>
                <w:rFonts w:ascii="Calibri" w:hAnsi="Calibri"/>
                <w:b/>
                <w:color w:val="A56000"/>
                <w:sz w:val="15"/>
              </w:rPr>
              <w:t>Medium</w:t>
            </w:r>
          </w:p>
        </w:tc>
      </w:tr>
      <w:tr>
        <w:tc>
          <w:tcPr>
            <w:tcW w:type="dxa" w:w="432"/>
          </w:tcPr>
          <w:p>
            <w:pPr>
              <w:spacing w:line="278" w:lineRule="auto" w:after="0"/>
            </w:pPr>
            <w:r/>
            <w:r>
              <w:rPr>
                <w:rFonts w:ascii="Calibri" w:hAnsi="Calibri"/>
                <w:b/>
                <w:color w:val="172126"/>
                <w:sz w:val="15"/>
              </w:rPr>
              <w:t>D10</w:t>
            </w:r>
          </w:p>
        </w:tc>
        <w:tc>
          <w:tcPr>
            <w:tcW w:type="dxa" w:w="2160"/>
          </w:tcPr>
          <w:p>
            <w:pPr>
              <w:spacing w:line="278" w:lineRule="auto" w:after="0"/>
            </w:pPr>
            <w:r/>
            <w:r>
              <w:rPr>
                <w:rFonts w:ascii="Consolas" w:hAnsi="Consolas"/>
                <w:b w:val="0"/>
                <w:color w:val="526068"/>
                <w:sz w:val="15"/>
              </w:rPr>
              <w:t>preckon-tenant README quick start</w:t>
            </w:r>
          </w:p>
        </w:tc>
        <w:tc>
          <w:tcPr>
            <w:tcW w:type="dxa" w:w="5616"/>
          </w:tcPr>
          <w:p>
            <w:pPr>
              <w:spacing w:line="278" w:lineRule="auto" w:after="0"/>
            </w:pPr>
            <w:r/>
            <w:r>
              <w:rPr>
                <w:rFonts w:ascii="Calibri" w:hAnsi="Calibri"/>
                <w:b w:val="0"/>
                <w:color w:val="526068"/>
                <w:sz w:val="15"/>
              </w:rPr>
              <w:t>Documents a stale login and a pre-rotation phpMyAdmin password</w:t>
            </w:r>
          </w:p>
        </w:tc>
        <w:tc>
          <w:tcPr>
            <w:tcW w:type="dxa" w:w="1080"/>
            <w:shd w:val="clear" w:fill="FBF0E0"/>
          </w:tcPr>
          <w:p>
            <w:pPr>
              <w:spacing w:line="278" w:lineRule="auto" w:after="0"/>
            </w:pPr>
            <w:r/>
            <w:r>
              <w:rPr>
                <w:rFonts w:ascii="Calibri" w:hAnsi="Calibri"/>
                <w:b/>
                <w:color w:val="A56000"/>
                <w:sz w:val="15"/>
              </w:rPr>
              <w:t>Medium</w:t>
            </w:r>
          </w:p>
        </w:tc>
      </w:tr>
    </w:tbl>
    <w:p>
      <w:pPr>
        <w:spacing w:after="60"/>
      </w:pPr>
    </w:p>
    <w:tbl>
      <w:tblPr>
        <w:tblW w:type="auto" w:w="0"/>
        <w:tblLook w:firstColumn="1" w:firstRow="1" w:lastColumn="0" w:lastRow="0" w:noHBand="0" w:noVBand="1" w:val="04A0"/>
        <w:tblBorders>
          <w:top w:val="single" w:sz="2" w:space="0" w:color="FBEAE8"/>
          <w:left w:val="single" w:sz="2" w:space="0" w:color="FBEAE8"/>
          <w:bottom w:val="single" w:sz="2" w:space="0" w:color="FBEAE8"/>
          <w:right w:val="single" w:sz="2" w:space="0" w:color="FBEAE8"/>
          <w:insideH w:val="single" w:sz="2" w:space="0" w:color="FBEAE8"/>
          <w:insideV w:val="single" w:sz="2" w:space="0" w:color="FBEAE8"/>
        </w:tblBorders>
      </w:tblPr>
      <w:tblGrid>
        <w:gridCol w:w="10080"/>
      </w:tblGrid>
      <w:tr>
        <w:tc>
          <w:tcPr>
            <w:tcW w:type="dxa" w:w="10080"/>
            <w:shd w:val="clear" w:fill="FBEAE8"/>
          </w:tcPr>
          <w:p>
            <w:r/>
            <w:r>
              <w:rPr>
                <w:rFonts w:ascii="Calibri" w:hAnsi="Calibri"/>
                <w:b/>
                <w:color w:val="B42318"/>
                <w:sz w:val="14"/>
              </w:rPr>
              <w:t>FOUR FILES, ONE FIX</w:t>
            </w:r>
          </w:p>
          <w:p>
            <w:pPr>
              <w:spacing w:before="60" w:line="302" w:lineRule="auto"/>
            </w:pPr>
            <w:r>
              <w:rPr>
                <w:rFonts w:ascii="Georgia" w:hAnsi="Georgia"/>
                <w:color w:val="172126"/>
                <w:sz w:val="17"/>
              </w:rPr>
              <w:t>D1 to D4 are the same stale literal in four places, and the fix is the one already applied to backup.sh in commit bae5035: read DATABASE_PASSWORD from .env rather than defaulting to a value that was true until somebody improved security. A credential that can drift from the database's is one that will stop working on exactly the day it is rotated — the worst possible day for it to stop.</w:t>
            </w:r>
          </w:p>
        </w:tc>
      </w:tr>
    </w:tbl>
    <w:p>
      <w:pPr>
        <w:spacing w:after="60"/>
      </w:pPr>
    </w:p>
    <w:p>
      <w:pPr>
        <w:spacing w:before="260" w:after="80" w:line="307" w:lineRule="auto"/>
      </w:pPr>
      <w:r>
        <w:rPr>
          <w:rFonts w:ascii="Calibri" w:hAnsi="Calibri"/>
          <w:b/>
          <w:color w:val="172126"/>
          <w:sz w:val="22"/>
        </w:rPr>
        <w:t>10.2  Four things need one command on the box</w:t>
      </w:r>
    </w:p>
    <w:tbl>
      <w:tblPr>
        <w:tblW w:type="auto" w:w="0"/>
        <w:jc w:val="left"/>
        <w:tblLook w:firstColumn="1" w:firstRow="1" w:lastColumn="0" w:lastRow="0" w:noHBand="0" w:noVBand="1" w:val="04A0"/>
        <w:tblBorders>
          <w:top w:val="single" w:sz="4" w:space="0" w:color="D8DEE2"/>
          <w:left w:val="single" w:sz="4" w:space="0" w:color="D8DEE2"/>
          <w:bottom w:val="single" w:sz="4" w:space="0" w:color="D8DEE2"/>
          <w:right w:val="single" w:sz="4" w:space="0" w:color="D8DEE2"/>
          <w:insideH w:val="single" w:sz="4" w:space="0" w:color="D8DEE2"/>
          <w:insideV w:val="single" w:sz="4" w:space="0" w:color="D8DEE2"/>
        </w:tblBorders>
      </w:tblPr>
      <w:tblGrid>
        <w:gridCol w:w="3360"/>
        <w:gridCol w:w="3360"/>
        <w:gridCol w:w="3360"/>
      </w:tblGrid>
      <w:tr>
        <w:tc>
          <w:tcPr>
            <w:tcW w:type="dxa" w:w="2736"/>
            <w:shd w:val="clear" w:fill="F0F3F4"/>
          </w:tcPr>
          <w:p>
            <w:r/>
            <w:r>
              <w:rPr>
                <w:rFonts w:ascii="Calibri" w:hAnsi="Calibri"/>
                <w:b/>
                <w:color w:val="667279"/>
                <w:sz w:val="13"/>
              </w:rPr>
              <w:t>QUESTION</w:t>
            </w:r>
          </w:p>
        </w:tc>
        <w:tc>
          <w:tcPr>
            <w:tcW w:type="dxa" w:w="5184"/>
            <w:shd w:val="clear" w:fill="F0F3F4"/>
          </w:tcPr>
          <w:p>
            <w:r/>
            <w:r>
              <w:rPr>
                <w:rFonts w:ascii="Calibri" w:hAnsi="Calibri"/>
                <w:b/>
                <w:color w:val="667279"/>
                <w:sz w:val="13"/>
              </w:rPr>
              <w:t>COMMAND</w:t>
            </w:r>
          </w:p>
        </w:tc>
        <w:tc>
          <w:tcPr>
            <w:tcW w:type="dxa" w:w="1080"/>
            <w:shd w:val="clear" w:fill="F0F3F4"/>
          </w:tcPr>
          <w:p>
            <w:r/>
            <w:r>
              <w:rPr>
                <w:rFonts w:ascii="Calibri" w:hAnsi="Calibri"/>
                <w:b/>
                <w:color w:val="667279"/>
                <w:sz w:val="13"/>
              </w:rPr>
              <w:t>STATE</w:t>
            </w:r>
          </w:p>
        </w:tc>
      </w:tr>
      <w:tr>
        <w:tc>
          <w:tcPr>
            <w:tcW w:type="dxa" w:w="2736"/>
          </w:tcPr>
          <w:p>
            <w:pPr>
              <w:spacing w:line="278" w:lineRule="auto" w:after="0"/>
            </w:pPr>
            <w:r/>
            <w:r>
              <w:rPr>
                <w:rFonts w:ascii="Calibri" w:hAnsi="Calibri"/>
                <w:b/>
                <w:color w:val="172126"/>
                <w:sz w:val="15"/>
              </w:rPr>
              <w:t>Live DEMO_STUB_MODE</w:t>
            </w:r>
          </w:p>
        </w:tc>
        <w:tc>
          <w:tcPr>
            <w:tcW w:type="dxa" w:w="5184"/>
          </w:tcPr>
          <w:p>
            <w:pPr>
              <w:spacing w:line="278" w:lineRule="auto" w:after="0"/>
            </w:pPr>
            <w:r/>
            <w:r>
              <w:rPr>
                <w:rFonts w:ascii="Consolas" w:hAnsi="Consolas"/>
                <w:b w:val="0"/>
                <w:color w:val="526068"/>
                <w:sz w:val="15"/>
              </w:rPr>
              <w:t>docker compose logs worker  —  read the Claude: boot line</w:t>
            </w:r>
          </w:p>
        </w:tc>
        <w:tc>
          <w:tcPr>
            <w:tcW w:type="dxa" w:w="1080"/>
            <w:shd w:val="clear" w:fill="FBF0E0"/>
          </w:tcPr>
          <w:p>
            <w:pPr>
              <w:spacing w:line="278" w:lineRule="auto" w:after="0"/>
            </w:pPr>
            <w:r/>
            <w:r>
              <w:rPr>
                <w:rFonts w:ascii="Calibri" w:hAnsi="Calibri"/>
                <w:b/>
                <w:color w:val="A56000"/>
                <w:sz w:val="15"/>
              </w:rPr>
              <w:t>Open</w:t>
            </w:r>
          </w:p>
        </w:tc>
      </w:tr>
      <w:tr>
        <w:tc>
          <w:tcPr>
            <w:tcW w:type="dxa" w:w="2736"/>
          </w:tcPr>
          <w:p>
            <w:pPr>
              <w:spacing w:line="278" w:lineRule="auto" w:after="0"/>
            </w:pPr>
            <w:r/>
            <w:r>
              <w:rPr>
                <w:rFonts w:ascii="Calibri" w:hAnsi="Calibri"/>
                <w:b/>
                <w:color w:val="172126"/>
                <w:sz w:val="15"/>
              </w:rPr>
              <w:t>Backup schedule</w:t>
            </w:r>
          </w:p>
        </w:tc>
        <w:tc>
          <w:tcPr>
            <w:tcW w:type="dxa" w:w="5184"/>
          </w:tcPr>
          <w:p>
            <w:pPr>
              <w:spacing w:line="278" w:lineRule="auto" w:after="0"/>
            </w:pPr>
            <w:r/>
            <w:r>
              <w:rPr>
                <w:rFonts w:ascii="Consolas" w:hAnsi="Consolas"/>
                <w:b w:val="0"/>
                <w:color w:val="526068"/>
                <w:sz w:val="15"/>
              </w:rPr>
              <w:t>crontab -l</w:t>
            </w:r>
          </w:p>
        </w:tc>
        <w:tc>
          <w:tcPr>
            <w:tcW w:type="dxa" w:w="1080"/>
            <w:shd w:val="clear" w:fill="FBF0E0"/>
          </w:tcPr>
          <w:p>
            <w:pPr>
              <w:spacing w:line="278" w:lineRule="auto" w:after="0"/>
            </w:pPr>
            <w:r/>
            <w:r>
              <w:rPr>
                <w:rFonts w:ascii="Calibri" w:hAnsi="Calibri"/>
                <w:b/>
                <w:color w:val="A56000"/>
                <w:sz w:val="15"/>
              </w:rPr>
              <w:t>Open</w:t>
            </w:r>
          </w:p>
        </w:tc>
      </w:tr>
      <w:tr>
        <w:tc>
          <w:tcPr>
            <w:tcW w:type="dxa" w:w="2736"/>
          </w:tcPr>
          <w:p>
            <w:pPr>
              <w:spacing w:line="278" w:lineRule="auto" w:after="0"/>
            </w:pPr>
            <w:r/>
            <w:r>
              <w:rPr>
                <w:rFonts w:ascii="Calibri" w:hAnsi="Calibri"/>
                <w:b/>
                <w:color w:val="172126"/>
                <w:sz w:val="15"/>
              </w:rPr>
              <w:t>TLS renewal and expiry</w:t>
            </w:r>
          </w:p>
        </w:tc>
        <w:tc>
          <w:tcPr>
            <w:tcW w:type="dxa" w:w="5184"/>
          </w:tcPr>
          <w:p>
            <w:pPr>
              <w:spacing w:line="278" w:lineRule="auto" w:after="0"/>
            </w:pPr>
            <w:r/>
            <w:r>
              <w:rPr>
                <w:rFonts w:ascii="Consolas" w:hAnsi="Consolas"/>
                <w:b w:val="0"/>
                <w:color w:val="526068"/>
                <w:sz w:val="15"/>
              </w:rPr>
              <w:t>certbot certificates  ·  systemctl list-timers</w:t>
            </w:r>
          </w:p>
        </w:tc>
        <w:tc>
          <w:tcPr>
            <w:tcW w:type="dxa" w:w="1080"/>
            <w:shd w:val="clear" w:fill="FBF0E0"/>
          </w:tcPr>
          <w:p>
            <w:pPr>
              <w:spacing w:line="278" w:lineRule="auto" w:after="0"/>
            </w:pPr>
            <w:r/>
            <w:r>
              <w:rPr>
                <w:rFonts w:ascii="Calibri" w:hAnsi="Calibri"/>
                <w:b/>
                <w:color w:val="A56000"/>
                <w:sz w:val="15"/>
              </w:rPr>
              <w:t>Open</w:t>
            </w:r>
          </w:p>
        </w:tc>
      </w:tr>
      <w:tr>
        <w:tc>
          <w:tcPr>
            <w:tcW w:type="dxa" w:w="2736"/>
          </w:tcPr>
          <w:p>
            <w:pPr>
              <w:spacing w:line="278" w:lineRule="auto" w:after="0"/>
            </w:pPr>
            <w:r/>
            <w:r>
              <w:rPr>
                <w:rFonts w:ascii="Calibri" w:hAnsi="Calibri"/>
                <w:b/>
                <w:color w:val="172126"/>
                <w:sz w:val="15"/>
              </w:rPr>
              <w:t>Has the hardening runbook been run?</w:t>
            </w:r>
          </w:p>
        </w:tc>
        <w:tc>
          <w:tcPr>
            <w:tcW w:type="dxa" w:w="5184"/>
          </w:tcPr>
          <w:p>
            <w:pPr>
              <w:spacing w:line="278" w:lineRule="auto" w:after="0"/>
            </w:pPr>
            <w:r/>
            <w:r>
              <w:rPr>
                <w:rFonts w:ascii="Consolas" w:hAnsi="Consolas"/>
                <w:b w:val="0"/>
                <w:color w:val="526068"/>
                <w:sz w:val="15"/>
              </w:rPr>
              <w:t>ufw status verbose  ·  ss -tlnp</w:t>
            </w:r>
          </w:p>
        </w:tc>
        <w:tc>
          <w:tcPr>
            <w:tcW w:type="dxa" w:w="1080"/>
            <w:shd w:val="clear" w:fill="FBF0E0"/>
          </w:tcPr>
          <w:p>
            <w:pPr>
              <w:spacing w:line="278" w:lineRule="auto" w:after="0"/>
            </w:pPr>
            <w:r/>
            <w:r>
              <w:rPr>
                <w:rFonts w:ascii="Calibri" w:hAnsi="Calibri"/>
                <w:b/>
                <w:color w:val="A56000"/>
                <w:sz w:val="15"/>
              </w:rPr>
              <w:t>Open</w:t>
            </w:r>
          </w:p>
        </w:tc>
      </w:tr>
    </w:tbl>
    <w:p>
      <w:pPr>
        <w:spacing w:after="60"/>
      </w:pPr>
    </w:p>
    <w:p>
      <w:pPr>
        <w:spacing w:before="0" w:after="140" w:line="307" w:lineRule="auto"/>
      </w:pPr>
      <w:r>
        <w:rPr>
          <w:rFonts w:ascii="Georgia" w:hAnsi="Georgia"/>
          <w:b w:val="0"/>
          <w:color w:val="526068"/>
          <w:sz w:val="19"/>
        </w:rPr>
        <w:t>None of these are unknowable. They are unknown because nobody with server access has run them and written the answer down — which is the same reason access is the blocking item, and it is blocking for everyone rather than for any one person.</w:t>
      </w:r>
    </w:p>
    <w:p>
      <w:pPr>
        <w:spacing w:before="260" w:after="80" w:line="307" w:lineRule="auto"/>
      </w:pPr>
      <w:r>
        <w:rPr>
          <w:rFonts w:ascii="Calibri" w:hAnsi="Calibri"/>
          <w:b/>
          <w:color w:val="172126"/>
          <w:sz w:val="22"/>
        </w:rPr>
        <w:t>10.3  Three decisions, which are not technical questions</w:t>
      </w:r>
    </w:p>
    <w:tbl>
      <w:tblPr>
        <w:tblW w:type="auto" w:w="0"/>
        <w:jc w:val="left"/>
        <w:tblLook w:firstColumn="1" w:firstRow="1" w:lastColumn="0" w:lastRow="0" w:noHBand="0" w:noVBand="1" w:val="04A0"/>
        <w:tblBorders>
          <w:top w:val="single" w:sz="4" w:space="0" w:color="D8DEE2"/>
          <w:left w:val="single" w:sz="4" w:space="0" w:color="D8DEE2"/>
          <w:bottom w:val="single" w:sz="4" w:space="0" w:color="D8DEE2"/>
          <w:right w:val="single" w:sz="4" w:space="0" w:color="D8DEE2"/>
          <w:insideH w:val="single" w:sz="4" w:space="0" w:color="D8DEE2"/>
          <w:insideV w:val="single" w:sz="4" w:space="0" w:color="D8DEE2"/>
        </w:tblBorders>
      </w:tblPr>
      <w:tblGrid>
        <w:gridCol w:w="5040"/>
        <w:gridCol w:w="5040"/>
      </w:tblGrid>
      <w:tr>
        <w:tc>
          <w:tcPr>
            <w:tcW w:type="dxa" w:w="3600"/>
            <w:shd w:val="clear" w:fill="F0F3F4"/>
          </w:tcPr>
          <w:p>
            <w:r/>
            <w:r>
              <w:rPr>
                <w:rFonts w:ascii="Calibri" w:hAnsi="Calibri"/>
                <w:b/>
                <w:color w:val="667279"/>
                <w:sz w:val="13"/>
              </w:rPr>
              <w:t>DECISION</w:t>
            </w:r>
          </w:p>
        </w:tc>
        <w:tc>
          <w:tcPr>
            <w:tcW w:type="dxa" w:w="5832"/>
            <w:shd w:val="clear" w:fill="F0F3F4"/>
          </w:tcPr>
          <w:p>
            <w:r/>
            <w:r>
              <w:rPr>
                <w:rFonts w:ascii="Calibri" w:hAnsi="Calibri"/>
                <w:b/>
                <w:color w:val="667279"/>
                <w:sz w:val="13"/>
              </w:rPr>
              <w:t>WHY IT NEEDS A PERSON, NOT AN INVESTIGATION</w:t>
            </w:r>
          </w:p>
        </w:tc>
      </w:tr>
      <w:tr>
        <w:tc>
          <w:tcPr>
            <w:tcW w:type="dxa" w:w="3600"/>
          </w:tcPr>
          <w:p>
            <w:pPr>
              <w:spacing w:line="278" w:lineRule="auto" w:after="0"/>
            </w:pPr>
            <w:r/>
            <w:r>
              <w:rPr>
                <w:rFonts w:ascii="Calibri" w:hAnsi="Calibri"/>
                <w:b/>
                <w:color w:val="172126"/>
                <w:sz w:val="15"/>
              </w:rPr>
              <w:t>How credentials reach a new starter</w:t>
            </w:r>
          </w:p>
        </w:tc>
        <w:tc>
          <w:tcPr>
            <w:tcW w:type="dxa" w:w="5832"/>
          </w:tcPr>
          <w:p>
            <w:pPr>
              <w:spacing w:line="278" w:lineRule="auto" w:after="0"/>
            </w:pPr>
            <w:r/>
            <w:r>
              <w:rPr>
                <w:rFonts w:ascii="Calibri" w:hAnsi="Calibri"/>
                <w:b w:val="0"/>
                <w:color w:val="526068"/>
                <w:sz w:val="15"/>
              </w:rPr>
              <w:t>Vault or out of band. Out of band is how the last set ended up in a public repository</w:t>
            </w:r>
          </w:p>
        </w:tc>
      </w:tr>
      <w:tr>
        <w:tc>
          <w:tcPr>
            <w:tcW w:type="dxa" w:w="3600"/>
          </w:tcPr>
          <w:p>
            <w:pPr>
              <w:spacing w:line="278" w:lineRule="auto" w:after="0"/>
            </w:pPr>
            <w:r/>
            <w:r>
              <w:rPr>
                <w:rFonts w:ascii="Calibri" w:hAnsi="Calibri"/>
                <w:b/>
                <w:color w:val="172126"/>
                <w:sz w:val="15"/>
              </w:rPr>
              <w:t>Rotating the four published passwords</w:t>
            </w:r>
          </w:p>
        </w:tc>
        <w:tc>
          <w:tcPr>
            <w:tcW w:type="dxa" w:w="5832"/>
          </w:tcPr>
          <w:p>
            <w:pPr>
              <w:spacing w:line="278" w:lineRule="auto" w:after="0"/>
            </w:pPr>
            <w:r/>
            <w:r>
              <w:rPr>
                <w:rFonts w:ascii="Calibri" w:hAnsi="Calibri"/>
                <w:b w:val="0"/>
                <w:color w:val="526068"/>
                <w:sz w:val="15"/>
              </w:rPr>
              <w:t>It locks three colleagues out until they are told the new ones</w:t>
            </w:r>
          </w:p>
        </w:tc>
      </w:tr>
      <w:tr>
        <w:tc>
          <w:tcPr>
            <w:tcW w:type="dxa" w:w="3600"/>
          </w:tcPr>
          <w:p>
            <w:pPr>
              <w:spacing w:line="278" w:lineRule="auto" w:after="0"/>
            </w:pPr>
            <w:r/>
            <w:r>
              <w:rPr>
                <w:rFonts w:ascii="Calibri" w:hAnsi="Calibri"/>
                <w:b/>
                <w:color w:val="172126"/>
                <w:sz w:val="15"/>
              </w:rPr>
              <w:t>Whether AutoCAD-BOQ-Tender is in scope, and which copy is authoritative</w:t>
            </w:r>
          </w:p>
        </w:tc>
        <w:tc>
          <w:tcPr>
            <w:tcW w:type="dxa" w:w="5832"/>
          </w:tcPr>
          <w:p>
            <w:pPr>
              <w:spacing w:line="278" w:lineRule="auto" w:after="0"/>
            </w:pPr>
            <w:r/>
            <w:r>
              <w:rPr>
                <w:rFonts w:ascii="Calibri" w:hAnsi="Calibri"/>
                <w:b w:val="0"/>
                <w:color w:val="526068"/>
                <w:sz w:val="15"/>
              </w:rPr>
              <w:t>Two copies exist and neither is declared canonical</w:t>
            </w:r>
          </w:p>
        </w:tc>
      </w:tr>
    </w:tbl>
    <w:p>
      <w:pPr>
        <w:spacing w:after="60"/>
      </w:pPr>
    </w:p>
    <w:p>
      <w:pPr>
        <w:spacing w:before="260" w:after="80" w:line="307" w:lineRule="auto"/>
      </w:pPr>
      <w:r>
        <w:rPr>
          <w:rFonts w:ascii="Calibri" w:hAnsi="Calibri"/>
          <w:b/>
          <w:color w:val="172126"/>
          <w:sz w:val="22"/>
        </w:rPr>
        <w:t>10.4  Not in the repository at all</w:t>
      </w:r>
    </w:p>
    <w:p>
      <w:pPr>
        <w:pStyle w:val="ListBullet"/>
        <w:spacing w:after="60" w:line="302" w:lineRule="auto"/>
        <w:ind w:left="360"/>
      </w:pPr>
      <w:r>
        <w:rPr>
          <w:rFonts w:ascii="Georgia" w:hAnsi="Georgia"/>
          <w:color w:val="526068"/>
          <w:sz w:val="17"/>
        </w:rPr>
        <w:t>Who holds the registrar account and the DNS zone for preckon.com. Not derivable from the code, and only ever missing at the moment a certificate needs a DNS challenge.</w:t>
      </w:r>
    </w:p>
    <w:p>
      <w:pPr>
        <w:pStyle w:val="ListBullet"/>
        <w:spacing w:after="60" w:line="302" w:lineRule="auto"/>
        <w:ind w:left="360"/>
      </w:pPr>
      <w:r>
        <w:rPr>
          <w:rFonts w:ascii="Georgia" w:hAnsi="Georgia"/>
          <w:color w:val="526068"/>
          <w:sz w:val="17"/>
        </w:rPr>
        <w:t>The provider firewall console — the rule set that is currently the only thing filtering nine services.</w:t>
      </w:r>
    </w:p>
    <w:p>
      <w:pPr>
        <w:pStyle w:val="ListBullet"/>
        <w:spacing w:after="60" w:line="302" w:lineRule="auto"/>
        <w:ind w:left="360"/>
      </w:pPr>
      <w:r>
        <w:rPr>
          <w:rFonts w:ascii="Georgia" w:hAnsi="Georgia"/>
          <w:color w:val="526068"/>
          <w:sz w:val="17"/>
        </w:rPr>
        <w:t>The backup crontab.</w:t>
      </w:r>
    </w:p>
    <w:p>
      <w:pPr>
        <w:pStyle w:val="ListBullet"/>
        <w:spacing w:after="60" w:line="302" w:lineRule="auto"/>
        <w:ind w:left="360"/>
      </w:pPr>
      <w:r>
        <w:rPr>
          <w:rFonts w:ascii="Georgia" w:hAnsi="Georgia"/>
          <w:color w:val="526068"/>
          <w:sz w:val="17"/>
        </w:rPr>
        <w:t>Any external monitoring or alerting. There is none — §8.5.</w:t>
      </w:r>
    </w:p>
    <w:p>
      <w:pPr>
        <w:spacing w:after="40"/>
      </w:pPr>
    </w:p>
    <w:p>
      <w:r>
        <w:br w:type="page"/>
      </w:r>
    </w:p>
    <w:p>
      <w:pPr>
        <w:spacing w:before="0" w:after="60" w:line="307" w:lineRule="auto"/>
      </w:pPr>
      <w:r>
        <w:rPr>
          <w:rFonts w:ascii="Consolas" w:hAnsi="Consolas"/>
          <w:b/>
          <w:color w:val="087E75"/>
          <w:sz w:val="15"/>
        </w:rPr>
        <w:t>PART 11</w:t>
      </w:r>
    </w:p>
    <w:p>
      <w:pPr>
        <w:spacing w:before="0" w:after="160" w:line="252" w:lineRule="auto"/>
      </w:pPr>
      <w:r>
        <w:rPr>
          <w:rFonts w:ascii="Georgia" w:hAnsi="Georgia"/>
          <w:b/>
          <w:color w:val="172126"/>
          <w:sz w:val="38"/>
        </w:rPr>
        <w:t>Reference</w:t>
      </w:r>
    </w:p>
    <w:p>
      <w:pPr>
        <w:spacing w:before="0" w:after="200" w:line="307" w:lineRule="auto"/>
      </w:pPr>
      <w:r>
        <w:rPr>
          <w:rFonts w:ascii="Georgia" w:hAnsi="Georgia"/>
          <w:b w:val="0"/>
          <w:color w:val="526068"/>
          <w:sz w:val="21"/>
        </w:rPr>
        <w:t>Ports, accounts, environment variables and the API surface, in one place.</w:t>
      </w:r>
    </w:p>
    <w:p>
      <w:pPr>
        <w:spacing w:before="260" w:after="80" w:line="307" w:lineRule="auto"/>
      </w:pPr>
      <w:r>
        <w:rPr>
          <w:rFonts w:ascii="Calibri" w:hAnsi="Calibri"/>
          <w:b/>
          <w:color w:val="172126"/>
          <w:sz w:val="22"/>
        </w:rPr>
        <w:t>11.1  Ports</w:t>
      </w:r>
    </w:p>
    <w:tbl>
      <w:tblPr>
        <w:tblW w:type="auto" w:w="0"/>
        <w:jc w:val="left"/>
        <w:tblLook w:firstColumn="1" w:firstRow="1" w:lastColumn="0" w:lastRow="0" w:noHBand="0" w:noVBand="1" w:val="04A0"/>
        <w:tblBorders>
          <w:top w:val="single" w:sz="4" w:space="0" w:color="D8DEE2"/>
          <w:left w:val="single" w:sz="4" w:space="0" w:color="D8DEE2"/>
          <w:bottom w:val="single" w:sz="4" w:space="0" w:color="D8DEE2"/>
          <w:right w:val="single" w:sz="4" w:space="0" w:color="D8DEE2"/>
          <w:insideH w:val="single" w:sz="4" w:space="0" w:color="D8DEE2"/>
          <w:insideV w:val="single" w:sz="4" w:space="0" w:color="D8DEE2"/>
        </w:tblBorders>
      </w:tblPr>
      <w:tblGrid>
        <w:gridCol w:w="2520"/>
        <w:gridCol w:w="2520"/>
        <w:gridCol w:w="2520"/>
        <w:gridCol w:w="2520"/>
      </w:tblGrid>
      <w:tr>
        <w:tc>
          <w:tcPr>
            <w:tcW w:type="dxa" w:w="1296"/>
            <w:shd w:val="clear" w:fill="F0F3F4"/>
          </w:tcPr>
          <w:p>
            <w:r/>
            <w:r>
              <w:rPr>
                <w:rFonts w:ascii="Calibri" w:hAnsi="Calibri"/>
                <w:b/>
                <w:color w:val="667279"/>
                <w:sz w:val="13"/>
              </w:rPr>
              <w:t>PORT</w:t>
            </w:r>
          </w:p>
        </w:tc>
        <w:tc>
          <w:tcPr>
            <w:tcW w:type="dxa" w:w="1656"/>
            <w:shd w:val="clear" w:fill="F0F3F4"/>
          </w:tcPr>
          <w:p>
            <w:r/>
            <w:r>
              <w:rPr>
                <w:rFonts w:ascii="Calibri" w:hAnsi="Calibri"/>
                <w:b/>
                <w:color w:val="667279"/>
                <w:sz w:val="13"/>
              </w:rPr>
              <w:t>BOUND TO</w:t>
            </w:r>
          </w:p>
        </w:tc>
        <w:tc>
          <w:tcPr>
            <w:tcW w:type="dxa" w:w="3168"/>
            <w:shd w:val="clear" w:fill="F0F3F4"/>
          </w:tcPr>
          <w:p>
            <w:r/>
            <w:r>
              <w:rPr>
                <w:rFonts w:ascii="Calibri" w:hAnsi="Calibri"/>
                <w:b/>
                <w:color w:val="667279"/>
                <w:sz w:val="13"/>
              </w:rPr>
              <w:t>SERVICE</w:t>
            </w:r>
          </w:p>
        </w:tc>
        <w:tc>
          <w:tcPr>
            <w:tcW w:type="dxa" w:w="3312"/>
            <w:shd w:val="clear" w:fill="F0F3F4"/>
          </w:tcPr>
          <w:p>
            <w:r/>
            <w:r>
              <w:rPr>
                <w:rFonts w:ascii="Calibri" w:hAnsi="Calibri"/>
                <w:b/>
                <w:color w:val="667279"/>
                <w:sz w:val="13"/>
              </w:rPr>
              <w:t>REACH IT VIA</w:t>
            </w:r>
          </w:p>
        </w:tc>
      </w:tr>
      <w:tr>
        <w:tc>
          <w:tcPr>
            <w:tcW w:type="dxa" w:w="1296"/>
          </w:tcPr>
          <w:p>
            <w:pPr>
              <w:spacing w:line="278" w:lineRule="auto" w:after="0"/>
            </w:pPr>
            <w:r/>
            <w:r>
              <w:rPr>
                <w:rFonts w:ascii="Consolas" w:hAnsi="Consolas"/>
                <w:b/>
                <w:color w:val="172126"/>
                <w:sz w:val="15"/>
              </w:rPr>
              <w:t>3000</w:t>
            </w:r>
          </w:p>
        </w:tc>
        <w:tc>
          <w:tcPr>
            <w:tcW w:type="dxa" w:w="1656"/>
          </w:tcPr>
          <w:p>
            <w:pPr>
              <w:spacing w:line="278" w:lineRule="auto" w:after="0"/>
            </w:pPr>
            <w:r/>
            <w:r>
              <w:rPr>
                <w:rFonts w:ascii="Consolas" w:hAnsi="Consolas"/>
                <w:b w:val="0"/>
                <w:color w:val="526068"/>
                <w:sz w:val="15"/>
              </w:rPr>
              <w:t>127.0.0.1</w:t>
            </w:r>
          </w:p>
        </w:tc>
        <w:tc>
          <w:tcPr>
            <w:tcW w:type="dxa" w:w="3168"/>
          </w:tcPr>
          <w:p>
            <w:pPr>
              <w:spacing w:line="278" w:lineRule="auto" w:after="0"/>
            </w:pPr>
            <w:r/>
            <w:r>
              <w:rPr>
                <w:rFonts w:ascii="Calibri" w:hAnsi="Calibri"/>
                <w:b w:val="0"/>
                <w:color w:val="526068"/>
                <w:sz w:val="15"/>
              </w:rPr>
              <w:t>Host console</w:t>
            </w:r>
          </w:p>
        </w:tc>
        <w:tc>
          <w:tcPr>
            <w:tcW w:type="dxa" w:w="3312"/>
          </w:tcPr>
          <w:p>
            <w:pPr>
              <w:spacing w:line="278" w:lineRule="auto" w:after="0"/>
            </w:pPr>
            <w:r/>
            <w:r>
              <w:rPr>
                <w:rFonts w:ascii="Calibri" w:hAnsi="Calibri"/>
                <w:b w:val="0"/>
                <w:color w:val="526068"/>
                <w:sz w:val="15"/>
              </w:rPr>
              <w:t>https://host.preckon.com</w:t>
            </w:r>
          </w:p>
        </w:tc>
      </w:tr>
      <w:tr>
        <w:tc>
          <w:tcPr>
            <w:tcW w:type="dxa" w:w="1296"/>
          </w:tcPr>
          <w:p>
            <w:pPr>
              <w:spacing w:line="278" w:lineRule="auto" w:after="0"/>
            </w:pPr>
            <w:r/>
            <w:r>
              <w:rPr>
                <w:rFonts w:ascii="Consolas" w:hAnsi="Consolas"/>
                <w:b/>
                <w:color w:val="172126"/>
                <w:sz w:val="15"/>
              </w:rPr>
              <w:t>3100</w:t>
            </w:r>
          </w:p>
        </w:tc>
        <w:tc>
          <w:tcPr>
            <w:tcW w:type="dxa" w:w="1656"/>
          </w:tcPr>
          <w:p>
            <w:pPr>
              <w:spacing w:line="278" w:lineRule="auto" w:after="0"/>
            </w:pPr>
            <w:r/>
            <w:r>
              <w:rPr>
                <w:rFonts w:ascii="Consolas" w:hAnsi="Consolas"/>
                <w:b w:val="0"/>
                <w:color w:val="526068"/>
                <w:sz w:val="15"/>
              </w:rPr>
              <w:t>127.0.0.1</w:t>
            </w:r>
          </w:p>
        </w:tc>
        <w:tc>
          <w:tcPr>
            <w:tcW w:type="dxa" w:w="3168"/>
          </w:tcPr>
          <w:p>
            <w:pPr>
              <w:spacing w:line="278" w:lineRule="auto" w:after="0"/>
            </w:pPr>
            <w:r/>
            <w:r>
              <w:rPr>
                <w:rFonts w:ascii="Calibri" w:hAnsi="Calibri"/>
                <w:b w:val="0"/>
                <w:color w:val="526068"/>
                <w:sz w:val="15"/>
              </w:rPr>
              <w:t>Tenant workspace</w:t>
            </w:r>
          </w:p>
        </w:tc>
        <w:tc>
          <w:tcPr>
            <w:tcW w:type="dxa" w:w="3312"/>
          </w:tcPr>
          <w:p>
            <w:pPr>
              <w:spacing w:line="278" w:lineRule="auto" w:after="0"/>
            </w:pPr>
            <w:r/>
            <w:r>
              <w:rPr>
                <w:rFonts w:ascii="Calibri" w:hAnsi="Calibri"/>
                <w:b w:val="0"/>
                <w:color w:val="526068"/>
                <w:sz w:val="15"/>
              </w:rPr>
              <w:t>https://app.preckon.com</w:t>
            </w:r>
          </w:p>
        </w:tc>
      </w:tr>
      <w:tr>
        <w:tc>
          <w:tcPr>
            <w:tcW w:type="dxa" w:w="1296"/>
          </w:tcPr>
          <w:p>
            <w:pPr>
              <w:spacing w:line="278" w:lineRule="auto" w:after="0"/>
            </w:pPr>
            <w:r/>
            <w:r>
              <w:rPr>
                <w:rFonts w:ascii="Consolas" w:hAnsi="Consolas"/>
                <w:b/>
                <w:color w:val="172126"/>
                <w:sz w:val="15"/>
              </w:rPr>
              <w:t>3307</w:t>
            </w:r>
          </w:p>
        </w:tc>
        <w:tc>
          <w:tcPr>
            <w:tcW w:type="dxa" w:w="1656"/>
          </w:tcPr>
          <w:p>
            <w:pPr>
              <w:spacing w:line="278" w:lineRule="auto" w:after="0"/>
            </w:pPr>
            <w:r/>
            <w:r>
              <w:rPr>
                <w:rFonts w:ascii="Consolas" w:hAnsi="Consolas"/>
                <w:b w:val="0"/>
                <w:color w:val="526068"/>
                <w:sz w:val="15"/>
              </w:rPr>
              <w:t>127.0.0.1</w:t>
            </w:r>
          </w:p>
        </w:tc>
        <w:tc>
          <w:tcPr>
            <w:tcW w:type="dxa" w:w="3168"/>
          </w:tcPr>
          <w:p>
            <w:pPr>
              <w:spacing w:line="278" w:lineRule="auto" w:after="0"/>
            </w:pPr>
            <w:r/>
            <w:r>
              <w:rPr>
                <w:rFonts w:ascii="Calibri" w:hAnsi="Calibri"/>
                <w:b w:val="0"/>
                <w:color w:val="526068"/>
                <w:sz w:val="15"/>
              </w:rPr>
              <w:t>Host MySQL</w:t>
            </w:r>
          </w:p>
        </w:tc>
        <w:tc>
          <w:tcPr>
            <w:tcW w:type="dxa" w:w="3312"/>
          </w:tcPr>
          <w:p>
            <w:pPr>
              <w:spacing w:line="278" w:lineRule="auto" w:after="0"/>
            </w:pPr>
            <w:r/>
            <w:r>
              <w:rPr>
                <w:rFonts w:ascii="Calibri" w:hAnsi="Calibri"/>
                <w:b w:val="0"/>
                <w:color w:val="526068"/>
                <w:sz w:val="15"/>
              </w:rPr>
              <w:t>SSH tunnel</w:t>
            </w:r>
          </w:p>
        </w:tc>
      </w:tr>
      <w:tr>
        <w:tc>
          <w:tcPr>
            <w:tcW w:type="dxa" w:w="1296"/>
          </w:tcPr>
          <w:p>
            <w:pPr>
              <w:spacing w:line="278" w:lineRule="auto" w:after="0"/>
            </w:pPr>
            <w:r/>
            <w:r>
              <w:rPr>
                <w:rFonts w:ascii="Consolas" w:hAnsi="Consolas"/>
                <w:b/>
                <w:color w:val="172126"/>
                <w:sz w:val="15"/>
              </w:rPr>
              <w:t>3308</w:t>
            </w:r>
          </w:p>
        </w:tc>
        <w:tc>
          <w:tcPr>
            <w:tcW w:type="dxa" w:w="1656"/>
          </w:tcPr>
          <w:p>
            <w:pPr>
              <w:spacing w:line="278" w:lineRule="auto" w:after="0"/>
            </w:pPr>
            <w:r/>
            <w:r>
              <w:rPr>
                <w:rFonts w:ascii="Consolas" w:hAnsi="Consolas"/>
                <w:b w:val="0"/>
                <w:color w:val="526068"/>
                <w:sz w:val="15"/>
              </w:rPr>
              <w:t>127.0.0.1</w:t>
            </w:r>
          </w:p>
        </w:tc>
        <w:tc>
          <w:tcPr>
            <w:tcW w:type="dxa" w:w="3168"/>
          </w:tcPr>
          <w:p>
            <w:pPr>
              <w:spacing w:line="278" w:lineRule="auto" w:after="0"/>
            </w:pPr>
            <w:r/>
            <w:r>
              <w:rPr>
                <w:rFonts w:ascii="Calibri" w:hAnsi="Calibri"/>
                <w:b w:val="0"/>
                <w:color w:val="526068"/>
                <w:sz w:val="15"/>
              </w:rPr>
              <w:t>Tenant MySQL</w:t>
            </w:r>
          </w:p>
        </w:tc>
        <w:tc>
          <w:tcPr>
            <w:tcW w:type="dxa" w:w="3312"/>
          </w:tcPr>
          <w:p>
            <w:pPr>
              <w:spacing w:line="278" w:lineRule="auto" w:after="0"/>
            </w:pPr>
            <w:r/>
            <w:r>
              <w:rPr>
                <w:rFonts w:ascii="Calibri" w:hAnsi="Calibri"/>
                <w:b w:val="0"/>
                <w:color w:val="526068"/>
                <w:sz w:val="15"/>
              </w:rPr>
              <w:t>SSH tunnel</w:t>
            </w:r>
          </w:p>
        </w:tc>
      </w:tr>
      <w:tr>
        <w:tc>
          <w:tcPr>
            <w:tcW w:type="dxa" w:w="1296"/>
          </w:tcPr>
          <w:p>
            <w:pPr>
              <w:spacing w:line="278" w:lineRule="auto" w:after="0"/>
            </w:pPr>
            <w:r/>
            <w:r>
              <w:rPr>
                <w:rFonts w:ascii="Consolas" w:hAnsi="Consolas"/>
                <w:b/>
                <w:color w:val="172126"/>
                <w:sz w:val="15"/>
              </w:rPr>
              <w:t>8081</w:t>
            </w:r>
          </w:p>
        </w:tc>
        <w:tc>
          <w:tcPr>
            <w:tcW w:type="dxa" w:w="1656"/>
          </w:tcPr>
          <w:p>
            <w:pPr>
              <w:spacing w:line="278" w:lineRule="auto" w:after="0"/>
            </w:pPr>
            <w:r/>
            <w:r>
              <w:rPr>
                <w:rFonts w:ascii="Consolas" w:hAnsi="Consolas"/>
                <w:b w:val="0"/>
                <w:color w:val="526068"/>
                <w:sz w:val="15"/>
              </w:rPr>
              <w:t>127.0.0.1</w:t>
            </w:r>
          </w:p>
        </w:tc>
        <w:tc>
          <w:tcPr>
            <w:tcW w:type="dxa" w:w="3168"/>
          </w:tcPr>
          <w:p>
            <w:pPr>
              <w:spacing w:line="278" w:lineRule="auto" w:after="0"/>
            </w:pPr>
            <w:r/>
            <w:r>
              <w:rPr>
                <w:rFonts w:ascii="Calibri" w:hAnsi="Calibri"/>
                <w:b w:val="0"/>
                <w:color w:val="526068"/>
                <w:sz w:val="15"/>
              </w:rPr>
              <w:t>phpMyAdmin</w:t>
            </w:r>
          </w:p>
        </w:tc>
        <w:tc>
          <w:tcPr>
            <w:tcW w:type="dxa" w:w="3312"/>
          </w:tcPr>
          <w:p>
            <w:pPr>
              <w:spacing w:line="278" w:lineRule="auto" w:after="0"/>
            </w:pPr>
            <w:r/>
            <w:r>
              <w:rPr>
                <w:rFonts w:ascii="Calibri" w:hAnsi="Calibri"/>
                <w:b w:val="0"/>
                <w:color w:val="526068"/>
                <w:sz w:val="15"/>
              </w:rPr>
              <w:t>SSH tunnel</w:t>
            </w:r>
          </w:p>
        </w:tc>
      </w:tr>
      <w:tr>
        <w:tc>
          <w:tcPr>
            <w:tcW w:type="dxa" w:w="1296"/>
          </w:tcPr>
          <w:p>
            <w:pPr>
              <w:spacing w:line="278" w:lineRule="auto" w:after="0"/>
            </w:pPr>
            <w:r/>
            <w:r>
              <w:rPr>
                <w:rFonts w:ascii="Consolas" w:hAnsi="Consolas"/>
                <w:b/>
                <w:color w:val="172126"/>
                <w:sz w:val="15"/>
              </w:rPr>
              <w:t>4000</w:t>
            </w:r>
          </w:p>
        </w:tc>
        <w:tc>
          <w:tcPr>
            <w:tcW w:type="dxa" w:w="1656"/>
          </w:tcPr>
          <w:p>
            <w:pPr>
              <w:spacing w:line="278" w:lineRule="auto" w:after="0"/>
            </w:pPr>
            <w:r/>
            <w:r>
              <w:rPr>
                <w:rFonts w:ascii="Consolas" w:hAnsi="Consolas"/>
                <w:b w:val="0"/>
                <w:color w:val="526068"/>
                <w:sz w:val="15"/>
              </w:rPr>
              <w:t>127.0.0.1</w:t>
            </w:r>
          </w:p>
        </w:tc>
        <w:tc>
          <w:tcPr>
            <w:tcW w:type="dxa" w:w="3168"/>
          </w:tcPr>
          <w:p>
            <w:pPr>
              <w:spacing w:line="278" w:lineRule="auto" w:after="0"/>
            </w:pPr>
            <w:r/>
            <w:r>
              <w:rPr>
                <w:rFonts w:ascii="Calibri" w:hAnsi="Calibri"/>
                <w:b w:val="0"/>
                <w:color w:val="526068"/>
                <w:sz w:val="15"/>
              </w:rPr>
              <w:t>Worker + /claude proxy</w:t>
            </w:r>
          </w:p>
        </w:tc>
        <w:tc>
          <w:tcPr>
            <w:tcW w:type="dxa" w:w="3312"/>
          </w:tcPr>
          <w:p>
            <w:pPr>
              <w:spacing w:line="278" w:lineRule="auto" w:after="0"/>
            </w:pPr>
            <w:r/>
            <w:r>
              <w:rPr>
                <w:rFonts w:ascii="Calibri" w:hAnsi="Calibri"/>
                <w:b w:val="0"/>
                <w:color w:val="526068"/>
                <w:sz w:val="15"/>
              </w:rPr>
              <w:t>SSH tunnel</w:t>
            </w:r>
          </w:p>
        </w:tc>
      </w:tr>
      <w:tr>
        <w:tc>
          <w:tcPr>
            <w:tcW w:type="dxa" w:w="1296"/>
          </w:tcPr>
          <w:p>
            <w:pPr>
              <w:spacing w:line="278" w:lineRule="auto" w:after="0"/>
            </w:pPr>
            <w:r/>
            <w:r>
              <w:rPr>
                <w:rFonts w:ascii="Consolas" w:hAnsi="Consolas"/>
                <w:b/>
                <w:color w:val="172126"/>
                <w:sz w:val="15"/>
              </w:rPr>
              <w:t>7400</w:t>
            </w:r>
          </w:p>
        </w:tc>
        <w:tc>
          <w:tcPr>
            <w:tcW w:type="dxa" w:w="1656"/>
          </w:tcPr>
          <w:p>
            <w:pPr>
              <w:spacing w:line="278" w:lineRule="auto" w:after="0"/>
            </w:pPr>
            <w:r/>
            <w:r>
              <w:rPr>
                <w:rFonts w:ascii="Consolas" w:hAnsi="Consolas"/>
                <w:b w:val="0"/>
                <w:color w:val="526068"/>
                <w:sz w:val="15"/>
              </w:rPr>
              <w:t>compose network</w:t>
            </w:r>
          </w:p>
        </w:tc>
        <w:tc>
          <w:tcPr>
            <w:tcW w:type="dxa" w:w="3168"/>
          </w:tcPr>
          <w:p>
            <w:pPr>
              <w:spacing w:line="278" w:lineRule="auto" w:after="0"/>
            </w:pPr>
            <w:r/>
            <w:r>
              <w:rPr>
                <w:rFonts w:ascii="Calibri" w:hAnsi="Calibri"/>
                <w:b w:val="0"/>
                <w:color w:val="526068"/>
                <w:sz w:val="15"/>
              </w:rPr>
              <w:t>cad sidecar</w:t>
            </w:r>
          </w:p>
        </w:tc>
        <w:tc>
          <w:tcPr>
            <w:tcW w:type="dxa" w:w="3312"/>
          </w:tcPr>
          <w:p>
            <w:pPr>
              <w:spacing w:line="278" w:lineRule="auto" w:after="0"/>
            </w:pPr>
            <w:r/>
            <w:r>
              <w:rPr>
                <w:rFonts w:ascii="Calibri" w:hAnsi="Calibri"/>
                <w:b w:val="0"/>
                <w:color w:val="526068"/>
                <w:sz w:val="15"/>
              </w:rPr>
              <w:t>Not published</w:t>
            </w:r>
          </w:p>
        </w:tc>
      </w:tr>
      <w:tr>
        <w:tc>
          <w:tcPr>
            <w:tcW w:type="dxa" w:w="1296"/>
          </w:tcPr>
          <w:p>
            <w:pPr>
              <w:spacing w:line="278" w:lineRule="auto" w:after="0"/>
            </w:pPr>
            <w:r/>
            <w:r>
              <w:rPr>
                <w:rFonts w:ascii="Consolas" w:hAnsi="Consolas"/>
                <w:b/>
                <w:color w:val="172126"/>
                <w:sz w:val="15"/>
              </w:rPr>
              <w:t>22 / 80 / 443</w:t>
            </w:r>
          </w:p>
        </w:tc>
        <w:tc>
          <w:tcPr>
            <w:tcW w:type="dxa" w:w="1656"/>
          </w:tcPr>
          <w:p>
            <w:pPr>
              <w:spacing w:line="278" w:lineRule="auto" w:after="0"/>
            </w:pPr>
            <w:r/>
            <w:r>
              <w:rPr>
                <w:rFonts w:ascii="Consolas" w:hAnsi="Consolas"/>
                <w:b w:val="0"/>
                <w:color w:val="526068"/>
                <w:sz w:val="15"/>
              </w:rPr>
              <w:t>public</w:t>
            </w:r>
          </w:p>
        </w:tc>
        <w:tc>
          <w:tcPr>
            <w:tcW w:type="dxa" w:w="3168"/>
          </w:tcPr>
          <w:p>
            <w:pPr>
              <w:spacing w:line="278" w:lineRule="auto" w:after="0"/>
            </w:pPr>
            <w:r/>
            <w:r>
              <w:rPr>
                <w:rFonts w:ascii="Calibri" w:hAnsi="Calibri"/>
                <w:b w:val="0"/>
                <w:color w:val="526068"/>
                <w:sz w:val="15"/>
              </w:rPr>
              <w:t>SSH and nginx</w:t>
            </w:r>
          </w:p>
        </w:tc>
        <w:tc>
          <w:tcPr>
            <w:tcW w:type="dxa" w:w="3312"/>
          </w:tcPr>
          <w:p>
            <w:pPr>
              <w:spacing w:line="278" w:lineRule="auto" w:after="0"/>
            </w:pPr>
            <w:r/>
            <w:r>
              <w:rPr>
                <w:rFonts w:ascii="Calibri" w:hAnsi="Calibri"/>
                <w:b w:val="0"/>
                <w:color w:val="526068"/>
                <w:sz w:val="15"/>
              </w:rPr>
              <w:t>Directly</w:t>
            </w:r>
          </w:p>
        </w:tc>
      </w:tr>
    </w:tbl>
    <w:p>
      <w:pPr>
        <w:spacing w:after="60"/>
      </w:pPr>
    </w:p>
    <w:p>
      <w:pPr>
        <w:spacing w:before="260" w:after="80" w:line="307" w:lineRule="auto"/>
      </w:pPr>
      <w:r>
        <w:rPr>
          <w:rFonts w:ascii="Calibri" w:hAnsi="Calibri"/>
          <w:b/>
          <w:color w:val="172126"/>
          <w:sz w:val="22"/>
        </w:rPr>
        <w:t>11.2  Accounts</w:t>
      </w:r>
    </w:p>
    <w:p>
      <w:pPr>
        <w:spacing w:before="0" w:after="140" w:line="307" w:lineRule="auto"/>
      </w:pPr>
      <w:r>
        <w:rPr>
          <w:rFonts w:ascii="Georgia" w:hAnsi="Georgia"/>
          <w:b w:val="0"/>
          <w:color w:val="526068"/>
          <w:sz w:val="19"/>
        </w:rPr>
        <w:t>Passwords are deliberately absent. Where each one comes from:</w:t>
      </w:r>
    </w:p>
    <w:tbl>
      <w:tblPr>
        <w:tblW w:type="auto" w:w="0"/>
        <w:jc w:val="left"/>
        <w:tblLook w:firstColumn="1" w:firstRow="1" w:lastColumn="0" w:lastRow="0" w:noHBand="0" w:noVBand="1" w:val="04A0"/>
        <w:tblBorders>
          <w:top w:val="single" w:sz="4" w:space="0" w:color="D8DEE2"/>
          <w:left w:val="single" w:sz="4" w:space="0" w:color="D8DEE2"/>
          <w:bottom w:val="single" w:sz="4" w:space="0" w:color="D8DEE2"/>
          <w:right w:val="single" w:sz="4" w:space="0" w:color="D8DEE2"/>
          <w:insideH w:val="single" w:sz="4" w:space="0" w:color="D8DEE2"/>
          <w:insideV w:val="single" w:sz="4" w:space="0" w:color="D8DEE2"/>
        </w:tblBorders>
      </w:tblPr>
      <w:tblGrid>
        <w:gridCol w:w="2520"/>
        <w:gridCol w:w="2520"/>
        <w:gridCol w:w="2520"/>
        <w:gridCol w:w="2520"/>
      </w:tblGrid>
      <w:tr>
        <w:tc>
          <w:tcPr>
            <w:tcW w:type="dxa" w:w="3600"/>
            <w:shd w:val="clear" w:fill="F0F3F4"/>
          </w:tcPr>
          <w:p>
            <w:r/>
            <w:r>
              <w:rPr>
                <w:rFonts w:ascii="Calibri" w:hAnsi="Calibri"/>
                <w:b/>
                <w:color w:val="667279"/>
                <w:sz w:val="13"/>
              </w:rPr>
              <w:t>IDENTITY</w:t>
            </w:r>
          </w:p>
        </w:tc>
        <w:tc>
          <w:tcPr>
            <w:tcW w:type="dxa" w:w="1152"/>
            <w:shd w:val="clear" w:fill="F0F3F4"/>
          </w:tcPr>
          <w:p>
            <w:r/>
            <w:r>
              <w:rPr>
                <w:rFonts w:ascii="Calibri" w:hAnsi="Calibri"/>
                <w:b/>
                <w:color w:val="667279"/>
                <w:sz w:val="13"/>
              </w:rPr>
              <w:t>PLANE</w:t>
            </w:r>
          </w:p>
        </w:tc>
        <w:tc>
          <w:tcPr>
            <w:tcW w:type="dxa" w:w="1440"/>
            <w:shd w:val="clear" w:fill="F0F3F4"/>
          </w:tcPr>
          <w:p>
            <w:r/>
            <w:r>
              <w:rPr>
                <w:rFonts w:ascii="Calibri" w:hAnsi="Calibri"/>
                <w:b/>
                <w:color w:val="667279"/>
                <w:sz w:val="13"/>
              </w:rPr>
              <w:t>ROLE</w:t>
            </w:r>
          </w:p>
        </w:tc>
        <w:tc>
          <w:tcPr>
            <w:tcW w:type="dxa" w:w="3240"/>
            <w:shd w:val="clear" w:fill="F0F3F4"/>
          </w:tcPr>
          <w:p>
            <w:r/>
            <w:r>
              <w:rPr>
                <w:rFonts w:ascii="Calibri" w:hAnsi="Calibri"/>
                <w:b/>
                <w:color w:val="667279"/>
                <w:sz w:val="13"/>
              </w:rPr>
              <w:t>PASSWORD SOURCE</w:t>
            </w:r>
          </w:p>
        </w:tc>
      </w:tr>
      <w:tr>
        <w:tc>
          <w:tcPr>
            <w:tcW w:type="dxa" w:w="3600"/>
          </w:tcPr>
          <w:p>
            <w:pPr>
              <w:spacing w:line="278" w:lineRule="auto" w:after="0"/>
            </w:pPr>
            <w:r/>
            <w:r>
              <w:rPr>
                <w:rFonts w:ascii="Consolas" w:hAnsi="Consolas"/>
                <w:b/>
                <w:color w:val="172126"/>
                <w:sz w:val="15"/>
              </w:rPr>
              <w:t>admin@techsme.com</w:t>
            </w:r>
          </w:p>
        </w:tc>
        <w:tc>
          <w:tcPr>
            <w:tcW w:type="dxa" w:w="1152"/>
          </w:tcPr>
          <w:p>
            <w:pPr>
              <w:spacing w:line="278" w:lineRule="auto" w:after="0"/>
            </w:pPr>
            <w:r/>
            <w:r>
              <w:rPr>
                <w:rFonts w:ascii="Calibri" w:hAnsi="Calibri"/>
                <w:b w:val="0"/>
                <w:color w:val="526068"/>
                <w:sz w:val="15"/>
              </w:rPr>
              <w:t>host</w:t>
            </w:r>
          </w:p>
        </w:tc>
        <w:tc>
          <w:tcPr>
            <w:tcW w:type="dxa" w:w="1440"/>
          </w:tcPr>
          <w:p>
            <w:pPr>
              <w:spacing w:line="278" w:lineRule="auto" w:after="0"/>
            </w:pPr>
            <w:r/>
            <w:r>
              <w:rPr>
                <w:rFonts w:ascii="Calibri" w:hAnsi="Calibri"/>
                <w:b w:val="0"/>
                <w:color w:val="526068"/>
                <w:sz w:val="15"/>
              </w:rPr>
              <w:t>Owner</w:t>
            </w:r>
          </w:p>
        </w:tc>
        <w:tc>
          <w:tcPr>
            <w:tcW w:type="dxa" w:w="3240"/>
          </w:tcPr>
          <w:p>
            <w:pPr>
              <w:spacing w:line="278" w:lineRule="auto" w:after="0"/>
            </w:pPr>
            <w:r/>
            <w:r>
              <w:rPr>
                <w:rFonts w:ascii="Calibri" w:hAnsi="Calibri"/>
                <w:b w:val="0"/>
                <w:color w:val="526068"/>
                <w:sz w:val="15"/>
              </w:rPr>
              <w:t>ROTATE — published. Also a committed literal, D8</w:t>
            </w:r>
          </w:p>
        </w:tc>
      </w:tr>
      <w:tr>
        <w:tc>
          <w:tcPr>
            <w:tcW w:type="dxa" w:w="3600"/>
          </w:tcPr>
          <w:p>
            <w:pPr>
              <w:spacing w:line="278" w:lineRule="auto" w:after="0"/>
            </w:pPr>
            <w:r/>
            <w:r>
              <w:rPr>
                <w:rFonts w:ascii="Consolas" w:hAnsi="Consolas"/>
                <w:b/>
                <w:color w:val="172126"/>
                <w:sz w:val="15"/>
              </w:rPr>
              <w:t>shruthi@techsme.com</w:t>
            </w:r>
          </w:p>
        </w:tc>
        <w:tc>
          <w:tcPr>
            <w:tcW w:type="dxa" w:w="1152"/>
          </w:tcPr>
          <w:p>
            <w:pPr>
              <w:spacing w:line="278" w:lineRule="auto" w:after="0"/>
            </w:pPr>
            <w:r/>
            <w:r>
              <w:rPr>
                <w:rFonts w:ascii="Calibri" w:hAnsi="Calibri"/>
                <w:b w:val="0"/>
                <w:color w:val="526068"/>
                <w:sz w:val="15"/>
              </w:rPr>
              <w:t>host</w:t>
            </w:r>
          </w:p>
        </w:tc>
        <w:tc>
          <w:tcPr>
            <w:tcW w:type="dxa" w:w="1440"/>
          </w:tcPr>
          <w:p>
            <w:pPr>
              <w:spacing w:line="278" w:lineRule="auto" w:after="0"/>
            </w:pPr>
            <w:r/>
            <w:r>
              <w:rPr>
                <w:rFonts w:ascii="Calibri" w:hAnsi="Calibri"/>
                <w:b w:val="0"/>
                <w:color w:val="526068"/>
                <w:sz w:val="15"/>
              </w:rPr>
              <w:t>Admin</w:t>
            </w:r>
          </w:p>
        </w:tc>
        <w:tc>
          <w:tcPr>
            <w:tcW w:type="dxa" w:w="3240"/>
          </w:tcPr>
          <w:p>
            <w:pPr>
              <w:spacing w:line="278" w:lineRule="auto" w:after="0"/>
            </w:pPr>
            <w:r/>
            <w:r>
              <w:rPr>
                <w:rFonts w:ascii="Calibri" w:hAnsi="Calibri"/>
                <w:b w:val="0"/>
                <w:color w:val="526068"/>
                <w:sz w:val="15"/>
              </w:rPr>
              <w:t>ROTATE — published</w:t>
            </w:r>
          </w:p>
        </w:tc>
      </w:tr>
      <w:tr>
        <w:tc>
          <w:tcPr>
            <w:tcW w:type="dxa" w:w="3600"/>
          </w:tcPr>
          <w:p>
            <w:pPr>
              <w:spacing w:line="278" w:lineRule="auto" w:after="0"/>
            </w:pPr>
            <w:r/>
            <w:r>
              <w:rPr>
                <w:rFonts w:ascii="Consolas" w:hAnsi="Consolas"/>
                <w:b/>
                <w:color w:val="172126"/>
                <w:sz w:val="15"/>
              </w:rPr>
              <w:t>pranavi@techsme.com</w:t>
            </w:r>
          </w:p>
        </w:tc>
        <w:tc>
          <w:tcPr>
            <w:tcW w:type="dxa" w:w="1152"/>
          </w:tcPr>
          <w:p>
            <w:pPr>
              <w:spacing w:line="278" w:lineRule="auto" w:after="0"/>
            </w:pPr>
            <w:r/>
            <w:r>
              <w:rPr>
                <w:rFonts w:ascii="Calibri" w:hAnsi="Calibri"/>
                <w:b w:val="0"/>
                <w:color w:val="526068"/>
                <w:sz w:val="15"/>
              </w:rPr>
              <w:t>host</w:t>
            </w:r>
          </w:p>
        </w:tc>
        <w:tc>
          <w:tcPr>
            <w:tcW w:type="dxa" w:w="1440"/>
          </w:tcPr>
          <w:p>
            <w:pPr>
              <w:spacing w:line="278" w:lineRule="auto" w:after="0"/>
            </w:pPr>
            <w:r/>
            <w:r>
              <w:rPr>
                <w:rFonts w:ascii="Calibri" w:hAnsi="Calibri"/>
                <w:b w:val="0"/>
                <w:color w:val="526068"/>
                <w:sz w:val="15"/>
              </w:rPr>
              <w:t>Admin</w:t>
            </w:r>
          </w:p>
        </w:tc>
        <w:tc>
          <w:tcPr>
            <w:tcW w:type="dxa" w:w="3240"/>
          </w:tcPr>
          <w:p>
            <w:pPr>
              <w:spacing w:line="278" w:lineRule="auto" w:after="0"/>
            </w:pPr>
            <w:r/>
            <w:r>
              <w:rPr>
                <w:rFonts w:ascii="Calibri" w:hAnsi="Calibri"/>
                <w:b w:val="0"/>
                <w:color w:val="526068"/>
                <w:sz w:val="15"/>
              </w:rPr>
              <w:t>ROTATE — published</w:t>
            </w:r>
          </w:p>
        </w:tc>
      </w:tr>
      <w:tr>
        <w:tc>
          <w:tcPr>
            <w:tcW w:type="dxa" w:w="3600"/>
          </w:tcPr>
          <w:p>
            <w:pPr>
              <w:spacing w:line="278" w:lineRule="auto" w:after="0"/>
            </w:pPr>
            <w:r/>
            <w:r>
              <w:rPr>
                <w:rFonts w:ascii="Consolas" w:hAnsi="Consolas"/>
                <w:b/>
                <w:color w:val="172126"/>
                <w:sz w:val="15"/>
              </w:rPr>
              <w:t>owner@aigcc.group</w:t>
            </w:r>
          </w:p>
        </w:tc>
        <w:tc>
          <w:tcPr>
            <w:tcW w:type="dxa" w:w="1152"/>
          </w:tcPr>
          <w:p>
            <w:pPr>
              <w:spacing w:line="278" w:lineRule="auto" w:after="0"/>
            </w:pPr>
            <w:r/>
            <w:r>
              <w:rPr>
                <w:rFonts w:ascii="Calibri" w:hAnsi="Calibri"/>
                <w:b w:val="0"/>
                <w:color w:val="526068"/>
                <w:sz w:val="15"/>
              </w:rPr>
              <w:t>tenant</w:t>
            </w:r>
          </w:p>
        </w:tc>
        <w:tc>
          <w:tcPr>
            <w:tcW w:type="dxa" w:w="1440"/>
          </w:tcPr>
          <w:p>
            <w:pPr>
              <w:spacing w:line="278" w:lineRule="auto" w:after="0"/>
            </w:pPr>
            <w:r/>
            <w:r>
              <w:rPr>
                <w:rFonts w:ascii="Calibri" w:hAnsi="Calibri"/>
                <w:b w:val="0"/>
                <w:color w:val="526068"/>
                <w:sz w:val="15"/>
              </w:rPr>
              <w:t>Owner</w:t>
            </w:r>
          </w:p>
        </w:tc>
        <w:tc>
          <w:tcPr>
            <w:tcW w:type="dxa" w:w="3240"/>
          </w:tcPr>
          <w:p>
            <w:pPr>
              <w:spacing w:line="278" w:lineRule="auto" w:after="0"/>
            </w:pPr>
            <w:r/>
            <w:r>
              <w:rPr>
                <w:rFonts w:ascii="Calibri" w:hAnsi="Calibri"/>
                <w:b w:val="0"/>
                <w:color w:val="526068"/>
                <w:sz w:val="15"/>
              </w:rPr>
              <w:t>SEED_OWNER_PASSWORD, via seed-aigcc.mjs</w:t>
            </w:r>
          </w:p>
        </w:tc>
      </w:tr>
      <w:tr>
        <w:tc>
          <w:tcPr>
            <w:tcW w:type="dxa" w:w="3600"/>
          </w:tcPr>
          <w:p>
            <w:pPr>
              <w:spacing w:line="278" w:lineRule="auto" w:after="0"/>
            </w:pPr>
            <w:r/>
            <w:r>
              <w:rPr>
                <w:rFonts w:ascii="Consolas" w:hAnsi="Consolas"/>
                <w:b/>
                <w:color w:val="172126"/>
                <w:sz w:val="15"/>
              </w:rPr>
              <w:t>owner@cedarstone.build</w:t>
            </w:r>
          </w:p>
        </w:tc>
        <w:tc>
          <w:tcPr>
            <w:tcW w:type="dxa" w:w="1152"/>
          </w:tcPr>
          <w:p>
            <w:pPr>
              <w:spacing w:line="278" w:lineRule="auto" w:after="0"/>
            </w:pPr>
            <w:r/>
            <w:r>
              <w:rPr>
                <w:rFonts w:ascii="Calibri" w:hAnsi="Calibri"/>
                <w:b w:val="0"/>
                <w:color w:val="526068"/>
                <w:sz w:val="15"/>
              </w:rPr>
              <w:t>tenant</w:t>
            </w:r>
          </w:p>
        </w:tc>
        <w:tc>
          <w:tcPr>
            <w:tcW w:type="dxa" w:w="1440"/>
          </w:tcPr>
          <w:p>
            <w:pPr>
              <w:spacing w:line="278" w:lineRule="auto" w:after="0"/>
            </w:pPr>
            <w:r/>
            <w:r>
              <w:rPr>
                <w:rFonts w:ascii="Calibri" w:hAnsi="Calibri"/>
                <w:b w:val="0"/>
                <w:color w:val="526068"/>
                <w:sz w:val="15"/>
              </w:rPr>
              <w:t>Owner</w:t>
            </w:r>
          </w:p>
        </w:tc>
        <w:tc>
          <w:tcPr>
            <w:tcW w:type="dxa" w:w="3240"/>
          </w:tcPr>
          <w:p>
            <w:pPr>
              <w:spacing w:line="278" w:lineRule="auto" w:after="0"/>
            </w:pPr>
            <w:r/>
            <w:r>
              <w:rPr>
                <w:rFonts w:ascii="Calibri" w:hAnsi="Calibri"/>
                <w:b w:val="0"/>
                <w:color w:val="526068"/>
                <w:sz w:val="15"/>
              </w:rPr>
              <w:t>via seed-cedarstone.mjs</w:t>
            </w:r>
          </w:p>
        </w:tc>
      </w:tr>
      <w:tr>
        <w:tc>
          <w:tcPr>
            <w:tcW w:type="dxa" w:w="3600"/>
          </w:tcPr>
          <w:p>
            <w:pPr>
              <w:spacing w:line="278" w:lineRule="auto" w:after="0"/>
            </w:pPr>
            <w:r/>
            <w:r>
              <w:rPr>
                <w:rFonts w:ascii="Consolas" w:hAnsi="Consolas"/>
                <w:b/>
                <w:color w:val="172126"/>
                <w:sz w:val="15"/>
              </w:rPr>
              <w:t>dana@ · riya@ · marcus@ · priya@cedarstone.build</w:t>
            </w:r>
          </w:p>
        </w:tc>
        <w:tc>
          <w:tcPr>
            <w:tcW w:type="dxa" w:w="1152"/>
          </w:tcPr>
          <w:p>
            <w:pPr>
              <w:spacing w:line="278" w:lineRule="auto" w:after="0"/>
            </w:pPr>
            <w:r/>
            <w:r>
              <w:rPr>
                <w:rFonts w:ascii="Calibri" w:hAnsi="Calibri"/>
                <w:b w:val="0"/>
                <w:color w:val="526068"/>
                <w:sz w:val="15"/>
              </w:rPr>
              <w:t>tenant</w:t>
            </w:r>
          </w:p>
        </w:tc>
        <w:tc>
          <w:tcPr>
            <w:tcW w:type="dxa" w:w="1440"/>
          </w:tcPr>
          <w:p>
            <w:pPr>
              <w:spacing w:line="278" w:lineRule="auto" w:after="0"/>
            </w:pPr>
            <w:r/>
            <w:r>
              <w:rPr>
                <w:rFonts w:ascii="Calibri" w:hAnsi="Calibri"/>
                <w:b w:val="0"/>
                <w:color w:val="526068"/>
                <w:sz w:val="15"/>
              </w:rPr>
              <w:t>Colleagues</w:t>
            </w:r>
          </w:p>
        </w:tc>
        <w:tc>
          <w:tcPr>
            <w:tcW w:type="dxa" w:w="3240"/>
          </w:tcPr>
          <w:p>
            <w:pPr>
              <w:spacing w:line="278" w:lineRule="auto" w:after="0"/>
            </w:pPr>
            <w:r/>
            <w:r>
              <w:rPr>
                <w:rFonts w:ascii="Calibri" w:hAnsi="Calibri"/>
                <w:b w:val="0"/>
                <w:color w:val="526068"/>
                <w:sz w:val="15"/>
              </w:rPr>
              <w:t>Same seed unless individually overridden</w:t>
            </w:r>
          </w:p>
        </w:tc>
      </w:tr>
    </w:tbl>
    <w:p>
      <w:pPr>
        <w:spacing w:after="60"/>
      </w:pPr>
    </w:p>
    <w:p>
      <w:pPr>
        <w:spacing w:before="0" w:after="140" w:line="307" w:lineRule="auto"/>
      </w:pPr>
      <w:r>
        <w:rPr>
          <w:rFonts w:ascii="Georgia" w:hAnsi="Georgia"/>
          <w:b w:val="0"/>
          <w:color w:val="526068"/>
          <w:sz w:val="19"/>
        </w:rPr>
        <w:t>None of these are created by the compose seed — §3.4. The stale Riverside name is still live rather than a documentation leftover: TENANT_OWNER_EMAIL: owner@riverside.build in the tenant compose seed service (D9), and in the tenant README's quick start (D10).</w:t>
      </w:r>
    </w:p>
    <w:p>
      <w:pPr>
        <w:spacing w:before="260" w:after="80" w:line="307" w:lineRule="auto"/>
      </w:pPr>
      <w:r>
        <w:rPr>
          <w:rFonts w:ascii="Calibri" w:hAnsi="Calibri"/>
          <w:b/>
          <w:color w:val="172126"/>
          <w:sz w:val="22"/>
        </w:rPr>
        <w:t>11.3  Environment variables</w:t>
      </w:r>
    </w:p>
    <w:p>
      <w:pPr>
        <w:spacing w:before="0" w:after="140" w:line="307" w:lineRule="auto"/>
      </w:pPr>
      <w:r>
        <w:rPr>
          <w:rFonts w:ascii="Georgia" w:hAnsi="Georgia"/>
          <w:b w:val="0"/>
          <w:color w:val="526068"/>
          <w:sz w:val="19"/>
        </w:rPr>
        <w:t>An inventory, not a checklist. For the short list somebody has to SEND you, use §2.2 — working through this list will have you chasing values nobody needs to provide.</w:t>
      </w:r>
    </w:p>
    <w:p>
      <w:pPr>
        <w:spacing w:before="200" w:after="60" w:line="307" w:lineRule="auto"/>
      </w:pPr>
      <w:r>
        <w:rPr>
          <w:rFonts w:ascii="Calibri" w:hAnsi="Calibri"/>
          <w:b/>
          <w:color w:val="087E75"/>
          <w:sz w:val="19"/>
        </w:rPr>
        <w:t>Read from .env</w:t>
      </w:r>
    </w:p>
    <w:tbl>
      <w:tblPr>
        <w:tblW w:type="auto" w:w="0"/>
        <w:tblLook w:firstColumn="1" w:firstRow="1" w:lastColumn="0" w:lastRow="0" w:noHBand="0" w:noVBand="1" w:val="04A0"/>
        <w:tblBorders>
          <w:top w:val="single" w:sz="2" w:space="0" w:color="E7EBEE"/>
          <w:left w:val="single" w:sz="2" w:space="0" w:color="E7EBEE"/>
          <w:bottom w:val="single" w:sz="2" w:space="0" w:color="E7EBEE"/>
          <w:right w:val="single" w:sz="2" w:space="0" w:color="E7EBEE"/>
          <w:insideH w:val="single" w:sz="2" w:space="0" w:color="E7EBEE"/>
          <w:insideV w:val="single" w:sz="2" w:space="0" w:color="E7EBEE"/>
        </w:tblBorders>
      </w:tblPr>
      <w:tblGrid>
        <w:gridCol w:w="10080"/>
      </w:tblGrid>
      <w:tr>
        <w:tc>
          <w:tcPr>
            <w:tcW w:type="dxa" w:w="10080"/>
            <w:shd w:val="clear" w:fill="F5F7F8"/>
          </w:tcPr>
          <w:p>
            <w:pPr>
              <w:spacing w:line="288" w:lineRule="auto"/>
            </w:pPr>
            <w:r/>
            <w:r>
              <w:rPr>
                <w:rFonts w:ascii="Consolas" w:hAnsi="Consolas"/>
                <w:color w:val="172126"/>
                <w:sz w:val="16"/>
              </w:rPr>
              <w:t>HOST    DATABASE_PASSWORD</w:t>
              <w:br/>
              <w:t xml:space="preserve">        STRIPE_SECRET_KEY · STRIPE_WEBHOOK_SECRET · EMAIL_PROVIDER</w:t>
              <w:br/>
              <w:t xml:space="preserve">        EMAIL_FROM_ADDRESS · EMAIL_API_KEY</w:t>
              <w:br/>
              <w:t xml:space="preserve">        STORAGE_BUCKET · STORAGE_ENDPOINT · STORAGE_ACCESS_KEY · STORAGE_SECRET_KEY</w:t>
              <w:br/>
              <w:br/>
              <w:t>TENANT  DATABASE_PASSWORD · BETTER_AUTH_SECRET · INTERNAL_SERVICE_TOKEN</w:t>
              <w:br/>
              <w:t xml:space="preserve">        TENANT_OWNER_PASSWORD · ANTHROPIC_API_KEY · DEMO_STUB_MODE</w:t>
              <w:br/>
              <w:t xml:space="preserve">        AI_JOB_LEASE_SECONDS · AI_JOB_BACKOFF_SECONDS · AI_JOB_BACKOFF_MAX_SECONDS</w:t>
              <w:br/>
              <w:t xml:space="preserve">        AI_JOB_RECONCILE_SECONDS · AI_JOB_RECONCILE_DISABLED · AUTH_SIGNIN_MAX</w:t>
            </w:r>
          </w:p>
        </w:tc>
      </w:tr>
    </w:tbl>
    <w:p>
      <w:pPr>
        <w:spacing w:after="40"/>
      </w:pPr>
    </w:p>
    <w:p>
      <w:pPr>
        <w:spacing w:before="200" w:after="60" w:line="307" w:lineRule="auto"/>
      </w:pPr>
      <w:r>
        <w:rPr>
          <w:rFonts w:ascii="Calibri" w:hAnsi="Calibri"/>
          <w:b/>
          <w:color w:val="087E75"/>
          <w:sz w:val="19"/>
        </w:rPr>
        <w:t>Hardcoded in compose — putting these in .env does nothing</w:t>
      </w:r>
    </w:p>
    <w:tbl>
      <w:tblPr>
        <w:tblW w:type="auto" w:w="0"/>
        <w:tblLook w:firstColumn="1" w:firstRow="1" w:lastColumn="0" w:lastRow="0" w:noHBand="0" w:noVBand="1" w:val="04A0"/>
        <w:tblBorders>
          <w:top w:val="single" w:sz="2" w:space="0" w:color="E7EBEE"/>
          <w:left w:val="single" w:sz="2" w:space="0" w:color="E7EBEE"/>
          <w:bottom w:val="single" w:sz="2" w:space="0" w:color="E7EBEE"/>
          <w:right w:val="single" w:sz="2" w:space="0" w:color="E7EBEE"/>
          <w:insideH w:val="single" w:sz="2" w:space="0" w:color="E7EBEE"/>
          <w:insideV w:val="single" w:sz="2" w:space="0" w:color="E7EBEE"/>
        </w:tblBorders>
      </w:tblPr>
      <w:tblGrid>
        <w:gridCol w:w="10080"/>
      </w:tblGrid>
      <w:tr>
        <w:tc>
          <w:tcPr>
            <w:tcW w:type="dxa" w:w="10080"/>
            <w:shd w:val="clear" w:fill="F5F7F8"/>
          </w:tcPr>
          <w:p>
            <w:pPr>
              <w:spacing w:line="288" w:lineRule="auto"/>
            </w:pPr>
            <w:r/>
            <w:r>
              <w:rPr>
                <w:rFonts w:ascii="Consolas" w:hAnsi="Consolas"/>
                <w:color w:val="172126"/>
                <w:sz w:val="16"/>
              </w:rPr>
              <w:t>TENANT  DATABASE_HOST=db · DATABASE_PORT=3306 · DATABASE_USER=root</w:t>
              <w:br/>
              <w:t xml:space="preserve">        DATABASE_NAME=preckon_tenant · WORKER_URL=http://worker:4000</w:t>
              <w:br/>
              <w:t xml:space="preserve">        CORE_URL=http://app:3000 · CAD_URL=http://cad:7400</w:t>
              <w:br/>
              <w:t xml:space="preserve">        FILE_STORAGE_DIR=/app/.uploads · DESKTOP_DOWNLOAD_DIR=/app/.downloads</w:t>
              <w:br/>
              <w:t xml:space="preserve">        BETTER_AUTH_URL=http://localhost:3100   ← overridden on the server</w:t>
              <w:br/>
              <w:br/>
              <w:t>HOST    BETTER_AUTH_SECRET · BETTER_AUTH_URL · INTERNAL_SERVICE_TOKEN   ← D7</w:t>
              <w:br/>
              <w:t xml:space="preserve">        TENANT_PLANE_URL · EMAIL_PROVIDER · EMAIL_FROM_ADDRESS</w:t>
            </w:r>
          </w:p>
        </w:tc>
      </w:tr>
    </w:tbl>
    <w:p>
      <w:pPr>
        <w:spacing w:after="40"/>
      </w:pPr>
    </w:p>
    <w:p>
      <w:pPr>
        <w:spacing w:before="200" w:after="60" w:line="307" w:lineRule="auto"/>
      </w:pPr>
      <w:r>
        <w:rPr>
          <w:rFonts w:ascii="Calibri" w:hAnsi="Calibri"/>
          <w:b/>
          <w:color w:val="087E75"/>
          <w:sz w:val="19"/>
        </w:rPr>
        <w:t>Tooling and scripts</w:t>
      </w:r>
    </w:p>
    <w:tbl>
      <w:tblPr>
        <w:tblW w:type="auto" w:w="0"/>
        <w:tblLook w:firstColumn="1" w:firstRow="1" w:lastColumn="0" w:lastRow="0" w:noHBand="0" w:noVBand="1" w:val="04A0"/>
        <w:tblBorders>
          <w:top w:val="single" w:sz="2" w:space="0" w:color="E7EBEE"/>
          <w:left w:val="single" w:sz="2" w:space="0" w:color="E7EBEE"/>
          <w:bottom w:val="single" w:sz="2" w:space="0" w:color="E7EBEE"/>
          <w:right w:val="single" w:sz="2" w:space="0" w:color="E7EBEE"/>
          <w:insideH w:val="single" w:sz="2" w:space="0" w:color="E7EBEE"/>
          <w:insideV w:val="single" w:sz="2" w:space="0" w:color="E7EBEE"/>
        </w:tblBorders>
      </w:tblPr>
      <w:tblGrid>
        <w:gridCol w:w="10080"/>
      </w:tblGrid>
      <w:tr>
        <w:tc>
          <w:tcPr>
            <w:tcW w:type="dxa" w:w="10080"/>
            <w:shd w:val="clear" w:fill="F5F7F8"/>
          </w:tcPr>
          <w:p>
            <w:pPr>
              <w:spacing w:line="288" w:lineRule="auto"/>
            </w:pPr>
            <w:r/>
            <w:r>
              <w:rPr>
                <w:rFonts w:ascii="Consolas" w:hAnsi="Consolas"/>
                <w:color w:val="172126"/>
                <w:sz w:val="16"/>
              </w:rPr>
              <w:t>PRECKON_HOST · PRECKON_REPO · BACKUP_DIR · BACKUP_KEEP · DB_PASS · DB_SERVICE</w:t>
              <w:br/>
              <w:t>DB_USER · DB_NAME · MIGRATIONS_DIR · EZDXF_ODAFC · TENANT_URL · TENANT_ID</w:t>
              <w:br/>
              <w:t>SEED_OWNER_EMAIL · SEED_OWNER_PASSWORD · BOOTSTRAP_OWNER · BOOTSTRAP_PASSWORD</w:t>
              <w:br/>
              <w:t>OWNER_EMAIL · OWNER_PASSWORD</w:t>
            </w:r>
          </w:p>
        </w:tc>
      </w:tr>
    </w:tbl>
    <w:p>
      <w:pPr>
        <w:spacing w:after="40"/>
      </w:pPr>
    </w:p>
    <w:p>
      <w:pPr>
        <w:spacing w:before="200" w:after="60" w:line="307" w:lineRule="auto"/>
      </w:pPr>
      <w:r>
        <w:rPr>
          <w:rFonts w:ascii="Calibri" w:hAnsi="Calibri"/>
          <w:b/>
          <w:color w:val="087E75"/>
          <w:sz w:val="19"/>
        </w:rPr>
        <w:t>The AI job queue, in case you need to tune it</w:t>
      </w:r>
    </w:p>
    <w:p>
      <w:pPr>
        <w:spacing w:before="0" w:after="140" w:line="307" w:lineRule="auto"/>
      </w:pPr>
      <w:r>
        <w:rPr>
          <w:rFonts w:ascii="Georgia" w:hAnsi="Georgia"/>
          <w:b w:val="0"/>
          <w:color w:val="526068"/>
          <w:sz w:val="19"/>
        </w:rPr>
        <w:t>ai_job is a durable queue: dispatch claims a row and a reconciler restarts work nobody is doing. AI_JOB_LEASE_SECONDS (900) must comfortably exceed your slowest real job — reclaiming one that is merely slow means running it twice. Backoff is 10s, 40s, 160s, capped at 600. Set AI_JOB_RECONCILE_DISABLED where something else owns recovery, such as a cron hitting /api/internal/jobs/reconcile.</w:t>
      </w:r>
    </w:p>
    <w:p>
      <w:pPr>
        <w:spacing w:before="260" w:after="80" w:line="307" w:lineRule="auto"/>
      </w:pPr>
      <w:r>
        <w:rPr>
          <w:rFonts w:ascii="Calibri" w:hAnsi="Calibri"/>
          <w:b/>
          <w:color w:val="172126"/>
          <w:sz w:val="22"/>
        </w:rPr>
        <w:t>11.4  API surface</w:t>
      </w:r>
    </w:p>
    <w:p>
      <w:pPr>
        <w:spacing w:before="200" w:after="60" w:line="307" w:lineRule="auto"/>
      </w:pPr>
      <w:r>
        <w:rPr>
          <w:rFonts w:ascii="Calibri" w:hAnsi="Calibri"/>
          <w:b/>
          <w:color w:val="087E75"/>
          <w:sz w:val="19"/>
        </w:rPr>
        <w:t>Tenant — /api/v1, cookie-authenticated</w:t>
      </w:r>
    </w:p>
    <w:tbl>
      <w:tblPr>
        <w:tblW w:type="auto" w:w="0"/>
        <w:tblLook w:firstColumn="1" w:firstRow="1" w:lastColumn="0" w:lastRow="0" w:noHBand="0" w:noVBand="1" w:val="04A0"/>
        <w:tblBorders>
          <w:top w:val="single" w:sz="2" w:space="0" w:color="E7EBEE"/>
          <w:left w:val="single" w:sz="2" w:space="0" w:color="E7EBEE"/>
          <w:bottom w:val="single" w:sz="2" w:space="0" w:color="E7EBEE"/>
          <w:right w:val="single" w:sz="2" w:space="0" w:color="E7EBEE"/>
          <w:insideH w:val="single" w:sz="2" w:space="0" w:color="E7EBEE"/>
          <w:insideV w:val="single" w:sz="2" w:space="0" w:color="E7EBEE"/>
        </w:tblBorders>
      </w:tblPr>
      <w:tblGrid>
        <w:gridCol w:w="10080"/>
      </w:tblGrid>
      <w:tr>
        <w:tc>
          <w:tcPr>
            <w:tcW w:type="dxa" w:w="10080"/>
            <w:shd w:val="clear" w:fill="F5F7F8"/>
          </w:tcPr>
          <w:p>
            <w:pPr>
              <w:spacing w:line="288" w:lineRule="auto"/>
            </w:pPr>
            <w:r/>
            <w:r>
              <w:rPr>
                <w:rFonts w:ascii="Consolas" w:hAnsi="Consolas"/>
                <w:color w:val="172126"/>
                <w:sz w:val="16"/>
              </w:rPr>
              <w:t>GET  /entitlements · /workflows · /personas · /audit · /audit/verify</w:t>
              <w:br/>
              <w:t>GET  POST /projects            GET /projects/{pid}/lifecycle</w:t>
              <w:br/>
              <w:t>POST /projects/{pid}/runs      GET /projects/{pid}/runs/{rid}</w:t>
              <w:br/>
              <w:t>POST …/runs/{rid}/rerun-stale  POST …/runs/{rid}/review</w:t>
              <w:br/>
              <w:t>GET  /projects/{pid}/review-queue</w:t>
              <w:br/>
              <w:t>POST /projects/{pid}/artifacts/{id}/confirm | reject     PATCH …/artifacts/{id}</w:t>
              <w:br/>
              <w:t>GET  …/artifacts/{id}/trace    ← the defensibility view</w:t>
              <w:br/>
              <w:t>POST /projects/{pid}/files     ← upload and ingest</w:t>
              <w:br/>
              <w:t>…/conversations + /messages    ← persona chat</w:t>
              <w:br/>
              <w:br/>
              <w:t>internal:  POST /api/internal/jobs/{id}/result</w:t>
              <w:br/>
              <w:t xml:space="preserve">           POST /api/internal/entitlements</w:t>
              <w:br/>
              <w:t xml:space="preserve">           POST /api/internal/tenants/{id}/bootstrap</w:t>
              <w:br/>
              <w:t xml:space="preserve">           POST /api/internal/jobs/reconcile</w:t>
            </w:r>
          </w:p>
        </w:tc>
      </w:tr>
    </w:tbl>
    <w:p>
      <w:pPr>
        <w:spacing w:after="40"/>
      </w:pPr>
    </w:p>
    <w:p>
      <w:pPr>
        <w:spacing w:before="200" w:after="60" w:line="307" w:lineRule="auto"/>
      </w:pPr>
      <w:r>
        <w:rPr>
          <w:rFonts w:ascii="Calibri" w:hAnsi="Calibri"/>
          <w:b/>
          <w:color w:val="087E75"/>
          <w:sz w:val="19"/>
        </w:rPr>
        <w:t>Host — /api/host/v1</w:t>
      </w:r>
    </w:p>
    <w:tbl>
      <w:tblPr>
        <w:tblW w:type="auto" w:w="0"/>
        <w:tblLook w:firstColumn="1" w:firstRow="1" w:lastColumn="0" w:lastRow="0" w:noHBand="0" w:noVBand="1" w:val="04A0"/>
        <w:tblBorders>
          <w:top w:val="single" w:sz="2" w:space="0" w:color="E7EBEE"/>
          <w:left w:val="single" w:sz="2" w:space="0" w:color="E7EBEE"/>
          <w:bottom w:val="single" w:sz="2" w:space="0" w:color="E7EBEE"/>
          <w:right w:val="single" w:sz="2" w:space="0" w:color="E7EBEE"/>
          <w:insideH w:val="single" w:sz="2" w:space="0" w:color="E7EBEE"/>
          <w:insideV w:val="single" w:sz="2" w:space="0" w:color="E7EBEE"/>
        </w:tblBorders>
      </w:tblPr>
      <w:tblGrid>
        <w:gridCol w:w="10080"/>
      </w:tblGrid>
      <w:tr>
        <w:tc>
          <w:tcPr>
            <w:tcW w:type="dxa" w:w="10080"/>
            <w:shd w:val="clear" w:fill="F5F7F8"/>
          </w:tcPr>
          <w:p>
            <w:pPr>
              <w:spacing w:line="288" w:lineRule="auto"/>
            </w:pPr>
            <w:r/>
            <w:r>
              <w:rPr>
                <w:rFonts w:ascii="Consolas" w:hAnsi="Consolas"/>
                <w:color w:val="172126"/>
                <w:sz w:val="16"/>
              </w:rPr>
              <w:t>The full control-plane surface across 10 domains, all audited and RBAC-gated.</w:t>
              <w:br/>
              <w:t>The tenant plane's ONE dependency:</w:t>
              <w:br/>
              <w:br/>
              <w:t xml:space="preserve">  GET /api/host/v1/internal/entitlements/{tenant_id}</w:t>
              <w:br/>
              <w:t xml:space="preserve">  Authorization: Bearer &lt;INTERNAL_SERVICE_TOKEN&gt;</w:t>
            </w:r>
          </w:p>
        </w:tc>
      </w:tr>
    </w:tbl>
    <w:p>
      <w:pPr>
        <w:spacing w:after="40"/>
      </w:pPr>
    </w:p>
    <w:p>
      <w:pPr>
        <w:spacing w:before="260" w:after="80" w:line="307" w:lineRule="auto"/>
      </w:pPr>
      <w:r>
        <w:rPr>
          <w:rFonts w:ascii="Calibri" w:hAnsi="Calibri"/>
          <w:b/>
          <w:color w:val="172126"/>
          <w:sz w:val="22"/>
        </w:rPr>
        <w:t>11.5  Where to look next</w:t>
      </w:r>
    </w:p>
    <w:tbl>
      <w:tblPr>
        <w:tblW w:type="auto" w:w="0"/>
        <w:jc w:val="left"/>
        <w:tblLook w:firstColumn="1" w:firstRow="1" w:lastColumn="0" w:lastRow="0" w:noHBand="0" w:noVBand="1" w:val="04A0"/>
        <w:tblBorders>
          <w:top w:val="single" w:sz="4" w:space="0" w:color="D8DEE2"/>
          <w:left w:val="single" w:sz="4" w:space="0" w:color="D8DEE2"/>
          <w:bottom w:val="single" w:sz="4" w:space="0" w:color="D8DEE2"/>
          <w:right w:val="single" w:sz="4" w:space="0" w:color="D8DEE2"/>
          <w:insideH w:val="single" w:sz="4" w:space="0" w:color="D8DEE2"/>
          <w:insideV w:val="single" w:sz="4" w:space="0" w:color="D8DEE2"/>
        </w:tblBorders>
      </w:tblPr>
      <w:tblGrid>
        <w:gridCol w:w="5040"/>
        <w:gridCol w:w="5040"/>
      </w:tblGrid>
      <w:tr>
        <w:tc>
          <w:tcPr>
            <w:tcW w:type="dxa" w:w="3888"/>
            <w:shd w:val="clear" w:fill="F0F3F4"/>
          </w:tcPr>
          <w:p>
            <w:r/>
            <w:r>
              <w:rPr>
                <w:rFonts w:ascii="Calibri" w:hAnsi="Calibri"/>
                <w:b/>
                <w:color w:val="667279"/>
                <w:sz w:val="13"/>
              </w:rPr>
              <w:t>DOCUMENT</w:t>
            </w:r>
          </w:p>
        </w:tc>
        <w:tc>
          <w:tcPr>
            <w:tcW w:type="dxa" w:w="5544"/>
            <w:shd w:val="clear" w:fill="F0F3F4"/>
          </w:tcPr>
          <w:p>
            <w:r/>
            <w:r>
              <w:rPr>
                <w:rFonts w:ascii="Calibri" w:hAnsi="Calibri"/>
                <w:b/>
                <w:color w:val="667279"/>
                <w:sz w:val="13"/>
              </w:rPr>
              <w:t>COVERS</w:t>
            </w:r>
          </w:p>
        </w:tc>
      </w:tr>
      <w:tr>
        <w:tc>
          <w:tcPr>
            <w:tcW w:type="dxa" w:w="3888"/>
          </w:tcPr>
          <w:p>
            <w:pPr>
              <w:spacing w:line="278" w:lineRule="auto" w:after="0"/>
            </w:pPr>
            <w:r/>
            <w:r>
              <w:rPr>
                <w:rFonts w:ascii="Consolas" w:hAnsi="Consolas"/>
                <w:b/>
                <w:color w:val="172126"/>
                <w:sz w:val="15"/>
              </w:rPr>
              <w:t>preckon-host/docs/SERVER-HARDENING.md</w:t>
            </w:r>
          </w:p>
        </w:tc>
        <w:tc>
          <w:tcPr>
            <w:tcW w:type="dxa" w:w="5544"/>
          </w:tcPr>
          <w:p>
            <w:pPr>
              <w:spacing w:line="278" w:lineRule="auto" w:after="0"/>
            </w:pPr>
            <w:r/>
            <w:r>
              <w:rPr>
                <w:rFonts w:ascii="Calibri" w:hAnsi="Calibri"/>
                <w:b w:val="0"/>
                <w:color w:val="526068"/>
                <w:sz w:val="15"/>
              </w:rPr>
              <w:t>The seven hardening steps, with how to verify each one</w:t>
            </w:r>
          </w:p>
        </w:tc>
      </w:tr>
      <w:tr>
        <w:tc>
          <w:tcPr>
            <w:tcW w:type="dxa" w:w="3888"/>
          </w:tcPr>
          <w:p>
            <w:pPr>
              <w:spacing w:line="278" w:lineRule="auto" w:after="0"/>
            </w:pPr>
            <w:r/>
            <w:r>
              <w:rPr>
                <w:rFonts w:ascii="Consolas" w:hAnsi="Consolas"/>
                <w:b/>
                <w:color w:val="172126"/>
                <w:sz w:val="15"/>
              </w:rPr>
              <w:t>preckon-tenant/DEPLOY.md</w:t>
            </w:r>
          </w:p>
        </w:tc>
        <w:tc>
          <w:tcPr>
            <w:tcW w:type="dxa" w:w="5544"/>
          </w:tcPr>
          <w:p>
            <w:pPr>
              <w:spacing w:line="278" w:lineRule="auto" w:after="0"/>
            </w:pPr>
            <w:r/>
            <w:r>
              <w:rPr>
                <w:rFonts w:ascii="Calibri" w:hAnsi="Calibri"/>
                <w:b w:val="0"/>
                <w:color w:val="526068"/>
                <w:sz w:val="15"/>
              </w:rPr>
              <w:t>The tarball runbook. Note D2 before following it</w:t>
            </w:r>
          </w:p>
        </w:tc>
      </w:tr>
      <w:tr>
        <w:tc>
          <w:tcPr>
            <w:tcW w:type="dxa" w:w="3888"/>
          </w:tcPr>
          <w:p>
            <w:pPr>
              <w:spacing w:line="278" w:lineRule="auto" w:after="0"/>
            </w:pPr>
            <w:r/>
            <w:r>
              <w:rPr>
                <w:rFonts w:ascii="Consolas" w:hAnsi="Consolas"/>
                <w:b/>
                <w:color w:val="172126"/>
                <w:sz w:val="15"/>
              </w:rPr>
              <w:t>preckon-tenant/DOMAINS.md</w:t>
            </w:r>
          </w:p>
        </w:tc>
        <w:tc>
          <w:tcPr>
            <w:tcW w:type="dxa" w:w="5544"/>
          </w:tcPr>
          <w:p>
            <w:pPr>
              <w:spacing w:line="278" w:lineRule="auto" w:after="0"/>
            </w:pPr>
            <w:r/>
            <w:r>
              <w:rPr>
                <w:rFonts w:ascii="Calibri" w:hAnsi="Calibri"/>
                <w:b w:val="0"/>
                <w:color w:val="526068"/>
                <w:sz w:val="15"/>
              </w:rPr>
              <w:t>The DomainPack contract and how to add a vertical</w:t>
            </w:r>
          </w:p>
        </w:tc>
      </w:tr>
      <w:tr>
        <w:tc>
          <w:tcPr>
            <w:tcW w:type="dxa" w:w="3888"/>
          </w:tcPr>
          <w:p>
            <w:pPr>
              <w:spacing w:line="278" w:lineRule="auto" w:after="0"/>
            </w:pPr>
            <w:r/>
            <w:r>
              <w:rPr>
                <w:rFonts w:ascii="Consolas" w:hAnsi="Consolas"/>
                <w:b/>
                <w:color w:val="172126"/>
                <w:sz w:val="15"/>
              </w:rPr>
              <w:t>preckon-tenant/docs/adr/</w:t>
            </w:r>
          </w:p>
        </w:tc>
        <w:tc>
          <w:tcPr>
            <w:tcW w:type="dxa" w:w="5544"/>
          </w:tcPr>
          <w:p>
            <w:pPr>
              <w:spacing w:line="278" w:lineRule="auto" w:after="0"/>
            </w:pPr>
            <w:r/>
            <w:r>
              <w:rPr>
                <w:rFonts w:ascii="Calibri" w:hAnsi="Calibri"/>
                <w:b w:val="0"/>
                <w:color w:val="526068"/>
                <w:sz w:val="15"/>
              </w:rPr>
              <w:t>Architecture decisions, including 006 on the per-attempt ledger</w:t>
            </w:r>
          </w:p>
        </w:tc>
      </w:tr>
      <w:tr>
        <w:tc>
          <w:tcPr>
            <w:tcW w:type="dxa" w:w="3888"/>
          </w:tcPr>
          <w:p>
            <w:pPr>
              <w:spacing w:line="278" w:lineRule="auto" w:after="0"/>
            </w:pPr>
            <w:r/>
            <w:r>
              <w:rPr>
                <w:rFonts w:ascii="Consolas" w:hAnsi="Consolas"/>
                <w:b/>
                <w:color w:val="172126"/>
                <w:sz w:val="15"/>
              </w:rPr>
              <w:t>Preckon_Branches_and_Repositories_v1.0.docx</w:t>
            </w:r>
          </w:p>
        </w:tc>
        <w:tc>
          <w:tcPr>
            <w:tcW w:type="dxa" w:w="5544"/>
          </w:tcPr>
          <w:p>
            <w:pPr>
              <w:spacing w:line="278" w:lineRule="auto" w:after="0"/>
            </w:pPr>
            <w:r/>
            <w:r>
              <w:rPr>
                <w:rFonts w:ascii="Calibri" w:hAnsi="Calibri"/>
                <w:b w:val="0"/>
                <w:color w:val="526068"/>
                <w:sz w:val="15"/>
              </w:rPr>
              <w:t>Branch-by-branch survey and the credential sweep</w:t>
            </w:r>
          </w:p>
        </w:tc>
      </w:tr>
      <w:tr>
        <w:tc>
          <w:tcPr>
            <w:tcW w:type="dxa" w:w="3888"/>
          </w:tcPr>
          <w:p>
            <w:pPr>
              <w:spacing w:line="278" w:lineRule="auto" w:after="0"/>
            </w:pPr>
            <w:r/>
            <w:r>
              <w:rPr>
                <w:rFonts w:ascii="Consolas" w:hAnsi="Consolas"/>
                <w:b/>
                <w:color w:val="172126"/>
                <w:sz w:val="15"/>
              </w:rPr>
              <w:t>Preckon_Architecture_Reference_v2.0.docx</w:t>
            </w:r>
          </w:p>
        </w:tc>
        <w:tc>
          <w:tcPr>
            <w:tcW w:type="dxa" w:w="5544"/>
          </w:tcPr>
          <w:p>
            <w:pPr>
              <w:spacing w:line="278" w:lineRule="auto" w:after="0"/>
            </w:pPr>
            <w:r/>
            <w:r>
              <w:rPr>
                <w:rFonts w:ascii="Calibri" w:hAnsi="Calibri"/>
                <w:b w:val="0"/>
                <w:color w:val="526068"/>
                <w:sz w:val="15"/>
              </w:rPr>
              <w:t>Isolation, API, orchestration and prompts</w:t>
            </w:r>
          </w:p>
        </w:tc>
      </w:tr>
    </w:tbl>
    <w:p>
      <w:pPr>
        <w:spacing w:after="60"/>
      </w:pPr>
    </w:p>
    <w:p>
      <w:pPr>
        <w:spacing w:before="260" w:after="80" w:line="307" w:lineRule="auto"/>
      </w:pPr>
      <w:r>
        <w:rPr>
          <w:rFonts w:ascii="Calibri" w:hAnsi="Calibri"/>
          <w:b/>
          <w:color w:val="172126"/>
          <w:sz w:val="22"/>
        </w:rPr>
        <w:t>11.6  Read from</w:t>
      </w:r>
    </w:p>
    <w:tbl>
      <w:tblPr>
        <w:tblW w:type="auto" w:w="0"/>
        <w:tblLook w:firstColumn="1" w:firstRow="1" w:lastColumn="0" w:lastRow="0" w:noHBand="0" w:noVBand="1" w:val="04A0"/>
        <w:tblBorders>
          <w:top w:val="single" w:sz="2" w:space="0" w:color="E7EBEE"/>
          <w:left w:val="single" w:sz="2" w:space="0" w:color="E7EBEE"/>
          <w:bottom w:val="single" w:sz="2" w:space="0" w:color="E7EBEE"/>
          <w:right w:val="single" w:sz="2" w:space="0" w:color="E7EBEE"/>
          <w:insideH w:val="single" w:sz="2" w:space="0" w:color="E7EBEE"/>
          <w:insideV w:val="single" w:sz="2" w:space="0" w:color="E7EBEE"/>
        </w:tblBorders>
      </w:tblPr>
      <w:tblGrid>
        <w:gridCol w:w="10080"/>
      </w:tblGrid>
      <w:tr>
        <w:tc>
          <w:tcPr>
            <w:tcW w:type="dxa" w:w="10080"/>
            <w:shd w:val="clear" w:fill="F5F7F8"/>
          </w:tcPr>
          <w:p>
            <w:pPr>
              <w:spacing w:line="288" w:lineRule="auto"/>
            </w:pPr>
            <w:r/>
            <w:r>
              <w:rPr>
                <w:rFonts w:ascii="Consolas" w:hAnsi="Consolas"/>
                <w:color w:val="172126"/>
                <w:sz w:val="16"/>
              </w:rPr>
              <w:t>preckon-host/.env.example              preckon-tenant/.env.example</w:t>
              <w:br/>
              <w:t>preckon-host/docker-compose.yml        preckon-tenant/docker-compose.yml</w:t>
              <w:br/>
              <w:t>preckon-host/README.md                 preckon-tenant/README.md</w:t>
              <w:br/>
              <w:t>preckon-host/docs/SERVER-HARDENING.md  preckon-tenant/DEPLOY.md</w:t>
              <w:br/>
              <w:t>preckon-tenant/DOMAINS.md              preckon-tenant/IMPLEMENTATION.md</w:t>
              <w:br/>
              <w:t>preckon-tenant/scripts/backup.sh       preckon-tenant/scripts/update-from-git.sh</w:t>
              <w:br/>
              <w:t>preckon-tenant/scripts/migrate.sh      preckon-tenant/scripts/seed.mjs</w:t>
              <w:br/>
              <w:t>preckon-tenant/scripts/seed-aigcc.mjs  preckon-tenant/scripts/seed-cedarstone.mjs</w:t>
              <w:br/>
              <w:t>preckon-tenant/deploy.ps1              preckon-tenant/worker/src/agents.mjs</w:t>
              <w:br/>
              <w:t>preckon-tenant/worker/src/server.mjs   preckon-host/src/lib/integrations.ts</w:t>
              <w:br/>
              <w:t>preckon-host/scripts/seed-owner.mjs    preckon-tenant/db/migrations/021_ai_governance.sql</w:t>
              <w:br/>
              <w:t>preckon-tenant/docs/adr/006-per-attempt-ledger.md</w:t>
              <w:br/>
              <w:t>preckon-tenant/docs/qa/preckon-qa-results.csv</w:t>
              <w:br/>
              <w:t>AutoCAD-BOQ-Tender/.gitmodules         AutoCAD-BOQ-Tender/TECHNICAL_DOCUMENTATION.md</w:t>
            </w:r>
          </w:p>
        </w:tc>
      </w:tr>
    </w:tbl>
    <w:p>
      <w:pPr>
        <w:spacing w:after="40"/>
      </w:pPr>
    </w:p>
    <w:p>
      <w:pPr>
        <w:spacing w:before="0" w:after="140" w:line="307" w:lineRule="auto"/>
      </w:pPr>
      <w:r>
        <w:rPr>
          <w:rFonts w:ascii="Georgia" w:hAnsi="Georgia"/>
          <w:b w:val="0"/>
          <w:color w:val="667279"/>
          <w:sz w:val="17"/>
        </w:rPr>
        <w:t>Repository facts read from the git remotes, the index and the working tree on 4 September 2026. Server facts marked Open in Part 10.2 are read from the repository's own records of the server, not from the server itself.</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307" w:lineRule="auto"/>
    </w:pPr>
    <w:rPr>
      <w:rFonts w:ascii="Georgia" w:hAnsi="Georgia" w:eastAsia="Georgia"/>
      <w:color w:val="526068"/>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