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749"/>
          <w:sz w:val="60"/>
        </w:rPr>
        <w:t>PRECKON</w:t>
      </w:r>
    </w:p>
    <w:p>
      <w:pPr>
        <w:jc w:val="center"/>
      </w:pPr>
      <w:r>
        <w:rPr>
          <w:rFonts w:ascii="Aptos Display" w:hAnsi="Aptos Display"/>
          <w:b/>
          <w:color w:val="1F3749"/>
          <w:sz w:val="56"/>
        </w:rPr>
        <w:t>QualityLab v1.0</w:t>
      </w:r>
    </w:p>
    <w:p>
      <w:pPr>
        <w:jc w:val="center"/>
      </w:pPr>
      <w:r>
        <w:rPr>
          <w:rFonts w:ascii="Aptos Display" w:hAnsi="Aptos Display"/>
          <w:sz w:val="36"/>
        </w:rPr>
        <w:t>Execution Kit</w:t>
      </w:r>
    </w:p>
    <w:p/>
    <w:p>
      <w:pPr>
        <w:jc w:val="center"/>
      </w:pPr>
      <w:r>
        <w:rPr>
          <w:i/>
          <w:sz w:val="22"/>
        </w:rPr>
        <w:t>Engineering implementation baseline for the Preckon Master Testing &amp; Quality Engineering Blueprint v1.0</w:t>
      </w:r>
    </w:p>
    <w:p>
      <w:pPr>
        <w:jc w:val="center"/>
      </w:pPr>
      <w:r>
        <w:rPr>
          <w:sz w:val="20"/>
        </w:rPr>
        <w:t>27 August 2026</w:t>
      </w:r>
    </w:p>
    <w:p>
      <w:r>
        <w:br w:type="page"/>
      </w:r>
    </w:p>
    <w:p>
      <w:pPr>
        <w:pStyle w:val="Heading1"/>
      </w:pPr>
      <w:r>
        <w:t>1. Purpose and Operating Rule</w:t>
      </w:r>
    </w:p>
    <w:p>
      <w:r>
        <w:t>QualityLab converts the Preckon testing blueprint into executable engineering assets. It is a version-controlled quality system that provides repeatable evidence that a change is safe to merge, release and operate.</w:t>
      </w:r>
    </w:p>
    <w:p>
      <w:pPr>
        <w:jc w:val="center"/>
      </w:pPr>
      <w:r>
        <w:rPr>
          <w:b/>
          <w:sz w:val="22"/>
        </w:rPr>
        <w:t>No consequential Preckon change is complete until its required quality evidence is produced automatically or explicitly approved by the accountable owner.</w:t>
      </w:r>
    </w:p>
    <w:p>
      <w:pPr>
        <w:pStyle w:val="Heading1"/>
      </w:pPr>
      <w:r>
        <w:t>2. What the Execution Kit Delivers</w:t>
      </w:r>
    </w:p>
    <w:p>
      <w:pPr>
        <w:pStyle w:val="ListBullet"/>
      </w:pPr>
      <w:r>
        <w:t>Repository structure and adoption rules.</w:t>
      </w:r>
    </w:p>
    <w:p>
      <w:pPr>
        <w:pStyle w:val="ListBullet"/>
      </w:pPr>
      <w:r>
        <w:t>Test ID and metadata standards.</w:t>
      </w:r>
    </w:p>
    <w:p>
      <w:pPr>
        <w:pStyle w:val="ListBullet"/>
      </w:pPr>
      <w:r>
        <w:t>Golden Project manifest and truth-governance templates.</w:t>
      </w:r>
    </w:p>
    <w:p>
      <w:pPr>
        <w:pStyle w:val="ListBullet"/>
      </w:pPr>
      <w:r>
        <w:t>Three executable cross-module Golden Journey specifications.</w:t>
      </w:r>
    </w:p>
    <w:p>
      <w:pPr>
        <w:pStyle w:val="ListBullet"/>
      </w:pPr>
      <w:r>
        <w:t>AI evaluation format with starter adversarial cases.</w:t>
      </w:r>
    </w:p>
    <w:p>
      <w:pPr>
        <w:pStyle w:val="ListBullet"/>
      </w:pPr>
      <w:r>
        <w:t>Integration Hub simulator contract and base failure matrix.</w:t>
      </w:r>
    </w:p>
    <w:p>
      <w:pPr>
        <w:pStyle w:val="ListBullet"/>
      </w:pPr>
      <w:r>
        <w:t>Tenant-isolation P0 security test catalogue.</w:t>
      </w:r>
    </w:p>
    <w:p>
      <w:pPr>
        <w:pStyle w:val="ListBullet"/>
      </w:pPr>
      <w:r>
        <w:t>CI pipeline starter, UI and performance adapters.</w:t>
      </w:r>
    </w:p>
    <w:p>
      <w:pPr>
        <w:pStyle w:val="ListBullet"/>
      </w:pPr>
      <w:r>
        <w:t>Release gates, scorecard and Definition of Done.</w:t>
      </w:r>
    </w:p>
    <w:p>
      <w:pPr>
        <w:pStyle w:val="ListBullet"/>
      </w:pPr>
      <w:r>
        <w:t>First 90-day implementation backlog.</w:t>
      </w:r>
    </w:p>
    <w:p>
      <w:pPr>
        <w:pStyle w:val="Heading1"/>
      </w:pPr>
      <w:r>
        <w:t>3. Recommended Automation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Need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Recommended adapter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Role in QualityLab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Browser E2E / RTL / accessibility smoke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Playwright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 browser journeys, cross-browser checks, device emulation and failure traces.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API/service tests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backend test framework + HTTP suite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 domain tests close to implementation while publishing common evidence.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Consumer/provider contracts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Pact or equivalent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Validate service/connector expectations without requiring the entire integrated environment.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Performance/resilience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CI smoke plus scheduled load, spike, stress and soak workloads.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Application 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OWASP ASVS-aligned verification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 baseline for auth, authorization, input handling, data protection and operations.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Observability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OpenTelemetry-compatible telemetry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Correlate traces, metrics and logs with tests and production behavior.</w:t>
            </w:r>
          </w:p>
        </w:tc>
      </w:tr>
    </w:tbl>
    <w:p/>
    <w:p>
      <w:r>
        <w:t>QualityLab specifications remain framework-neutral. Adapters may change without rewriting Golden Project truth or Golden Journey contracts.</w:t>
      </w:r>
    </w:p>
    <w:p>
      <w:pPr>
        <w:pStyle w:val="Heading1"/>
      </w:pPr>
      <w:r>
        <w:t>4. Mandatory Evidence by Change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Change profile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 evidence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Release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UI-only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Unit/component; critical UI smoke; accessibility smoke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Impacted Golden Journey; browser/RTL matrix if affected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API/business rule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Unit; API; authorization; schema/contract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Module regression; impacted Golden Journey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Deterministic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 vectors; edge cases; oracle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 engine regression; Golden Project reconciliation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AI/model/prompt/index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 validation; focused eval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 AI eval; abstention; citation; injection; tenant; cost/latency delta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Integration/connector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Mapping; contract; retry; idempotency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Simulator failure matrix; reconciliation; replay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Schema/migration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Migration unit; compatibility; rollback 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Source/target reconciliation; rollback/restore; impacted journeys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Identity/security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AuthN/Z; negative security; tenant smoke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 tenant/security suite; security approval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Infrastructure/release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 validation; smoke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Deployment smoke; telemetry; rollback/restore</w:t>
            </w:r>
          </w:p>
        </w:tc>
      </w:tr>
    </w:tbl>
    <w:p/>
    <w:p>
      <w:pPr>
        <w:pStyle w:val="Heading1"/>
      </w:pPr>
      <w:r>
        <w:t>5. Test Identification and Metadata</w:t>
      </w:r>
    </w:p>
    <w:p>
      <w:r>
        <w:t>Stable identifier pattern: QL-{AREA}-{TYPE}-{NNN}. IDs are permanent; retired tests are marked deprecated rather than renumbered.</w:t>
      </w:r>
    </w:p>
    <w:p>
      <w:pPr>
        <w:pStyle w:val="ListBullet"/>
      </w:pPr>
      <w:r>
        <w:t>QL-SCH-UNIT-001 - CPM forward/backward pass vector.</w:t>
      </w:r>
    </w:p>
    <w:p>
      <w:pPr>
        <w:pStyle w:val="ListBullet"/>
      </w:pPr>
      <w:r>
        <w:t>QL-SEC-SEC-004 - Cross-tenant direct object access denial.</w:t>
      </w:r>
    </w:p>
    <w:p>
      <w:pPr>
        <w:pStyle w:val="ListBullet"/>
      </w:pPr>
      <w:r>
        <w:t>QL-AI-AI-012 - Unanswerable contractual question must abstain.</w:t>
      </w:r>
    </w:p>
    <w:p>
      <w:pPr>
        <w:pStyle w:val="ListBullet"/>
      </w:pPr>
      <w:r>
        <w:t>QL-INT-INTG-020 - Duplicate external event is idempotent.</w:t>
      </w:r>
    </w:p>
    <w:p>
      <w:r>
        <w:t>Each test records owner, risk, requirement reference, fixture/Golden Project version, preconditions, assertions/tolerances, evidence location and approved baseline.</w:t>
      </w:r>
    </w:p>
    <w:p>
      <w:pPr>
        <w:pStyle w:val="Heading1"/>
      </w:pPr>
      <w:r>
        <w:t>6. Golden Project Governance</w:t>
      </w:r>
    </w:p>
    <w:p>
      <w:r>
        <w:t>Golden Projects are immutable, versioned construction truth packages. A failed test must not be "fixed" by casually changing expected output.</w:t>
      </w:r>
    </w:p>
    <w:p>
      <w:pPr>
        <w:pStyle w:val="ListNumber"/>
        <w:numPr>
          <w:ilvl w:val="0"/>
          <w:numId w:val="10"/>
        </w:numPr>
      </w:pPr>
      <w:r>
        <w:t>Reason for truth change.</w:t>
      </w:r>
    </w:p>
    <w:p>
      <w:pPr>
        <w:pStyle w:val="ListNumber"/>
        <w:numPr>
          <w:ilvl w:val="0"/>
          <w:numId w:val="10"/>
        </w:numPr>
      </w:pPr>
      <w:r>
        <w:t>Before/after expected value.</w:t>
      </w:r>
    </w:p>
    <w:p>
      <w:pPr>
        <w:pStyle w:val="ListNumber"/>
        <w:numPr>
          <w:ilvl w:val="0"/>
          <w:numId w:val="10"/>
        </w:numPr>
      </w:pPr>
      <w:r>
        <w:t>Affected tests.</w:t>
      </w:r>
    </w:p>
    <w:p>
      <w:pPr>
        <w:pStyle w:val="ListNumber"/>
        <w:numPr>
          <w:ilvl w:val="0"/>
          <w:numId w:val="10"/>
        </w:numPr>
      </w:pPr>
      <w:r>
        <w:t>Domain reviewer.</w:t>
      </w:r>
    </w:p>
    <w:p>
      <w:pPr>
        <w:pStyle w:val="ListNumber"/>
        <w:numPr>
          <w:ilvl w:val="0"/>
          <w:numId w:val="10"/>
        </w:numPr>
      </w:pPr>
      <w:r>
        <w:t>Engineering reviewer.</w:t>
      </w:r>
    </w:p>
    <w:p>
      <w:pPr>
        <w:pStyle w:val="ListNumber"/>
        <w:numPr>
          <w:ilvl w:val="0"/>
          <w:numId w:val="10"/>
        </w:numPr>
      </w:pPr>
      <w:r>
        <w:t>Approved truth version.</w:t>
      </w:r>
    </w:p>
    <w:p>
      <w:pPr>
        <w:pStyle w:val="ListNumber"/>
        <w:numPr>
          <w:ilvl w:val="0"/>
          <w:numId w:val="10"/>
        </w:numPr>
      </w:pPr>
      <w:r>
        <w:t>Changelog entry.</w:t>
      </w:r>
    </w:p>
    <w:p>
      <w:r>
        <w:t>GP-001 Residential Villa Baseline is the first implementation fixture. It is intended to cover tender, drawings, quantities/BOQ, estimate, simple schedule, document/RFI/change flow and AI evidence.</w:t>
      </w:r>
    </w:p>
    <w:p>
      <w:pPr>
        <w:pStyle w:val="Heading1"/>
      </w:pPr>
      <w:r>
        <w:t>7. First Golden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Journey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Blocking invariant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GJ-01 Tender to Live Project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Prove awarded tender conversion without re-entry or relationship loss.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identities, citations, approved BOQ/estimate snapshots and traceability survive conversion.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GJ-02 Drawing Revision Impact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Prove versioning and downstream revision propagation.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 01 is never overwritten; impacts point to exact Rev 02 evidence and require approval.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GJ-03 RFI to Change Order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Prove a scope clarification becomes a controlled commercial/schedule change.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RFI response, quantity, quotation, approval, budget and schedule form one auditable chain.</w:t>
            </w:r>
          </w:p>
        </w:tc>
      </w:tr>
    </w:tbl>
    <w:p/>
    <w:p>
      <w:r>
        <w:t>The machine-readable specifications are included in the ZIP under journeys/.</w:t>
      </w:r>
    </w:p>
    <w:p>
      <w:pPr>
        <w:pStyle w:val="Heading1"/>
      </w:pPr>
      <w:r>
        <w:t>8. AI Evaluation System</w:t>
      </w:r>
    </w:p>
    <w:p>
      <w:r>
        <w:t>AI testing is a release-control system, not a presentation review. Metrics and thresholds are defined by task risk; there is no single global AI accuracy threshold.</w:t>
      </w:r>
    </w:p>
    <w:p>
      <w:pPr>
        <w:pStyle w:val="ListBullet"/>
      </w:pPr>
      <w:r>
        <w:t>Document classification.</w:t>
      </w:r>
    </w:p>
    <w:p>
      <w:pPr>
        <w:pStyle w:val="ListBullet"/>
      </w:pPr>
      <w:r>
        <w:t>Structured extraction.</w:t>
      </w:r>
    </w:p>
    <w:p>
      <w:pPr>
        <w:pStyle w:val="ListBullet"/>
      </w:pPr>
      <w:r>
        <w:t>RAG factuality and answerability.</w:t>
      </w:r>
    </w:p>
    <w:p>
      <w:pPr>
        <w:pStyle w:val="ListBullet"/>
      </w:pPr>
      <w:r>
        <w:t>Citation entailment and completeness.</w:t>
      </w:r>
    </w:p>
    <w:p>
      <w:pPr>
        <w:pStyle w:val="ListBullet"/>
      </w:pPr>
      <w:r>
        <w:t>Hallucination and abstention.</w:t>
      </w:r>
    </w:p>
    <w:p>
      <w:pPr>
        <w:pStyle w:val="ListBullet"/>
      </w:pPr>
      <w:r>
        <w:t>Prompt-injection resistance.</w:t>
      </w:r>
    </w:p>
    <w:p>
      <w:pPr>
        <w:pStyle w:val="ListBullet"/>
      </w:pPr>
      <w:r>
        <w:t>Tenant isolation.</w:t>
      </w:r>
    </w:p>
    <w:p>
      <w:pPr>
        <w:pStyle w:val="ListBullet"/>
      </w:pPr>
      <w:r>
        <w:t>Agent permission, approval and idempotency.</w:t>
      </w:r>
    </w:p>
    <w:p>
      <w:pPr>
        <w:pStyle w:val="ListBullet"/>
      </w:pPr>
      <w:r>
        <w:t>Latency and cost per successful task.</w:t>
      </w:r>
    </w:p>
    <w:p>
      <w:pPr>
        <w:pStyle w:val="ListBullet"/>
      </w:pPr>
      <w:r>
        <w:t>Regression vs last approved production baseline.</w:t>
      </w:r>
    </w:p>
    <w:p>
      <w:r>
        <w:t>P0 AI failures include cross-tenant leakage, unsupported consequential claims, bypassing required approval, or failing a critical construction-truth threshold.</w:t>
      </w:r>
    </w:p>
    <w:p>
      <w:pPr>
        <w:pStyle w:val="Heading1"/>
      </w:pPr>
      <w:r>
        <w:t>9. Integration Hub Simulator</w:t>
      </w:r>
    </w:p>
    <w:p>
      <w:r>
        <w:t>Every enterprise connector should be testable before a customer system is available. The simulator reproduces both normal semantics and failure behavior.</w:t>
      </w:r>
    </w:p>
    <w:p>
      <w:pPr>
        <w:pStyle w:val="ListBullet"/>
      </w:pPr>
      <w:r>
        <w:t>Duplicate and out-of-order events.</w:t>
      </w:r>
    </w:p>
    <w:p>
      <w:pPr>
        <w:pStyle w:val="ListBullet"/>
      </w:pPr>
      <w:r>
        <w:t>Expired tokens and token refresh.</w:t>
      </w:r>
    </w:p>
    <w:p>
      <w:pPr>
        <w:pStyle w:val="ListBullet"/>
      </w:pPr>
      <w:r>
        <w:t>Throttling and retry-after.</w:t>
      </w:r>
    </w:p>
    <w:p>
      <w:pPr>
        <w:pStyle w:val="ListBullet"/>
      </w:pPr>
      <w:r>
        <w:t>Timeout after possible remote commit.</w:t>
      </w:r>
    </w:p>
    <w:p>
      <w:pPr>
        <w:pStyle w:val="ListBullet"/>
      </w:pPr>
      <w:r>
        <w:t>Partial batch failure.</w:t>
      </w:r>
    </w:p>
    <w:p>
      <w:pPr>
        <w:pStyle w:val="ListBullet"/>
      </w:pPr>
      <w:r>
        <w:t>Schema/API drift.</w:t>
      </w:r>
    </w:p>
    <w:p>
      <w:pPr>
        <w:pStyle w:val="ListBullet"/>
      </w:pPr>
      <w:r>
        <w:t>Field ownership conflict.</w:t>
      </w:r>
    </w:p>
    <w:p>
      <w:pPr>
        <w:pStyle w:val="ListBullet"/>
      </w:pPr>
      <w:r>
        <w:t>Replay after outage.</w:t>
      </w:r>
    </w:p>
    <w:p>
      <w:pPr>
        <w:pStyle w:val="ListBullet"/>
      </w:pPr>
      <w:r>
        <w:t>Dead-letter recovery.</w:t>
      </w:r>
    </w:p>
    <w:p>
      <w:pPr>
        <w:pStyle w:val="ListBullet"/>
      </w:pPr>
      <w:r>
        <w:t>Initial snapshot plus concurrent incremental changes.</w:t>
      </w:r>
    </w:p>
    <w:p>
      <w:r>
        <w:t>A successful transport response is not proof of successful integration; every run must reconcile counts, identities and material field values.</w:t>
      </w:r>
    </w:p>
    <w:p>
      <w:pPr>
        <w:pStyle w:val="Heading1"/>
      </w:pPr>
      <w:r>
        <w:t>10. Tenant Isolation Security Gate</w:t>
      </w:r>
    </w:p>
    <w:p>
      <w:r>
        <w:t>Tenant isolation is a P0 release gate across UI, APIs, search, files, caches, jobs, vector/RAG stores, AI context assembly, exports, webhooks and audit logs.</w:t>
      </w:r>
    </w:p>
    <w:p>
      <w:r>
        <w:t>The supplied tenant-isolation catalogue contains twelve starter cases and should be expanded as new storage or execution surfaces are introduced.</w:t>
      </w:r>
    </w:p>
    <w:p>
      <w:pPr>
        <w:pStyle w:val="Heading1"/>
      </w:pPr>
      <w:r>
        <w:t>11. CI/CD Quality Flow</w:t>
      </w:r>
    </w:p>
    <w:p>
      <w:pPr>
        <w:pStyle w:val="Heading2"/>
      </w:pPr>
      <w:r>
        <w:t>Pull request</w:t>
      </w:r>
    </w:p>
    <w:p>
      <w:pPr>
        <w:pStyle w:val="ListNumber"/>
        <w:numPr>
          <w:ilvl w:val="0"/>
          <w:numId w:val="11"/>
        </w:numPr>
      </w:pPr>
      <w:r>
        <w:t>Build/static checks.</w:t>
      </w:r>
    </w:p>
    <w:p>
      <w:pPr>
        <w:pStyle w:val="ListNumber"/>
        <w:numPr>
          <w:ilvl w:val="0"/>
          <w:numId w:val="11"/>
        </w:numPr>
      </w:pPr>
      <w:r>
        <w:t>Unit and deterministic tests.</w:t>
      </w:r>
    </w:p>
    <w:p>
      <w:pPr>
        <w:pStyle w:val="ListNumber"/>
        <w:numPr>
          <w:ilvl w:val="0"/>
          <w:numId w:val="11"/>
        </w:numPr>
      </w:pPr>
      <w:r>
        <w:t>Component/API tests.</w:t>
      </w:r>
    </w:p>
    <w:p>
      <w:pPr>
        <w:pStyle w:val="ListNumber"/>
        <w:numPr>
          <w:ilvl w:val="0"/>
          <w:numId w:val="11"/>
        </w:numPr>
      </w:pPr>
      <w:r>
        <w:t>Authorization and tenant-isolation smoke.</w:t>
      </w:r>
    </w:p>
    <w:p>
      <w:pPr>
        <w:pStyle w:val="ListNumber"/>
        <w:numPr>
          <w:ilvl w:val="0"/>
          <w:numId w:val="11"/>
        </w:numPr>
      </w:pPr>
      <w:r>
        <w:t>Affected contract tests.</w:t>
      </w:r>
    </w:p>
    <w:p>
      <w:pPr>
        <w:pStyle w:val="ListNumber"/>
        <w:numPr>
          <w:ilvl w:val="0"/>
          <w:numId w:val="11"/>
        </w:numPr>
      </w:pPr>
      <w:r>
        <w:t>Focused AI evaluation when applicable.</w:t>
      </w:r>
    </w:p>
    <w:p>
      <w:pPr>
        <w:pStyle w:val="ListNumber"/>
        <w:numPr>
          <w:ilvl w:val="0"/>
          <w:numId w:val="11"/>
        </w:numPr>
      </w:pPr>
      <w:r>
        <w:t>Critical UI smoke when applicable.</w:t>
      </w:r>
    </w:p>
    <w:p>
      <w:pPr>
        <w:pStyle w:val="ListNumber"/>
        <w:numPr>
          <w:ilvl w:val="0"/>
          <w:numId w:val="11"/>
        </w:numPr>
      </w:pPr>
      <w:r>
        <w:t>Publish evidence bundle.</w:t>
      </w:r>
    </w:p>
    <w:p>
      <w:pPr>
        <w:pStyle w:val="Heading2"/>
      </w:pPr>
      <w:r>
        <w:t>Nightly / main</w:t>
      </w:r>
    </w:p>
    <w:p>
      <w:pPr>
        <w:pStyle w:val="ListNumber"/>
        <w:numPr>
          <w:ilvl w:val="0"/>
          <w:numId w:val="12"/>
        </w:numPr>
      </w:pPr>
      <w:r>
        <w:t>Full module regression.</w:t>
      </w:r>
    </w:p>
    <w:p>
      <w:pPr>
        <w:pStyle w:val="ListNumber"/>
        <w:numPr>
          <w:ilvl w:val="0"/>
          <w:numId w:val="12"/>
        </w:numPr>
      </w:pPr>
      <w:r>
        <w:t>Golden Journeys.</w:t>
      </w:r>
    </w:p>
    <w:p>
      <w:pPr>
        <w:pStyle w:val="ListNumber"/>
        <w:numPr>
          <w:ilvl w:val="0"/>
          <w:numId w:val="12"/>
        </w:numPr>
      </w:pPr>
      <w:r>
        <w:t>Golden Project reconciliation.</w:t>
      </w:r>
    </w:p>
    <w:p>
      <w:pPr>
        <w:pStyle w:val="ListNumber"/>
        <w:numPr>
          <w:ilvl w:val="0"/>
          <w:numId w:val="12"/>
        </w:numPr>
      </w:pPr>
      <w:r>
        <w:t>Full AI evaluation.</w:t>
      </w:r>
    </w:p>
    <w:p>
      <w:pPr>
        <w:pStyle w:val="ListNumber"/>
        <w:numPr>
          <w:ilvl w:val="0"/>
          <w:numId w:val="12"/>
        </w:numPr>
      </w:pPr>
      <w:r>
        <w:t>Integration simulator matrix.</w:t>
      </w:r>
    </w:p>
    <w:p>
      <w:pPr>
        <w:pStyle w:val="ListNumber"/>
        <w:numPr>
          <w:ilvl w:val="0"/>
          <w:numId w:val="12"/>
        </w:numPr>
      </w:pPr>
      <w:r>
        <w:t>Security suite.</w:t>
      </w:r>
    </w:p>
    <w:p>
      <w:pPr>
        <w:pStyle w:val="ListNumber"/>
        <w:numPr>
          <w:ilvl w:val="0"/>
          <w:numId w:val="12"/>
        </w:numPr>
      </w:pPr>
      <w:r>
        <w:t>Performance/resilience.</w:t>
      </w:r>
    </w:p>
    <w:p>
      <w:pPr>
        <w:pStyle w:val="ListNumber"/>
        <w:numPr>
          <w:ilvl w:val="0"/>
          <w:numId w:val="12"/>
        </w:numPr>
      </w:pPr>
      <w:r>
        <w:t>RTL/accessibility matrix.</w:t>
      </w:r>
    </w:p>
    <w:p>
      <w:pPr>
        <w:pStyle w:val="ListNumber"/>
        <w:numPr>
          <w:ilvl w:val="0"/>
          <w:numId w:val="12"/>
        </w:numPr>
      </w:pPr>
      <w:r>
        <w:t>Flaky-test and trend analysis.</w:t>
      </w:r>
    </w:p>
    <w:p>
      <w:pPr>
        <w:pStyle w:val="Heading2"/>
      </w:pPr>
      <w:r>
        <w:t>Release candidate</w:t>
      </w:r>
    </w:p>
    <w:p>
      <w:pPr>
        <w:pStyle w:val="ListNumber"/>
        <w:numPr>
          <w:ilvl w:val="0"/>
          <w:numId w:val="13"/>
        </w:numPr>
      </w:pPr>
      <w:r>
        <w:t>Mandatory gates green.</w:t>
      </w:r>
    </w:p>
    <w:p>
      <w:pPr>
        <w:pStyle w:val="ListNumber"/>
        <w:numPr>
          <w:ilvl w:val="0"/>
          <w:numId w:val="13"/>
        </w:numPr>
      </w:pPr>
      <w:r>
        <w:t>High-risk UAT/domain approval.</w:t>
      </w:r>
    </w:p>
    <w:p>
      <w:pPr>
        <w:pStyle w:val="ListNumber"/>
        <w:numPr>
          <w:ilvl w:val="0"/>
          <w:numId w:val="13"/>
        </w:numPr>
      </w:pPr>
      <w:r>
        <w:t>Migration/rollback evidence.</w:t>
      </w:r>
    </w:p>
    <w:p>
      <w:pPr>
        <w:pStyle w:val="ListNumber"/>
        <w:numPr>
          <w:ilvl w:val="0"/>
          <w:numId w:val="13"/>
        </w:numPr>
      </w:pPr>
      <w:r>
        <w:t>Production-like smoke.</w:t>
      </w:r>
    </w:p>
    <w:p>
      <w:pPr>
        <w:pStyle w:val="ListNumber"/>
        <w:numPr>
          <w:ilvl w:val="0"/>
          <w:numId w:val="13"/>
        </w:numPr>
      </w:pPr>
      <w:r>
        <w:t>Release scorecard generated.</w:t>
      </w:r>
    </w:p>
    <w:p>
      <w:pPr>
        <w:pStyle w:val="ListNumber"/>
        <w:numPr>
          <w:ilvl w:val="0"/>
          <w:numId w:val="13"/>
        </w:numPr>
      </w:pPr>
      <w:r>
        <w:t>Accountable release approval.</w:t>
      </w:r>
    </w:p>
    <w:p>
      <w:pPr>
        <w:pStyle w:val="Heading1"/>
      </w:pPr>
      <w:r>
        <w:t>12.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Gate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Policy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 defects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open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 defects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open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 APIs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Impacted Golden Journeys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 isolation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100% pass; zero cross-tenant leakage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integrity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Deterministic engine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unapproved regression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(if applicable)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 safety/security pass; no unapproved material regression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Integration (if applicable)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Simulator + reconciliation 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Migration/rollback (if applicable)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Verified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Performance smoke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Within approved thresholds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Pre-production smoke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Observability/rollback readiness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Present</w:t>
            </w:r>
          </w:p>
        </w:tc>
      </w:tr>
    </w:tbl>
    <w:p/>
    <w:p>
      <w:pPr>
        <w:pStyle w:val="Heading1"/>
      </w:pPr>
      <w:r>
        <w:t>13. Definition of Done</w:t>
      </w:r>
    </w:p>
    <w:p>
      <w:pPr>
        <w:pStyle w:val="Heading2"/>
      </w:pPr>
      <w:r>
        <w:t>Developer</w:t>
      </w:r>
    </w:p>
    <w:p>
      <w:pPr>
        <w:pStyle w:val="ListBullet"/>
      </w:pPr>
      <w:r>
        <w:t>Classify change by QualityLab risk profile.</w:t>
      </w:r>
    </w:p>
    <w:p>
      <w:pPr>
        <w:pStyle w:val="ListBullet"/>
      </w:pPr>
      <w:r>
        <w:t>Test deterministic/business logic and negative paths.</w:t>
      </w:r>
    </w:p>
    <w:p>
      <w:pPr>
        <w:pStyle w:val="ListBullet"/>
      </w:pPr>
      <w:r>
        <w:t>Test authorization at API/service boundary.</w:t>
      </w:r>
    </w:p>
    <w:p>
      <w:pPr>
        <w:pStyle w:val="ListBullet"/>
      </w:pPr>
      <w:r>
        <w:t>Provide migration/rollback evidence when applicable.</w:t>
      </w:r>
    </w:p>
    <w:p>
      <w:pPr>
        <w:pStyle w:val="ListBullet"/>
      </w:pPr>
      <w:r>
        <w:t>Run focused AI evidence when applicable.</w:t>
      </w:r>
    </w:p>
    <w:p>
      <w:pPr>
        <w:pStyle w:val="ListBullet"/>
      </w:pPr>
      <w:r>
        <w:t>Run connector contract/idempotency tests when applicable.</w:t>
      </w:r>
    </w:p>
    <w:p>
      <w:pPr>
        <w:pStyle w:val="ListBullet"/>
      </w:pPr>
      <w:r>
        <w:t>Add diagnostic telemetry.</w:t>
      </w:r>
    </w:p>
    <w:p>
      <w:pPr>
        <w:pStyle w:val="ListBullet"/>
      </w:pPr>
      <w:r>
        <w:t>Pass required gates.</w:t>
      </w:r>
    </w:p>
    <w:p>
      <w:pPr>
        <w:pStyle w:val="Heading2"/>
      </w:pPr>
      <w:r>
        <w:t>Quality Engineering</w:t>
      </w:r>
    </w:p>
    <w:p>
      <w:pPr>
        <w:pStyle w:val="ListBullet"/>
      </w:pPr>
      <w:r>
        <w:t>Review risk coverage, not just test count.</w:t>
      </w:r>
    </w:p>
    <w:p>
      <w:pPr>
        <w:pStyle w:val="ListBullet"/>
      </w:pPr>
      <w:r>
        <w:t>Identify impacted Golden Journeys.</w:t>
      </w:r>
    </w:p>
    <w:p>
      <w:pPr>
        <w:pStyle w:val="ListBullet"/>
      </w:pPr>
      <w:r>
        <w:t>Assert cross-module lineage where data propagates.</w:t>
      </w:r>
    </w:p>
    <w:p>
      <w:pPr>
        <w:pStyle w:val="ListBullet"/>
      </w:pPr>
      <w:r>
        <w:t>Include P0/P1 negative paths.</w:t>
      </w:r>
    </w:p>
    <w:p>
      <w:pPr>
        <w:pStyle w:val="ListBullet"/>
      </w:pPr>
      <w:r>
        <w:t>Assess tenant, RTL and accessibility impact.</w:t>
      </w:r>
    </w:p>
    <w:p>
      <w:pPr>
        <w:pStyle w:val="ListBullet"/>
      </w:pPr>
      <w:r>
        <w:t>Keep evidence reproducible.</w:t>
      </w:r>
    </w:p>
    <w:p>
      <w:pPr>
        <w:pStyle w:val="ListBullet"/>
      </w:pPr>
      <w:r>
        <w:t>Do not mask flakes with unlimited retries.</w:t>
      </w:r>
    </w:p>
    <w:p>
      <w:pPr>
        <w:pStyle w:val="Heading2"/>
      </w:pPr>
      <w:r>
        <w:t>Release</w:t>
      </w:r>
    </w:p>
    <w:p>
      <w:pPr>
        <w:pStyle w:val="ListBullet"/>
      </w:pPr>
      <w:r>
        <w:t>P0/P1 blockers cleared.</w:t>
      </w:r>
    </w:p>
    <w:p>
      <w:pPr>
        <w:pStyle w:val="ListBullet"/>
      </w:pPr>
      <w:r>
        <w:t>Mandatory gates pass.</w:t>
      </w:r>
    </w:p>
    <w:p>
      <w:pPr>
        <w:pStyle w:val="ListBullet"/>
      </w:pPr>
      <w:r>
        <w:t>Impacted journeys pass.</w:t>
      </w:r>
    </w:p>
    <w:p>
      <w:pPr>
        <w:pStyle w:val="ListBullet"/>
      </w:pPr>
      <w:r>
        <w:t>Tenant isolation passes.</w:t>
      </w:r>
    </w:p>
    <w:p>
      <w:pPr>
        <w:pStyle w:val="ListBullet"/>
      </w:pPr>
      <w:r>
        <w:t>AI/integration/migration gates pass where applicable.</w:t>
      </w:r>
    </w:p>
    <w:p>
      <w:pPr>
        <w:pStyle w:val="ListBullet"/>
      </w:pPr>
      <w:r>
        <w:t>Pre-production smoke and rollback readiness confirmed.</w:t>
      </w:r>
    </w:p>
    <w:p>
      <w:pPr>
        <w:pStyle w:val="ListBullet"/>
      </w:pPr>
      <w:r>
        <w:t>Scorecard generated and approved.</w:t>
      </w:r>
    </w:p>
    <w:p>
      <w:pPr>
        <w:pStyle w:val="Heading1"/>
      </w:pPr>
      <w:r>
        <w:t>14. First 90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Period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Primary outcomes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Days 1-30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QualityLab repo; owners; test IDs; PR gates; GP-001 truth pack; GJ-01; tenant-isolation baseline; release scorecard.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Days 31-60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GJ-02/GJ-03; deterministic schedule/cost/quantity vectors; AI eval runner; connector simulator; RTL/accessibility regression.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Days 61-90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Performance budgets; GP-002 start; reconciliation reports; rollback/restore; quality trend dashboard; enforced release scorecards.</w:t>
            </w:r>
          </w:p>
        </w:tc>
      </w:tr>
    </w:tbl>
    <w:p/>
    <w:p>
      <w:pPr>
        <w:pStyle w:val="Heading1"/>
      </w:pPr>
      <w:r>
        <w:t>15. QualityLab v1.0 Adoption Exit Criteria</w:t>
      </w:r>
    </w:p>
    <w:p>
      <w:pPr>
        <w:pStyle w:val="ListBullet"/>
      </w:pPr>
      <w:r>
        <w:t>Every PR is classified by risk profile.</w:t>
      </w:r>
    </w:p>
    <w:p>
      <w:pPr>
        <w:pStyle w:val="ListBullet"/>
      </w:pPr>
      <w:r>
        <w:t>Every P0 product area has automated negative-path coverage.</w:t>
      </w:r>
    </w:p>
    <w:p>
      <w:pPr>
        <w:pStyle w:val="ListBullet"/>
      </w:pPr>
      <w:r>
        <w:t>GJ-01 through GJ-03 run in CI or a controlled nightly environment.</w:t>
      </w:r>
    </w:p>
    <w:p>
      <w:pPr>
        <w:pStyle w:val="ListBullet"/>
      </w:pPr>
      <w:r>
        <w:t>GP-001 truth is domain-approved and versioned.</w:t>
      </w:r>
    </w:p>
    <w:p>
      <w:pPr>
        <w:pStyle w:val="ListBullet"/>
      </w:pPr>
      <w:r>
        <w:t>Tenant isolation blocks releases.</w:t>
      </w:r>
    </w:p>
    <w:p>
      <w:pPr>
        <w:pStyle w:val="ListBullet"/>
      </w:pPr>
      <w:r>
        <w:t>AI changes require evaluation evidence.</w:t>
      </w:r>
    </w:p>
    <w:p>
      <w:pPr>
        <w:pStyle w:val="ListBullet"/>
      </w:pPr>
      <w:r>
        <w:t>Connector changes run against simulator failures.</w:t>
      </w:r>
    </w:p>
    <w:p>
      <w:pPr>
        <w:pStyle w:val="ListBullet"/>
      </w:pPr>
      <w:r>
        <w:t>Release candidates generate a scorecard.</w:t>
      </w:r>
    </w:p>
    <w:p>
      <w:pPr>
        <w:pStyle w:val="ListBullet"/>
      </w:pPr>
      <w:r>
        <w:t>Production deployments produce smoke and telemetry evidence.</w:t>
      </w:r>
    </w:p>
    <w:p>
      <w:pPr>
        <w:pStyle w:val="ListBullet"/>
      </w:pPr>
      <w:r>
        <w:t>Owners can reproduce failed mandatory gates from evidence bundles.</w:t>
      </w:r>
    </w:p>
    <w:p>
      <w:pPr>
        <w:pStyle w:val="Heading1"/>
      </w:pPr>
      <w:r>
        <w:t>16. Repository Package</w:t>
      </w:r>
    </w:p>
    <w:p>
      <w:r>
        <w:t>The accompanying ZIP contains the machine-readable execution assets. The most important files for engineering startup are:</w:t>
      </w:r>
    </w:p>
    <w:p>
      <w:pPr>
        <w:pStyle w:val="ListBullet"/>
      </w:pPr>
      <w:r>
        <w:t>config/release-gates.yaml</w:t>
      </w:r>
    </w:p>
    <w:p>
      <w:pPr>
        <w:pStyle w:val="ListBullet"/>
      </w:pPr>
      <w:r>
        <w:t>config/risk-profiles.yaml</w:t>
      </w:r>
    </w:p>
    <w:p>
      <w:pPr>
        <w:pStyle w:val="ListBullet"/>
      </w:pPr>
      <w:r>
        <w:t>golden-projects/GP-001/manifest.yaml</w:t>
      </w:r>
    </w:p>
    <w:p>
      <w:pPr>
        <w:pStyle w:val="ListBullet"/>
      </w:pPr>
      <w:r>
        <w:t>journeys/GJ-01 through GJ-03</w:t>
      </w:r>
    </w:p>
    <w:p>
      <w:pPr>
        <w:pStyle w:val="ListBullet"/>
      </w:pPr>
      <w:r>
        <w:t>ai-eval/datasets/starter-eval-cases.jsonl</w:t>
      </w:r>
    </w:p>
    <w:p>
      <w:pPr>
        <w:pStyle w:val="ListBullet"/>
      </w:pPr>
      <w:r>
        <w:t>integration-simulator/scenarios/base-failure-scenarios.yaml</w:t>
      </w:r>
    </w:p>
    <w:p>
      <w:pPr>
        <w:pStyle w:val="ListBullet"/>
      </w:pPr>
      <w:r>
        <w:t>security/tenant-isolation-cases.yaml</w:t>
      </w:r>
    </w:p>
    <w:p>
      <w:pPr>
        <w:pStyle w:val="ListBullet"/>
      </w:pPr>
      <w:r>
        <w:t>ci/github-actions/qualitylab.yml</w:t>
      </w:r>
    </w:p>
    <w:p>
      <w:pPr>
        <w:pStyle w:val="ListBullet"/>
      </w:pPr>
      <w:r>
        <w:t>scorecards/RELEASE_SCORECARD_TEMPLATE.md</w:t>
      </w:r>
    </w:p>
    <w:p>
      <w:pPr>
        <w:pStyle w:val="ListBullet"/>
      </w:pPr>
      <w:r>
        <w:t>backlog/FIRST_90_DAYS.md</w:t>
      </w:r>
    </w:p>
    <w:p>
      <w:pPr>
        <w:pStyle w:val="Heading1"/>
      </w:pPr>
      <w:r>
        <w:t>17. References</w:t>
      </w:r>
    </w:p>
    <w:p>
      <w:pPr>
        <w:pStyle w:val="ListBullet"/>
      </w:pPr>
      <w:r>
        <w:t>Playwright - https://playwright.dev/docs/</w:t>
      </w:r>
    </w:p>
    <w:p>
      <w:pPr>
        <w:pStyle w:val="ListBullet"/>
      </w:pPr>
      <w:r>
        <w:t>Pact - https://docs.pact.io/</w:t>
      </w:r>
    </w:p>
    <w:p>
      <w:pPr>
        <w:pStyle w:val="ListBullet"/>
      </w:pPr>
      <w:r>
        <w:t>Grafana k6 - https://grafana.com/docs/k6/latest/</w:t>
      </w:r>
    </w:p>
    <w:p>
      <w:pPr>
        <w:pStyle w:val="ListBullet"/>
      </w:pPr>
      <w:r>
        <w:t>OWASP ASVS - https://owasp.org/www-project-application-security-verification-standard/</w:t>
      </w:r>
    </w:p>
    <w:p>
      <w:pPr>
        <w:pStyle w:val="ListBullet"/>
      </w:pPr>
      <w:r>
        <w:t>OpenTelemetry - https://opentelemetry.io/docs/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Engineering Baseline | 27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Preckon QualityLab v1.0 - Execution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74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7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7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36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