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12" w:lineRule="auto"/>
      </w:pPr>
      <w:r>
        <w:rPr>
          <w:rFonts w:ascii="Consolas" w:hAnsi="Consolas"/>
          <w:b/>
          <w:color w:val="087E75"/>
          <w:sz w:val="16"/>
        </w:rPr>
        <w:t>AI WORKSTREAM  ·  DIVYA  ·  2 SEPTEMBER 2026</w:t>
      </w:r>
    </w:p>
    <w:p>
      <w:pPr>
        <w:spacing w:before="0" w:after="200" w:line="247" w:lineRule="auto"/>
      </w:pPr>
      <w:r>
        <w:rPr>
          <w:rFonts w:ascii="Georgia" w:hAnsi="Georgia"/>
          <w:b/>
          <w:color w:val="172126"/>
          <w:sz w:val="50"/>
        </w:rPr>
        <w:t>AI Workstream — status against the seven items</w:t>
      </w:r>
    </w:p>
    <w:p>
      <w:pPr>
        <w:spacing w:before="0" w:after="240" w:line="312" w:lineRule="auto"/>
      </w:pPr>
      <w:r>
        <w:rPr>
          <w:rFonts w:ascii="Georgia" w:hAnsi="Georgia"/>
          <w:b w:val="0"/>
          <w:color w:val="526068"/>
          <w:sz w:val="22"/>
        </w:rPr>
        <w:t>Where each assigned item actually stands, with the evidence for the claim. Five of the seven were substantially built before this cycle; the useful work was finding which of them were wired and which only looked it. Two were genuinely broken and are now fixed. One is blocked, and the dependency is on the Product workstream rather than this one.</w:t>
      </w:r>
    </w:p>
    <w:p>
      <w:pPr>
        <w:spacing w:before="120" w:after="100" w:line="312" w:lineRule="auto"/>
      </w:pPr>
      <w:r>
        <w:rPr>
          <w:rFonts w:ascii="Calibri" w:hAnsi="Calibri"/>
          <w:b/>
          <w:color w:val="172126"/>
          <w:sz w:val="26"/>
        </w:rPr>
        <w:t>Summary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48"/>
        <w:gridCol w:w="2448"/>
        <w:gridCol w:w="2448"/>
        <w:gridCol w:w="2448"/>
      </w:tblGrid>
      <w:tr>
        <w:tc>
          <w:tcPr>
            <w:tcW w:type="dxa" w:w="432"/>
            <w:shd w:val="clear" w:fill="F0F3F4"/>
          </w:tcPr>
          <w:p>
            <w:r/>
            <w:r>
              <w:rPr>
                <w:rFonts w:ascii="Calibri" w:hAnsi="Calibri"/>
                <w:b/>
                <w:color w:val="667279"/>
                <w:sz w:val="14"/>
              </w:rPr>
              <w:t>#</w:t>
            </w:r>
          </w:p>
        </w:tc>
        <w:tc>
          <w:tcPr>
            <w:tcW w:type="dxa" w:w="3312"/>
            <w:shd w:val="clear" w:fill="F0F3F4"/>
          </w:tcPr>
          <w:p>
            <w:r/>
            <w:r>
              <w:rPr>
                <w:rFonts w:ascii="Calibri" w:hAnsi="Calibri"/>
                <w:b/>
                <w:color w:val="667279"/>
                <w:sz w:val="14"/>
              </w:rPr>
              <w:t>ITEM</w:t>
            </w:r>
          </w:p>
        </w:tc>
        <w:tc>
          <w:tcPr>
            <w:tcW w:type="dxa" w:w="1224"/>
            <w:shd w:val="clear" w:fill="F0F3F4"/>
          </w:tcPr>
          <w:p>
            <w:r/>
            <w:r>
              <w:rPr>
                <w:rFonts w:ascii="Calibri" w:hAnsi="Calibri"/>
                <w:b/>
                <w:color w:val="667279"/>
                <w:sz w:val="14"/>
              </w:rPr>
              <w:t>STATUS</w:t>
            </w:r>
          </w:p>
        </w:tc>
        <w:tc>
          <w:tcPr>
            <w:tcW w:type="dxa" w:w="4536"/>
            <w:shd w:val="clear" w:fill="F0F3F4"/>
          </w:tcPr>
          <w:p>
            <w:r/>
            <w:r>
              <w:rPr>
                <w:rFonts w:ascii="Calibri" w:hAnsi="Calibri"/>
                <w:b/>
                <w:color w:val="667279"/>
                <w:sz w:val="14"/>
              </w:rPr>
              <w:t>ONE-LINE POSITION</w:t>
            </w:r>
          </w:p>
        </w:tc>
      </w:tr>
      <w:tr>
        <w:tc>
          <w:tcPr>
            <w:tcW w:type="dxa" w:w="432"/>
          </w:tcPr>
          <w:p>
            <w:pPr>
              <w:spacing w:line="288" w:lineRule="auto" w:after="20"/>
            </w:pPr>
            <w:r/>
            <w:r>
              <w:rPr>
                <w:rFonts w:ascii="Calibri" w:hAnsi="Calibri"/>
                <w:b/>
                <w:color w:val="172126"/>
                <w:sz w:val="17"/>
              </w:rPr>
              <w:t>1</w:t>
            </w:r>
          </w:p>
        </w:tc>
        <w:tc>
          <w:tcPr>
            <w:tcW w:type="dxa" w:w="3312"/>
          </w:tcPr>
          <w:p>
            <w:pPr>
              <w:spacing w:line="288" w:lineRule="auto" w:after="20"/>
            </w:pPr>
            <w:r/>
            <w:r>
              <w:rPr>
                <w:rFonts w:ascii="Calibri" w:hAnsi="Calibri"/>
                <w:b w:val="0"/>
                <w:color w:val="526068"/>
                <w:sz w:val="17"/>
              </w:rPr>
              <w:t>Inventory every existing AI capability</w:t>
            </w:r>
          </w:p>
        </w:tc>
        <w:tc>
          <w:tcPr>
            <w:tcW w:type="dxa" w:w="1224"/>
            <w:shd w:val="clear" w:fill="E6F3F1"/>
          </w:tcPr>
          <w:p>
            <w:pPr>
              <w:spacing w:line="288" w:lineRule="auto" w:after="20"/>
            </w:pPr>
            <w:r/>
            <w:r>
              <w:rPr>
                <w:rFonts w:ascii="Calibri" w:hAnsi="Calibri"/>
                <w:b/>
                <w:color w:val="087E75"/>
                <w:sz w:val="17"/>
              </w:rPr>
              <w:t>Complete</w:t>
            </w:r>
          </w:p>
        </w:tc>
        <w:tc>
          <w:tcPr>
            <w:tcW w:type="dxa" w:w="4536"/>
          </w:tcPr>
          <w:p>
            <w:pPr>
              <w:spacing w:line="288" w:lineRule="auto" w:after="20"/>
            </w:pPr>
            <w:r/>
            <w:r>
              <w:rPr>
                <w:rFonts w:ascii="Calibri" w:hAnsi="Calibri"/>
                <w:b w:val="0"/>
                <w:color w:val="526068"/>
                <w:sz w:val="17"/>
              </w:rPr>
              <w:t>23 task types, 4 provider call sites, 3 models behind 5 aliases, 10 CAD tools.</w:t>
            </w:r>
          </w:p>
        </w:tc>
      </w:tr>
      <w:tr>
        <w:tc>
          <w:tcPr>
            <w:tcW w:type="dxa" w:w="432"/>
          </w:tcPr>
          <w:p>
            <w:pPr>
              <w:spacing w:line="288" w:lineRule="auto" w:after="20"/>
            </w:pPr>
            <w:r/>
            <w:r>
              <w:rPr>
                <w:rFonts w:ascii="Calibri" w:hAnsi="Calibri"/>
                <w:b/>
                <w:color w:val="172126"/>
                <w:sz w:val="17"/>
              </w:rPr>
              <w:t>2</w:t>
            </w:r>
          </w:p>
        </w:tc>
        <w:tc>
          <w:tcPr>
            <w:tcW w:type="dxa" w:w="3312"/>
          </w:tcPr>
          <w:p>
            <w:pPr>
              <w:spacing w:line="288" w:lineRule="auto" w:after="20"/>
            </w:pPr>
            <w:r/>
            <w:r>
              <w:rPr>
                <w:rFonts w:ascii="Calibri" w:hAnsi="Calibri"/>
                <w:b w:val="0"/>
                <w:color w:val="526068"/>
                <w:sz w:val="17"/>
              </w:rPr>
              <w:t>Define the shared AI service architecture</w:t>
            </w:r>
          </w:p>
        </w:tc>
        <w:tc>
          <w:tcPr>
            <w:tcW w:type="dxa" w:w="1224"/>
            <w:shd w:val="clear" w:fill="E6F3F1"/>
          </w:tcPr>
          <w:p>
            <w:pPr>
              <w:spacing w:line="288" w:lineRule="auto" w:after="20"/>
            </w:pPr>
            <w:r/>
            <w:r>
              <w:rPr>
                <w:rFonts w:ascii="Calibri" w:hAnsi="Calibri"/>
                <w:b/>
                <w:color w:val="087E75"/>
                <w:sz w:val="17"/>
              </w:rPr>
              <w:t>Complete</w:t>
            </w:r>
          </w:p>
        </w:tc>
        <w:tc>
          <w:tcPr>
            <w:tcW w:type="dxa" w:w="4536"/>
          </w:tcPr>
          <w:p>
            <w:pPr>
              <w:spacing w:line="288" w:lineRule="auto" w:after="20"/>
            </w:pPr>
            <w:r/>
            <w:r>
              <w:rPr>
                <w:rFonts w:ascii="Calibri" w:hAnsi="Calibri"/>
                <w:b w:val="0"/>
                <w:color w:val="526068"/>
                <w:sz w:val="17"/>
              </w:rPr>
              <w:t>Already built and enforced: stateless worker, no DB, propose→review→apply.</w:t>
            </w:r>
          </w:p>
        </w:tc>
      </w:tr>
      <w:tr>
        <w:tc>
          <w:tcPr>
            <w:tcW w:type="dxa" w:w="432"/>
          </w:tcPr>
          <w:p>
            <w:pPr>
              <w:spacing w:line="288" w:lineRule="auto" w:after="20"/>
            </w:pPr>
            <w:r/>
            <w:r>
              <w:rPr>
                <w:rFonts w:ascii="Calibri" w:hAnsi="Calibri"/>
                <w:b/>
                <w:color w:val="172126"/>
                <w:sz w:val="17"/>
              </w:rPr>
              <w:t>3</w:t>
            </w:r>
          </w:p>
        </w:tc>
        <w:tc>
          <w:tcPr>
            <w:tcW w:type="dxa" w:w="3312"/>
          </w:tcPr>
          <w:p>
            <w:pPr>
              <w:spacing w:line="288" w:lineRule="auto" w:after="20"/>
            </w:pPr>
            <w:r/>
            <w:r>
              <w:rPr>
                <w:rFonts w:ascii="Calibri" w:hAnsi="Calibri"/>
                <w:b w:val="0"/>
                <w:color w:val="526068"/>
                <w:sz w:val="17"/>
              </w:rPr>
              <w:t>Model-routing and fallback approach</w:t>
            </w:r>
          </w:p>
        </w:tc>
        <w:tc>
          <w:tcPr>
            <w:tcW w:type="dxa" w:w="1224"/>
            <w:shd w:val="clear" w:fill="FBF0E0"/>
          </w:tcPr>
          <w:p>
            <w:pPr>
              <w:spacing w:line="288" w:lineRule="auto" w:after="20"/>
            </w:pPr>
            <w:r/>
            <w:r>
              <w:rPr>
                <w:rFonts w:ascii="Calibri" w:hAnsi="Calibri"/>
                <w:b/>
                <w:color w:val="A56000"/>
                <w:sz w:val="17"/>
              </w:rPr>
              <w:t>Partial</w:t>
            </w:r>
          </w:p>
        </w:tc>
        <w:tc>
          <w:tcPr>
            <w:tcW w:type="dxa" w:w="4536"/>
          </w:tcPr>
          <w:p>
            <w:pPr>
              <w:spacing w:line="288" w:lineRule="auto" w:after="20"/>
            </w:pPr>
            <w:r/>
            <w:r>
              <w:rPr>
                <w:rFonts w:ascii="Calibri" w:hAnsi="Calibri"/>
                <w:b w:val="0"/>
                <w:color w:val="526068"/>
                <w:sz w:val="17"/>
              </w:rPr>
              <w:t>Routing complete and working. Fallback is retry-only — no tier re-route on refusal.</w:t>
            </w:r>
          </w:p>
        </w:tc>
      </w:tr>
      <w:tr>
        <w:tc>
          <w:tcPr>
            <w:tcW w:type="dxa" w:w="432"/>
          </w:tcPr>
          <w:p>
            <w:pPr>
              <w:spacing w:line="288" w:lineRule="auto" w:after="20"/>
            </w:pPr>
            <w:r/>
            <w:r>
              <w:rPr>
                <w:rFonts w:ascii="Calibri" w:hAnsi="Calibri"/>
                <w:b/>
                <w:color w:val="172126"/>
                <w:sz w:val="17"/>
              </w:rPr>
              <w:t>4</w:t>
            </w:r>
          </w:p>
        </w:tc>
        <w:tc>
          <w:tcPr>
            <w:tcW w:type="dxa" w:w="3312"/>
          </w:tcPr>
          <w:p>
            <w:pPr>
              <w:spacing w:line="288" w:lineRule="auto" w:after="20"/>
            </w:pPr>
            <w:r/>
            <w:r>
              <w:rPr>
                <w:rFonts w:ascii="Calibri" w:hAnsi="Calibri"/>
                <w:b w:val="0"/>
                <w:color w:val="526068"/>
                <w:sz w:val="17"/>
              </w:rPr>
              <w:t>Establish the prompt registry</w:t>
            </w:r>
          </w:p>
        </w:tc>
        <w:tc>
          <w:tcPr>
            <w:tcW w:type="dxa" w:w="1224"/>
            <w:shd w:val="clear" w:fill="E6F3F1"/>
          </w:tcPr>
          <w:p>
            <w:pPr>
              <w:spacing w:line="288" w:lineRule="auto" w:after="20"/>
            </w:pPr>
            <w:r/>
            <w:r>
              <w:rPr>
                <w:rFonts w:ascii="Calibri" w:hAnsi="Calibri"/>
                <w:b/>
                <w:color w:val="087E75"/>
                <w:sz w:val="17"/>
              </w:rPr>
              <w:t>Complete</w:t>
            </w:r>
          </w:p>
        </w:tc>
        <w:tc>
          <w:tcPr>
            <w:tcW w:type="dxa" w:w="4536"/>
          </w:tcPr>
          <w:p>
            <w:pPr>
              <w:spacing w:line="288" w:lineRule="auto" w:after="20"/>
            </w:pPr>
            <w:r/>
            <w:r>
              <w:rPr>
                <w:rFonts w:ascii="Calibri" w:hAnsi="Calibri"/>
                <w:b w:val="0"/>
                <w:color w:val="526068"/>
                <w:sz w:val="17"/>
              </w:rPr>
              <w:t>Wired end to end: 24 versions, 372 of 372 ledger rows carry a prompt reference.</w:t>
            </w:r>
          </w:p>
        </w:tc>
      </w:tr>
      <w:tr>
        <w:tc>
          <w:tcPr>
            <w:tcW w:type="dxa" w:w="432"/>
          </w:tcPr>
          <w:p>
            <w:pPr>
              <w:spacing w:line="288" w:lineRule="auto" w:after="20"/>
            </w:pPr>
            <w:r/>
            <w:r>
              <w:rPr>
                <w:rFonts w:ascii="Calibri" w:hAnsi="Calibri"/>
                <w:b/>
                <w:color w:val="172126"/>
                <w:sz w:val="17"/>
              </w:rPr>
              <w:t>5</w:t>
            </w:r>
          </w:p>
        </w:tc>
        <w:tc>
          <w:tcPr>
            <w:tcW w:type="dxa" w:w="3312"/>
          </w:tcPr>
          <w:p>
            <w:pPr>
              <w:spacing w:line="288" w:lineRule="auto" w:after="20"/>
            </w:pPr>
            <w:r/>
            <w:r>
              <w:rPr>
                <w:rFonts w:ascii="Calibri" w:hAnsi="Calibri"/>
                <w:b w:val="0"/>
                <w:color w:val="526068"/>
                <w:sz w:val="17"/>
              </w:rPr>
              <w:t>Finalize RAG and context architecture</w:t>
            </w:r>
          </w:p>
        </w:tc>
        <w:tc>
          <w:tcPr>
            <w:tcW w:type="dxa" w:w="1224"/>
            <w:shd w:val="clear" w:fill="E6F3F1"/>
          </w:tcPr>
          <w:p>
            <w:pPr>
              <w:spacing w:line="288" w:lineRule="auto" w:after="20"/>
            </w:pPr>
            <w:r/>
            <w:r>
              <w:rPr>
                <w:rFonts w:ascii="Calibri" w:hAnsi="Calibri"/>
                <w:b/>
                <w:color w:val="087E75"/>
                <w:sz w:val="17"/>
              </w:rPr>
              <w:t>Complete</w:t>
            </w:r>
          </w:p>
        </w:tc>
        <w:tc>
          <w:tcPr>
            <w:tcW w:type="dxa" w:w="4536"/>
          </w:tcPr>
          <w:p>
            <w:pPr>
              <w:spacing w:line="288" w:lineRule="auto" w:after="20"/>
            </w:pPr>
            <w:r/>
            <w:r>
              <w:rPr>
                <w:rFonts w:ascii="Calibri" w:hAnsi="Calibri"/>
                <w:b w:val="0"/>
                <w:color w:val="526068"/>
                <w:sz w:val="17"/>
              </w:rPr>
              <w:t>Was written and never called. Now connected on both paths and backfilled.</w:t>
            </w:r>
          </w:p>
        </w:tc>
      </w:tr>
      <w:tr>
        <w:tc>
          <w:tcPr>
            <w:tcW w:type="dxa" w:w="432"/>
          </w:tcPr>
          <w:p>
            <w:pPr>
              <w:spacing w:line="288" w:lineRule="auto" w:after="20"/>
            </w:pPr>
            <w:r/>
            <w:r>
              <w:rPr>
                <w:rFonts w:ascii="Calibri" w:hAnsi="Calibri"/>
                <w:b/>
                <w:color w:val="172126"/>
                <w:sz w:val="17"/>
              </w:rPr>
              <w:t>6</w:t>
            </w:r>
          </w:p>
        </w:tc>
        <w:tc>
          <w:tcPr>
            <w:tcW w:type="dxa" w:w="3312"/>
          </w:tcPr>
          <w:p>
            <w:pPr>
              <w:spacing w:line="288" w:lineRule="auto" w:after="20"/>
            </w:pPr>
            <w:r/>
            <w:r>
              <w:rPr>
                <w:rFonts w:ascii="Calibri" w:hAnsi="Calibri"/>
                <w:b w:val="0"/>
                <w:color w:val="526068"/>
                <w:sz w:val="17"/>
              </w:rPr>
              <w:t>AI usage, token and cost tracking</w:t>
            </w:r>
          </w:p>
        </w:tc>
        <w:tc>
          <w:tcPr>
            <w:tcW w:type="dxa" w:w="1224"/>
            <w:shd w:val="clear" w:fill="E6F3F1"/>
          </w:tcPr>
          <w:p>
            <w:pPr>
              <w:spacing w:line="288" w:lineRule="auto" w:after="20"/>
            </w:pPr>
            <w:r/>
            <w:r>
              <w:rPr>
                <w:rFonts w:ascii="Calibri" w:hAnsi="Calibri"/>
                <w:b/>
                <w:color w:val="087E75"/>
                <w:sz w:val="17"/>
              </w:rPr>
              <w:t>Complete</w:t>
            </w:r>
          </w:p>
        </w:tc>
        <w:tc>
          <w:tcPr>
            <w:tcW w:type="dxa" w:w="4536"/>
          </w:tcPr>
          <w:p>
            <w:pPr>
              <w:spacing w:line="288" w:lineRule="auto" w:after="20"/>
            </w:pPr>
            <w:r/>
            <w:r>
              <w:rPr>
                <w:rFonts w:ascii="Calibri" w:hAnsi="Calibri"/>
                <w:b w:val="0"/>
                <w:color w:val="526068"/>
                <w:sz w:val="17"/>
              </w:rPr>
              <w:t>Was reporting a literal. Now measured, including the assistant traffic it never saw.</w:t>
            </w:r>
          </w:p>
        </w:tc>
      </w:tr>
      <w:tr>
        <w:tc>
          <w:tcPr>
            <w:tcW w:type="dxa" w:w="432"/>
          </w:tcPr>
          <w:p>
            <w:pPr>
              <w:spacing w:line="288" w:lineRule="auto" w:after="20"/>
            </w:pPr>
            <w:r/>
            <w:r>
              <w:rPr>
                <w:rFonts w:ascii="Calibri" w:hAnsi="Calibri"/>
                <w:b/>
                <w:color w:val="172126"/>
                <w:sz w:val="17"/>
              </w:rPr>
              <w:t>7</w:t>
            </w:r>
          </w:p>
        </w:tc>
        <w:tc>
          <w:tcPr>
            <w:tcW w:type="dxa" w:w="3312"/>
          </w:tcPr>
          <w:p>
            <w:pPr>
              <w:spacing w:line="288" w:lineRule="auto" w:after="20"/>
            </w:pPr>
            <w:r/>
            <w:r>
              <w:rPr>
                <w:rFonts w:ascii="Calibri" w:hAnsi="Calibri"/>
                <w:b w:val="0"/>
                <w:color w:val="526068"/>
                <w:sz w:val="17"/>
              </w:rPr>
              <w:t>Establish the AI evaluation framework</w:t>
            </w:r>
          </w:p>
        </w:tc>
        <w:tc>
          <w:tcPr>
            <w:tcW w:type="dxa" w:w="1224"/>
            <w:shd w:val="clear" w:fill="FBF0E0"/>
          </w:tcPr>
          <w:p>
            <w:pPr>
              <w:spacing w:line="288" w:lineRule="auto" w:after="20"/>
            </w:pPr>
            <w:r/>
            <w:r>
              <w:rPr>
                <w:rFonts w:ascii="Calibri" w:hAnsi="Calibri"/>
                <w:b/>
                <w:color w:val="A56000"/>
                <w:sz w:val="17"/>
              </w:rPr>
              <w:t>Partial</w:t>
            </w:r>
          </w:p>
        </w:tc>
        <w:tc>
          <w:tcPr>
            <w:tcW w:type="dxa" w:w="4536"/>
          </w:tcPr>
          <w:p>
            <w:pPr>
              <w:spacing w:line="288" w:lineRule="auto" w:after="20"/>
            </w:pPr>
            <w:r/>
            <w:r>
              <w:rPr>
                <w:rFonts w:ascii="Calibri" w:hAnsi="Calibri"/>
                <w:b w:val="0"/>
                <w:color w:val="526068"/>
                <w:sz w:val="17"/>
              </w:rPr>
              <w:t>Deterministic half built and gating CI. Extraction accuracy blocked on a golden project.</w:t>
            </w:r>
          </w:p>
        </w:tc>
      </w:tr>
    </w:tbl>
    <w:p>
      <w:pPr>
        <w:spacing w:after="60"/>
      </w:pPr>
    </w:p>
    <w:p>
      <w:pPr>
        <w:spacing w:before="80" w:after="160" w:line="312" w:lineRule="auto"/>
      </w:pPr>
      <w:r>
        <w:rPr>
          <w:rFonts w:ascii="Georgia" w:hAnsi="Georgia"/>
          <w:b w:val="0"/>
          <w:color w:val="667279"/>
          <w:sz w:val="19"/>
        </w:rPr>
        <w:t>Two of these carry a caveat worth reading before the detail: item 3's fallback gap is a specification requirement that is not met, and item 7 is blocked on a deliverable owned by the Product workstream, not by this one.</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4896"/>
        <w:gridCol w:w="4896"/>
      </w:tblGrid>
      <w:tr>
        <w:tc>
          <w:tcPr>
            <w:tcW w:type="dxa" w:w="7488"/>
          </w:tcPr>
          <w:p>
            <w:r/>
            <w:r>
              <w:rPr>
                <w:rFonts w:ascii="Consolas" w:hAnsi="Consolas"/>
                <w:b/>
                <w:color w:val="087E75"/>
                <w:sz w:val="15"/>
              </w:rPr>
              <w:t>ITEM 1</w:t>
            </w:r>
          </w:p>
          <w:p>
            <w:pPr>
              <w:spacing w:before="40"/>
            </w:pPr>
            <w:r>
              <w:rPr>
                <w:rFonts w:ascii="Georgia" w:hAnsi="Georgia"/>
                <w:b/>
                <w:color w:val="172126"/>
                <w:sz w:val="32"/>
              </w:rPr>
              <w:t>Inventory every existing AI capability</w:t>
            </w:r>
          </w:p>
        </w:tc>
        <w:tc>
          <w:tcPr>
            <w:tcW w:type="dxa" w:w="2016"/>
            <w:shd w:val="clear" w:fill="E6F3F1"/>
          </w:tcPr>
          <w:p>
            <w:pPr>
              <w:jc w:val="right"/>
            </w:pPr>
            <w:r/>
            <w:r>
              <w:rPr>
                <w:rFonts w:ascii="Calibri" w:hAnsi="Calibri"/>
                <w:b/>
                <w:color w:val="087E75"/>
                <w:sz w:val="20"/>
              </w:rPr>
              <w:t>COMPLETE</w:t>
            </w:r>
          </w:p>
        </w:tc>
      </w:tr>
    </w:tbl>
    <w:p>
      <w:pPr>
        <w:spacing w:after="80"/>
      </w:pPr>
    </w:p>
    <w:p>
      <w:pPr>
        <w:spacing w:before="220" w:after="80" w:line="312" w:lineRule="auto"/>
      </w:pPr>
      <w:r>
        <w:rPr>
          <w:rFonts w:ascii="Calibri" w:hAnsi="Calibri"/>
          <w:b/>
          <w:color w:val="087E75"/>
          <w:sz w:val="21"/>
        </w:rPr>
        <w:t>What exists</w:t>
      </w:r>
    </w:p>
    <w:p>
      <w:pPr>
        <w:spacing w:before="0" w:after="160" w:line="312" w:lineRule="auto"/>
      </w:pPr>
      <w:r>
        <w:rPr>
          <w:rFonts w:ascii="Georgia" w:hAnsi="Georgia"/>
          <w:b w:val="0"/>
          <w:color w:val="526068"/>
          <w:sz w:val="20"/>
        </w:rPr>
        <w:t>A complete inventory now exists and is published. Every place the platform can spend the provider key is enumerated and held by a test as a closed list — a fifth call site fails CI until somebody decides how its usage reaches the ledger.</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64"/>
        <w:gridCol w:w="3264"/>
        <w:gridCol w:w="3264"/>
      </w:tblGrid>
      <w:tr>
        <w:tc>
          <w:tcPr>
            <w:tcW w:type="dxa" w:w="2016"/>
            <w:shd w:val="clear" w:fill="F0F3F4"/>
          </w:tcPr>
          <w:p>
            <w:r/>
            <w:r>
              <w:rPr>
                <w:rFonts w:ascii="Calibri" w:hAnsi="Calibri"/>
                <w:b/>
                <w:color w:val="667279"/>
                <w:sz w:val="14"/>
              </w:rPr>
              <w:t>DIMENSION</w:t>
            </w:r>
          </w:p>
        </w:tc>
        <w:tc>
          <w:tcPr>
            <w:tcW w:type="dxa" w:w="792"/>
            <w:shd w:val="clear" w:fill="F0F3F4"/>
          </w:tcPr>
          <w:p>
            <w:r/>
            <w:r>
              <w:rPr>
                <w:rFonts w:ascii="Calibri" w:hAnsi="Calibri"/>
                <w:b/>
                <w:color w:val="667279"/>
                <w:sz w:val="14"/>
              </w:rPr>
              <w:t>COUNT</w:t>
            </w:r>
          </w:p>
        </w:tc>
        <w:tc>
          <w:tcPr>
            <w:tcW w:type="dxa" w:w="6696"/>
            <w:shd w:val="clear" w:fill="F0F3F4"/>
          </w:tcPr>
          <w:p>
            <w:r/>
            <w:r>
              <w:rPr>
                <w:rFonts w:ascii="Calibri" w:hAnsi="Calibri"/>
                <w:b/>
                <w:color w:val="667279"/>
                <w:sz w:val="14"/>
              </w:rPr>
              <w:t>DETAIL</w:t>
            </w:r>
          </w:p>
        </w:tc>
      </w:tr>
      <w:tr>
        <w:tc>
          <w:tcPr>
            <w:tcW w:type="dxa" w:w="2016"/>
          </w:tcPr>
          <w:p>
            <w:pPr>
              <w:spacing w:line="288" w:lineRule="auto" w:after="20"/>
            </w:pPr>
            <w:r/>
            <w:r>
              <w:rPr>
                <w:rFonts w:ascii="Calibri" w:hAnsi="Calibri"/>
                <w:b/>
                <w:color w:val="172126"/>
                <w:sz w:val="17"/>
              </w:rPr>
              <w:t>Agent task types</w:t>
            </w:r>
          </w:p>
        </w:tc>
        <w:tc>
          <w:tcPr>
            <w:tcW w:type="dxa" w:w="792"/>
          </w:tcPr>
          <w:p>
            <w:pPr>
              <w:spacing w:line="288" w:lineRule="auto" w:after="20"/>
            </w:pPr>
            <w:r/>
            <w:r>
              <w:rPr>
                <w:rFonts w:ascii="Calibri" w:hAnsi="Calibri"/>
                <w:b w:val="0"/>
                <w:color w:val="526068"/>
                <w:sz w:val="17"/>
              </w:rPr>
              <w:t>23</w:t>
            </w:r>
          </w:p>
        </w:tc>
        <w:tc>
          <w:tcPr>
            <w:tcW w:type="dxa" w:w="6696"/>
          </w:tcPr>
          <w:p>
            <w:pPr>
              <w:spacing w:line="288" w:lineRule="auto" w:after="20"/>
            </w:pPr>
            <w:r/>
            <w:r>
              <w:rPr>
                <w:rFonts w:ascii="Calibri" w:hAnsi="Calibri"/>
                <w:b w:val="0"/>
                <w:color w:val="526068"/>
                <w:sz w:val="17"/>
              </w:rPr>
              <w:t>16 worker agents producing artifacts, 1 service, 3 supervisors (respond + review_run each).</w:t>
            </w:r>
          </w:p>
        </w:tc>
      </w:tr>
      <w:tr>
        <w:tc>
          <w:tcPr>
            <w:tcW w:type="dxa" w:w="2016"/>
          </w:tcPr>
          <w:p>
            <w:pPr>
              <w:spacing w:line="288" w:lineRule="auto" w:after="20"/>
            </w:pPr>
            <w:r/>
            <w:r>
              <w:rPr>
                <w:rFonts w:ascii="Calibri" w:hAnsi="Calibri"/>
                <w:b/>
                <w:color w:val="172126"/>
                <w:sz w:val="17"/>
              </w:rPr>
              <w:t>Provider call sites</w:t>
            </w:r>
          </w:p>
        </w:tc>
        <w:tc>
          <w:tcPr>
            <w:tcW w:type="dxa" w:w="792"/>
          </w:tcPr>
          <w:p>
            <w:pPr>
              <w:spacing w:line="288" w:lineRule="auto" w:after="20"/>
            </w:pPr>
            <w:r/>
            <w:r>
              <w:rPr>
                <w:rFonts w:ascii="Calibri" w:hAnsi="Calibri"/>
                <w:b w:val="0"/>
                <w:color w:val="526068"/>
                <w:sz w:val="17"/>
              </w:rPr>
              <w:t>4</w:t>
            </w:r>
          </w:p>
        </w:tc>
        <w:tc>
          <w:tcPr>
            <w:tcW w:type="dxa" w:w="6696"/>
          </w:tcPr>
          <w:p>
            <w:pPr>
              <w:spacing w:line="288" w:lineRule="auto" w:after="20"/>
            </w:pPr>
            <w:r/>
            <w:r>
              <w:rPr>
                <w:rFonts w:ascii="Calibri" w:hAnsi="Calibri"/>
                <w:b w:val="0"/>
                <w:color w:val="526068"/>
                <w:sz w:val="17"/>
              </w:rPr>
              <w:t>agents.mjs, agentic-loop.mjs, vision.mjs, and the /claude proxy in server.mjs.</w:t>
            </w:r>
          </w:p>
        </w:tc>
      </w:tr>
      <w:tr>
        <w:tc>
          <w:tcPr>
            <w:tcW w:type="dxa" w:w="2016"/>
          </w:tcPr>
          <w:p>
            <w:pPr>
              <w:spacing w:line="288" w:lineRule="auto" w:after="20"/>
            </w:pPr>
            <w:r/>
            <w:r>
              <w:rPr>
                <w:rFonts w:ascii="Calibri" w:hAnsi="Calibri"/>
                <w:b/>
                <w:color w:val="172126"/>
                <w:sz w:val="17"/>
              </w:rPr>
              <w:t>Models</w:t>
            </w:r>
          </w:p>
        </w:tc>
        <w:tc>
          <w:tcPr>
            <w:tcW w:type="dxa" w:w="792"/>
          </w:tcPr>
          <w:p>
            <w:pPr>
              <w:spacing w:line="288" w:lineRule="auto" w:after="20"/>
            </w:pPr>
            <w:r/>
            <w:r>
              <w:rPr>
                <w:rFonts w:ascii="Calibri" w:hAnsi="Calibri"/>
                <w:b w:val="0"/>
                <w:color w:val="526068"/>
                <w:sz w:val="17"/>
              </w:rPr>
              <w:t>3</w:t>
            </w:r>
          </w:p>
        </w:tc>
        <w:tc>
          <w:tcPr>
            <w:tcW w:type="dxa" w:w="6696"/>
          </w:tcPr>
          <w:p>
            <w:pPr>
              <w:spacing w:line="288" w:lineRule="auto" w:after="20"/>
            </w:pPr>
            <w:r/>
            <w:r>
              <w:rPr>
                <w:rFonts w:ascii="Calibri" w:hAnsi="Calibri"/>
                <w:b w:val="0"/>
                <w:color w:val="526068"/>
                <w:sz w:val="17"/>
              </w:rPr>
              <w:t>claude-haiku-4-5, claude-sonnet-5, claude-opus-4-8.</w:t>
            </w:r>
          </w:p>
        </w:tc>
      </w:tr>
      <w:tr>
        <w:tc>
          <w:tcPr>
            <w:tcW w:type="dxa" w:w="2016"/>
          </w:tcPr>
          <w:p>
            <w:pPr>
              <w:spacing w:line="288" w:lineRule="auto" w:after="20"/>
            </w:pPr>
            <w:r/>
            <w:r>
              <w:rPr>
                <w:rFonts w:ascii="Calibri" w:hAnsi="Calibri"/>
                <w:b/>
                <w:color w:val="172126"/>
                <w:sz w:val="17"/>
              </w:rPr>
              <w:t>Aliases</w:t>
            </w:r>
          </w:p>
        </w:tc>
        <w:tc>
          <w:tcPr>
            <w:tcW w:type="dxa" w:w="792"/>
          </w:tcPr>
          <w:p>
            <w:pPr>
              <w:spacing w:line="288" w:lineRule="auto" w:after="20"/>
            </w:pPr>
            <w:r/>
            <w:r>
              <w:rPr>
                <w:rFonts w:ascii="Calibri" w:hAnsi="Calibri"/>
                <w:b w:val="0"/>
                <w:color w:val="526068"/>
                <w:sz w:val="17"/>
              </w:rPr>
              <w:t>5</w:t>
            </w:r>
          </w:p>
        </w:tc>
        <w:tc>
          <w:tcPr>
            <w:tcW w:type="dxa" w:w="6696"/>
          </w:tcPr>
          <w:p>
            <w:pPr>
              <w:spacing w:line="288" w:lineRule="auto" w:after="20"/>
            </w:pPr>
            <w:r/>
            <w:r>
              <w:rPr>
                <w:rFonts w:ascii="Calibri" w:hAnsi="Calibri"/>
                <w:b w:val="0"/>
                <w:color w:val="526068"/>
                <w:sz w:val="17"/>
              </w:rPr>
              <w:t>preckon-small, preckon-reasoning, preckon-multimodal, frontier-reasoning, frontier-multimodal.</w:t>
            </w:r>
          </w:p>
        </w:tc>
      </w:tr>
      <w:tr>
        <w:tc>
          <w:tcPr>
            <w:tcW w:type="dxa" w:w="2016"/>
          </w:tcPr>
          <w:p>
            <w:pPr>
              <w:spacing w:line="288" w:lineRule="auto" w:after="20"/>
            </w:pPr>
            <w:r/>
            <w:r>
              <w:rPr>
                <w:rFonts w:ascii="Calibri" w:hAnsi="Calibri"/>
                <w:b/>
                <w:color w:val="172126"/>
                <w:sz w:val="17"/>
              </w:rPr>
              <w:t>CAD tools</w:t>
            </w:r>
          </w:p>
        </w:tc>
        <w:tc>
          <w:tcPr>
            <w:tcW w:type="dxa" w:w="792"/>
          </w:tcPr>
          <w:p>
            <w:pPr>
              <w:spacing w:line="288" w:lineRule="auto" w:after="20"/>
            </w:pPr>
            <w:r/>
            <w:r>
              <w:rPr>
                <w:rFonts w:ascii="Calibri" w:hAnsi="Calibri"/>
                <w:b w:val="0"/>
                <w:color w:val="526068"/>
                <w:sz w:val="17"/>
              </w:rPr>
              <w:t>10</w:t>
            </w:r>
          </w:p>
        </w:tc>
        <w:tc>
          <w:tcPr>
            <w:tcW w:type="dxa" w:w="6696"/>
          </w:tcPr>
          <w:p>
            <w:pPr>
              <w:spacing w:line="288" w:lineRule="auto" w:after="20"/>
            </w:pPr>
            <w:r/>
            <w:r>
              <w:rPr>
                <w:rFonts w:ascii="Calibri" w:hAnsi="Calibri"/>
                <w:b w:val="0"/>
                <w:color w:val="526068"/>
                <w:sz w:val="17"/>
              </w:rPr>
              <w:t>All read-only. A model can measure and count; it cannot draw.</w:t>
            </w:r>
          </w:p>
        </w:tc>
      </w:tr>
      <w:tr>
        <w:tc>
          <w:tcPr>
            <w:tcW w:type="dxa" w:w="2016"/>
          </w:tcPr>
          <w:p>
            <w:pPr>
              <w:spacing w:line="288" w:lineRule="auto" w:after="20"/>
            </w:pPr>
            <w:r/>
            <w:r>
              <w:rPr>
                <w:rFonts w:ascii="Calibri" w:hAnsi="Calibri"/>
                <w:b/>
                <w:color w:val="172126"/>
                <w:sz w:val="17"/>
              </w:rPr>
              <w:t>Workflows</w:t>
            </w:r>
          </w:p>
        </w:tc>
        <w:tc>
          <w:tcPr>
            <w:tcW w:type="dxa" w:w="792"/>
          </w:tcPr>
          <w:p>
            <w:pPr>
              <w:spacing w:line="288" w:lineRule="auto" w:after="20"/>
            </w:pPr>
            <w:r/>
            <w:r>
              <w:rPr>
                <w:rFonts w:ascii="Calibri" w:hAnsi="Calibri"/>
                <w:b w:val="0"/>
                <w:color w:val="526068"/>
                <w:sz w:val="17"/>
              </w:rPr>
              <w:t>12</w:t>
            </w:r>
          </w:p>
        </w:tc>
        <w:tc>
          <w:tcPr>
            <w:tcW w:type="dxa" w:w="6696"/>
          </w:tcPr>
          <w:p>
            <w:pPr>
              <w:spacing w:line="288" w:lineRule="auto" w:after="20"/>
            </w:pPr>
            <w:r/>
            <w:r>
              <w:rPr>
                <w:rFonts w:ascii="Calibri" w:hAnsi="Calibri"/>
                <w:b w:val="0"/>
                <w:color w:val="526068"/>
                <w:sz w:val="17"/>
              </w:rPr>
              <w:t>Across 7 module keys.</w:t>
            </w:r>
          </w:p>
        </w:tc>
      </w:tr>
    </w:tbl>
    <w:p>
      <w:pPr>
        <w:spacing w:after="60"/>
      </w:pPr>
    </w:p>
    <w:p>
      <w:pPr>
        <w:spacing w:before="220" w:after="80" w:line="312" w:lineRule="auto"/>
      </w:pPr>
      <w:r>
        <w:rPr>
          <w:rFonts w:ascii="Calibri" w:hAnsi="Calibri"/>
          <w:b/>
          <w:color w:val="087E75"/>
          <w:sz w:val="21"/>
        </w:rPr>
        <w:t>What this cycle added</w:t>
      </w:r>
    </w:p>
    <w:p>
      <w:pPr>
        <w:pStyle w:val="ListBullet"/>
        <w:spacing w:after="60" w:line="302" w:lineRule="auto"/>
        <w:ind w:left="360"/>
      </w:pPr>
      <w:r>
        <w:rPr>
          <w:rFonts w:ascii="Calibri" w:hAnsi="Calibri"/>
          <w:b/>
          <w:color w:val="172126"/>
          <w:sz w:val="19"/>
        </w:rPr>
        <w:t xml:space="preserve">The closed list. </w:t>
      </w:r>
      <w:r>
        <w:rPr>
          <w:rFonts w:ascii="Georgia" w:hAnsi="Georgia"/>
          <w:color w:val="526068"/>
          <w:sz w:val="19"/>
        </w:rPr>
        <w:t>usage-coverage.test.ts enumerates the four provider call sites and fails if a fifth appears. An inventory that is not enforced becomes wrong within a month.</w:t>
      </w:r>
    </w:p>
    <w:p>
      <w:pPr>
        <w:pStyle w:val="ListBullet"/>
        <w:spacing w:after="60" w:line="302" w:lineRule="auto"/>
        <w:ind w:left="360"/>
      </w:pPr>
      <w:r>
        <w:rPr>
          <w:rFonts w:ascii="Calibri" w:hAnsi="Calibri"/>
          <w:b/>
          <w:color w:val="172126"/>
          <w:sz w:val="19"/>
        </w:rPr>
        <w:t xml:space="preserve">Published reference. </w:t>
      </w:r>
      <w:r>
        <w:rPr>
          <w:rFonts w:ascii="Georgia" w:hAnsi="Georgia"/>
          <w:color w:val="526068"/>
          <w:sz w:val="19"/>
        </w:rPr>
        <w:t>The Stack Provenance and Architecture documents carry the inventory in a form somebody outside the team can read.</w:t>
      </w:r>
    </w:p>
    <w:p>
      <w:pPr>
        <w:spacing w:after="40"/>
      </w:pPr>
    </w:p>
    <w:p>
      <w:r>
        <w:br w:type="page"/>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4896"/>
        <w:gridCol w:w="4896"/>
      </w:tblGrid>
      <w:tr>
        <w:tc>
          <w:tcPr>
            <w:tcW w:type="dxa" w:w="7488"/>
          </w:tcPr>
          <w:p>
            <w:r/>
            <w:r>
              <w:rPr>
                <w:rFonts w:ascii="Consolas" w:hAnsi="Consolas"/>
                <w:b/>
                <w:color w:val="087E75"/>
                <w:sz w:val="15"/>
              </w:rPr>
              <w:t>ITEM 2</w:t>
            </w:r>
          </w:p>
          <w:p>
            <w:pPr>
              <w:spacing w:before="40"/>
            </w:pPr>
            <w:r>
              <w:rPr>
                <w:rFonts w:ascii="Georgia" w:hAnsi="Georgia"/>
                <w:b/>
                <w:color w:val="172126"/>
                <w:sz w:val="32"/>
              </w:rPr>
              <w:t>Define the shared AI service architecture</w:t>
            </w:r>
          </w:p>
        </w:tc>
        <w:tc>
          <w:tcPr>
            <w:tcW w:type="dxa" w:w="2016"/>
            <w:shd w:val="clear" w:fill="E6F3F1"/>
          </w:tcPr>
          <w:p>
            <w:pPr>
              <w:jc w:val="right"/>
            </w:pPr>
            <w:r/>
            <w:r>
              <w:rPr>
                <w:rFonts w:ascii="Calibri" w:hAnsi="Calibri"/>
                <w:b/>
                <w:color w:val="087E75"/>
                <w:sz w:val="20"/>
              </w:rPr>
              <w:t>COMPLETE</w:t>
            </w:r>
          </w:p>
        </w:tc>
      </w:tr>
    </w:tbl>
    <w:p>
      <w:pPr>
        <w:spacing w:after="80"/>
      </w:pPr>
    </w:p>
    <w:p>
      <w:pPr>
        <w:spacing w:before="220" w:after="80" w:line="312" w:lineRule="auto"/>
      </w:pPr>
      <w:r>
        <w:rPr>
          <w:rFonts w:ascii="Calibri" w:hAnsi="Calibri"/>
          <w:b/>
          <w:color w:val="087E75"/>
          <w:sz w:val="21"/>
        </w:rPr>
        <w:t>What exists</w:t>
      </w:r>
    </w:p>
    <w:p>
      <w:pPr>
        <w:spacing w:before="0" w:after="160" w:line="312" w:lineRule="auto"/>
      </w:pPr>
      <w:r>
        <w:rPr>
          <w:rFonts w:ascii="Georgia" w:hAnsi="Georgia"/>
          <w:b w:val="0"/>
          <w:color w:val="526068"/>
          <w:sz w:val="20"/>
        </w:rPr>
        <w:t>This was already built and is enforced rather than merely described. The architecture is a single governed path with a hard trust boundary in the middle.</w:t>
      </w:r>
    </w:p>
    <w:p>
      <w:pPr>
        <w:pStyle w:val="ListBullet"/>
        <w:spacing w:after="60" w:line="302" w:lineRule="auto"/>
        <w:ind w:left="360"/>
      </w:pPr>
      <w:r>
        <w:rPr>
          <w:rFonts w:ascii="Calibri" w:hAnsi="Calibri"/>
          <w:b/>
          <w:color w:val="172126"/>
          <w:sz w:val="19"/>
        </w:rPr>
        <w:t xml:space="preserve">Stateless worker. </w:t>
      </w:r>
      <w:r>
        <w:rPr>
          <w:rFonts w:ascii="Georgia" w:hAnsi="Georgia"/>
          <w:color w:val="526068"/>
          <w:sz w:val="19"/>
        </w:rPr>
        <w:t>Zero npm dependencies, no database handle, no filesystem state. It holds the provider key precisely because it holds nothing else — a compromise there yields a key and nothing more.</w:t>
      </w:r>
    </w:p>
    <w:p>
      <w:pPr>
        <w:pStyle w:val="ListBullet"/>
        <w:spacing w:after="60" w:line="302" w:lineRule="auto"/>
        <w:ind w:left="360"/>
      </w:pPr>
      <w:r>
        <w:rPr>
          <w:rFonts w:ascii="Calibri" w:hAnsi="Calibri"/>
          <w:b/>
          <w:color w:val="172126"/>
          <w:sz w:val="19"/>
        </w:rPr>
        <w:t xml:space="preserve">No module calls a provider. </w:t>
      </w:r>
      <w:r>
        <w:rPr>
          <w:rFonts w:ascii="Georgia" w:hAnsi="Georgia"/>
          <w:color w:val="526068"/>
          <w:sz w:val="19"/>
        </w:rPr>
        <w:t>Every request goes through the fabric. Verified as a closed list of four call sites.</w:t>
      </w:r>
    </w:p>
    <w:p>
      <w:pPr>
        <w:pStyle w:val="ListBullet"/>
        <w:spacing w:after="60" w:line="302" w:lineRule="auto"/>
        <w:ind w:left="360"/>
      </w:pPr>
      <w:r>
        <w:rPr>
          <w:rFonts w:ascii="Calibri" w:hAnsi="Calibri"/>
          <w:b/>
          <w:color w:val="172126"/>
          <w:sz w:val="19"/>
        </w:rPr>
        <w:t xml:space="preserve">Propose → review → apply. </w:t>
      </w:r>
      <w:r>
        <w:rPr>
          <w:rFonts w:ascii="Georgia" w:hAnsi="Georgia"/>
          <w:color w:val="526068"/>
          <w:sz w:val="19"/>
        </w:rPr>
        <w:t>AI output lands as a proposal in its own status. Only a human action moves it to project data. The drawing assistant writes a proposal row, not the model.</w:t>
      </w:r>
    </w:p>
    <w:p>
      <w:pPr>
        <w:pStyle w:val="ListBullet"/>
        <w:spacing w:after="60" w:line="302" w:lineRule="auto"/>
        <w:ind w:left="360"/>
      </w:pPr>
      <w:r>
        <w:rPr>
          <w:rFonts w:ascii="Calibri" w:hAnsi="Calibri"/>
          <w:b/>
          <w:color w:val="172126"/>
          <w:sz w:val="19"/>
        </w:rPr>
        <w:t xml:space="preserve">Deterministic first. </w:t>
      </w:r>
      <w:r>
        <w:rPr>
          <w:rFonts w:ascii="Georgia" w:hAnsi="Georgia"/>
          <w:color w:val="526068"/>
          <w:sz w:val="19"/>
        </w:rPr>
        <w:t>Quantities from DXF geometry, critical path from CPM, every total from arithmetic. The model drafts; engines decide.</w:t>
      </w:r>
    </w:p>
    <w:p>
      <w:pPr>
        <w:pStyle w:val="ListBullet"/>
        <w:spacing w:after="60" w:line="302" w:lineRule="auto"/>
        <w:ind w:left="360"/>
      </w:pPr>
      <w:r>
        <w:rPr>
          <w:rFonts w:ascii="Calibri" w:hAnsi="Calibri"/>
          <w:b/>
          <w:color w:val="172126"/>
          <w:sz w:val="19"/>
        </w:rPr>
        <w:t xml:space="preserve">Typed tools. </w:t>
      </w:r>
      <w:r>
        <w:rPr>
          <w:rFonts w:ascii="Georgia" w:hAnsi="Georgia"/>
          <w:color w:val="526068"/>
          <w:sz w:val="19"/>
        </w:rPr>
        <w:t>Ten read-only CAD tools with schemas, so a grounded answer is grounded in the file rather than in recollection.</w:t>
      </w:r>
    </w:p>
    <w:p>
      <w:pPr>
        <w:spacing w:after="40"/>
      </w:pPr>
    </w:p>
    <w:p>
      <w:pPr>
        <w:spacing w:before="220" w:after="80" w:line="312" w:lineRule="auto"/>
      </w:pPr>
      <w:r>
        <w:rPr>
          <w:rFonts w:ascii="Calibri" w:hAnsi="Calibri"/>
          <w:b/>
          <w:color w:val="087E75"/>
          <w:sz w:val="21"/>
        </w:rPr>
        <w:t>The one consequence worth stating</w:t>
      </w:r>
    </w:p>
    <w:p>
      <w:pPr>
        <w:spacing w:before="0" w:after="160" w:line="312" w:lineRule="auto"/>
      </w:pPr>
      <w:r>
        <w:rPr>
          <w:rFonts w:ascii="Georgia" w:hAnsi="Georgia"/>
          <w:b w:val="0"/>
          <w:color w:val="526068"/>
          <w:sz w:val="20"/>
        </w:rPr>
        <w:t>Because the worker has no database, it cannot write its own usage ledger row. That is not an oversight in the metering design — it is the same boundary seen from the other side, and it is why item 6 had a gap that took finding.</w:t>
      </w:r>
    </w:p>
    <w:p>
      <w:r>
        <w:br w:type="page"/>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4896"/>
        <w:gridCol w:w="4896"/>
      </w:tblGrid>
      <w:tr>
        <w:tc>
          <w:tcPr>
            <w:tcW w:type="dxa" w:w="7488"/>
          </w:tcPr>
          <w:p>
            <w:r/>
            <w:r>
              <w:rPr>
                <w:rFonts w:ascii="Consolas" w:hAnsi="Consolas"/>
                <w:b/>
                <w:color w:val="087E75"/>
                <w:sz w:val="15"/>
              </w:rPr>
              <w:t>ITEM 3</w:t>
            </w:r>
          </w:p>
          <w:p>
            <w:pPr>
              <w:spacing w:before="40"/>
            </w:pPr>
            <w:r>
              <w:rPr>
                <w:rFonts w:ascii="Georgia" w:hAnsi="Georgia"/>
                <w:b/>
                <w:color w:val="172126"/>
                <w:sz w:val="32"/>
              </w:rPr>
              <w:t>Define model-routing and fallback approach</w:t>
            </w:r>
          </w:p>
        </w:tc>
        <w:tc>
          <w:tcPr>
            <w:tcW w:type="dxa" w:w="2016"/>
            <w:shd w:val="clear" w:fill="FBF0E0"/>
          </w:tcPr>
          <w:p>
            <w:pPr>
              <w:jc w:val="right"/>
            </w:pPr>
            <w:r/>
            <w:r>
              <w:rPr>
                <w:rFonts w:ascii="Calibri" w:hAnsi="Calibri"/>
                <w:b/>
                <w:color w:val="A56000"/>
                <w:sz w:val="20"/>
              </w:rPr>
              <w:t>PARTIAL</w:t>
            </w:r>
          </w:p>
        </w:tc>
      </w:tr>
    </w:tbl>
    <w:p>
      <w:pPr>
        <w:spacing w:after="80"/>
      </w:pPr>
    </w:p>
    <w:p>
      <w:pPr>
        <w:spacing w:before="220" w:after="80" w:line="312" w:lineRule="auto"/>
      </w:pPr>
      <w:r>
        <w:rPr>
          <w:rFonts w:ascii="Calibri" w:hAnsi="Calibri"/>
          <w:b/>
          <w:color w:val="087E75"/>
          <w:sz w:val="21"/>
        </w:rPr>
        <w:t>Routing — complete and working</w:t>
      </w:r>
    </w:p>
    <w:p>
      <w:pPr>
        <w:spacing w:before="0" w:after="160" w:line="312" w:lineRule="auto"/>
      </w:pPr>
      <w:r>
        <w:rPr>
          <w:rFonts w:ascii="Georgia" w:hAnsi="Georgia"/>
          <w:b w:val="0"/>
          <w:color w:val="526068"/>
          <w:sz w:val="20"/>
        </w:rPr>
        <w:t>Application code names a tier, never a model. A registry table resolves the alias to a provider and a concrete model id, so replacing a model is an UPDATE rather than a code change and a deploy. Each row carries a rate card, a context limit, a capability list and a data boundary.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48"/>
        <w:gridCol w:w="2448"/>
        <w:gridCol w:w="2448"/>
        <w:gridCol w:w="2448"/>
      </w:tblGrid>
      <w:tr>
        <w:tc>
          <w:tcPr>
            <w:tcW w:type="dxa" w:w="1296"/>
            <w:shd w:val="clear" w:fill="F0F3F4"/>
          </w:tcPr>
          <w:p>
            <w:r/>
            <w:r>
              <w:rPr>
                <w:rFonts w:ascii="Calibri" w:hAnsi="Calibri"/>
                <w:b/>
                <w:color w:val="667279"/>
                <w:sz w:val="14"/>
              </w:rPr>
              <w:t>TIER</w:t>
            </w:r>
          </w:p>
        </w:tc>
        <w:tc>
          <w:tcPr>
            <w:tcW w:type="dxa" w:w="2304"/>
            <w:shd w:val="clear" w:fill="F0F3F4"/>
          </w:tcPr>
          <w:p>
            <w:r/>
            <w:r>
              <w:rPr>
                <w:rFonts w:ascii="Calibri" w:hAnsi="Calibri"/>
                <w:b/>
                <w:color w:val="667279"/>
                <w:sz w:val="14"/>
              </w:rPr>
              <w:t>ALIAS</w:t>
            </w:r>
          </w:p>
        </w:tc>
        <w:tc>
          <w:tcPr>
            <w:tcW w:type="dxa" w:w="2448"/>
            <w:shd w:val="clear" w:fill="F0F3F4"/>
          </w:tcPr>
          <w:p>
            <w:r/>
            <w:r>
              <w:rPr>
                <w:rFonts w:ascii="Calibri" w:hAnsi="Calibri"/>
                <w:b/>
                <w:color w:val="667279"/>
                <w:sz w:val="14"/>
              </w:rPr>
              <w:t>MODEL</w:t>
            </w:r>
          </w:p>
        </w:tc>
        <w:tc>
          <w:tcPr>
            <w:tcW w:type="dxa" w:w="3456"/>
            <w:shd w:val="clear" w:fill="F0F3F4"/>
          </w:tcPr>
          <w:p>
            <w:r/>
            <w:r>
              <w:rPr>
                <w:rFonts w:ascii="Calibri" w:hAnsi="Calibri"/>
                <w:b/>
                <w:color w:val="667279"/>
                <w:sz w:val="14"/>
              </w:rPr>
              <w:t>RATE IN/OUT</w:t>
            </w:r>
          </w:p>
        </w:tc>
      </w:tr>
      <w:tr>
        <w:tc>
          <w:tcPr>
            <w:tcW w:type="dxa" w:w="1296"/>
          </w:tcPr>
          <w:p>
            <w:pPr>
              <w:spacing w:line="288" w:lineRule="auto" w:after="20"/>
            </w:pPr>
            <w:r/>
            <w:r>
              <w:rPr>
                <w:rFonts w:ascii="Consolas" w:hAnsi="Consolas"/>
                <w:b/>
                <w:color w:val="172126"/>
                <w:sz w:val="17"/>
              </w:rPr>
              <w:t>routing</w:t>
            </w:r>
          </w:p>
        </w:tc>
        <w:tc>
          <w:tcPr>
            <w:tcW w:type="dxa" w:w="2304"/>
          </w:tcPr>
          <w:p>
            <w:pPr>
              <w:spacing w:line="288" w:lineRule="auto" w:after="20"/>
            </w:pPr>
            <w:r/>
            <w:r>
              <w:rPr>
                <w:rFonts w:ascii="Consolas" w:hAnsi="Consolas"/>
                <w:b w:val="0"/>
                <w:color w:val="526068"/>
                <w:sz w:val="17"/>
              </w:rPr>
              <w:t>preckon-small</w:t>
            </w:r>
          </w:p>
        </w:tc>
        <w:tc>
          <w:tcPr>
            <w:tcW w:type="dxa" w:w="2448"/>
          </w:tcPr>
          <w:p>
            <w:pPr>
              <w:spacing w:line="288" w:lineRule="auto" w:after="20"/>
            </w:pPr>
            <w:r/>
            <w:r>
              <w:rPr>
                <w:rFonts w:ascii="Consolas" w:hAnsi="Consolas"/>
                <w:b w:val="0"/>
                <w:color w:val="526068"/>
                <w:sz w:val="17"/>
              </w:rPr>
              <w:t>claude-haiku-4-5</w:t>
            </w:r>
          </w:p>
        </w:tc>
        <w:tc>
          <w:tcPr>
            <w:tcW w:type="dxa" w:w="3456"/>
          </w:tcPr>
          <w:p>
            <w:pPr>
              <w:spacing w:line="288" w:lineRule="auto" w:after="20"/>
            </w:pPr>
            <w:r/>
            <w:r>
              <w:rPr>
                <w:rFonts w:ascii="Consolas" w:hAnsi="Consolas"/>
                <w:b w:val="0"/>
                <w:color w:val="526068"/>
                <w:sz w:val="17"/>
              </w:rPr>
              <w:t>100 / 500</w:t>
            </w:r>
          </w:p>
        </w:tc>
      </w:tr>
      <w:tr>
        <w:tc>
          <w:tcPr>
            <w:tcW w:type="dxa" w:w="1296"/>
          </w:tcPr>
          <w:p>
            <w:pPr>
              <w:spacing w:line="288" w:lineRule="auto" w:after="20"/>
            </w:pPr>
            <w:r/>
            <w:r>
              <w:rPr>
                <w:rFonts w:ascii="Consolas" w:hAnsi="Consolas"/>
                <w:b/>
                <w:color w:val="172126"/>
                <w:sz w:val="17"/>
              </w:rPr>
              <w:t>standard</w:t>
            </w:r>
          </w:p>
        </w:tc>
        <w:tc>
          <w:tcPr>
            <w:tcW w:type="dxa" w:w="2304"/>
          </w:tcPr>
          <w:p>
            <w:pPr>
              <w:spacing w:line="288" w:lineRule="auto" w:after="20"/>
            </w:pPr>
            <w:r/>
            <w:r>
              <w:rPr>
                <w:rFonts w:ascii="Consolas" w:hAnsi="Consolas"/>
                <w:b w:val="0"/>
                <w:color w:val="526068"/>
                <w:sz w:val="17"/>
              </w:rPr>
              <w:t>preckon-reasoning</w:t>
            </w:r>
          </w:p>
        </w:tc>
        <w:tc>
          <w:tcPr>
            <w:tcW w:type="dxa" w:w="2448"/>
          </w:tcPr>
          <w:p>
            <w:pPr>
              <w:spacing w:line="288" w:lineRule="auto" w:after="20"/>
            </w:pPr>
            <w:r/>
            <w:r>
              <w:rPr>
                <w:rFonts w:ascii="Consolas" w:hAnsi="Consolas"/>
                <w:b w:val="0"/>
                <w:color w:val="526068"/>
                <w:sz w:val="17"/>
              </w:rPr>
              <w:t>claude-sonnet-5</w:t>
            </w:r>
          </w:p>
        </w:tc>
        <w:tc>
          <w:tcPr>
            <w:tcW w:type="dxa" w:w="3456"/>
          </w:tcPr>
          <w:p>
            <w:pPr>
              <w:spacing w:line="288" w:lineRule="auto" w:after="20"/>
            </w:pPr>
            <w:r/>
            <w:r>
              <w:rPr>
                <w:rFonts w:ascii="Consolas" w:hAnsi="Consolas"/>
                <w:b w:val="0"/>
                <w:color w:val="526068"/>
                <w:sz w:val="17"/>
              </w:rPr>
              <w:t>300 / 1500</w:t>
            </w:r>
          </w:p>
        </w:tc>
      </w:tr>
      <w:tr>
        <w:tc>
          <w:tcPr>
            <w:tcW w:type="dxa" w:w="1296"/>
          </w:tcPr>
          <w:p>
            <w:pPr>
              <w:spacing w:line="288" w:lineRule="auto" w:after="20"/>
            </w:pPr>
            <w:r/>
            <w:r>
              <w:rPr>
                <w:rFonts w:ascii="Consolas" w:hAnsi="Consolas"/>
                <w:b/>
                <w:color w:val="172126"/>
                <w:sz w:val="17"/>
              </w:rPr>
              <w:t>deep</w:t>
            </w:r>
          </w:p>
        </w:tc>
        <w:tc>
          <w:tcPr>
            <w:tcW w:type="dxa" w:w="2304"/>
          </w:tcPr>
          <w:p>
            <w:pPr>
              <w:spacing w:line="288" w:lineRule="auto" w:after="20"/>
            </w:pPr>
            <w:r/>
            <w:r>
              <w:rPr>
                <w:rFonts w:ascii="Consolas" w:hAnsi="Consolas"/>
                <w:b w:val="0"/>
                <w:color w:val="526068"/>
                <w:sz w:val="17"/>
              </w:rPr>
              <w:t>frontier-reasoning</w:t>
            </w:r>
          </w:p>
        </w:tc>
        <w:tc>
          <w:tcPr>
            <w:tcW w:type="dxa" w:w="2448"/>
          </w:tcPr>
          <w:p>
            <w:pPr>
              <w:spacing w:line="288" w:lineRule="auto" w:after="20"/>
            </w:pPr>
            <w:r/>
            <w:r>
              <w:rPr>
                <w:rFonts w:ascii="Consolas" w:hAnsi="Consolas"/>
                <w:b w:val="0"/>
                <w:color w:val="526068"/>
                <w:sz w:val="17"/>
              </w:rPr>
              <w:t>claude-opus-4-8</w:t>
            </w:r>
          </w:p>
        </w:tc>
        <w:tc>
          <w:tcPr>
            <w:tcW w:type="dxa" w:w="3456"/>
          </w:tcPr>
          <w:p>
            <w:pPr>
              <w:spacing w:line="288" w:lineRule="auto" w:after="20"/>
            </w:pPr>
            <w:r/>
            <w:r>
              <w:rPr>
                <w:rFonts w:ascii="Consolas" w:hAnsi="Consolas"/>
                <w:b w:val="0"/>
                <w:color w:val="526068"/>
                <w:sz w:val="17"/>
              </w:rPr>
              <w:t>500 / 2500</w:t>
            </w:r>
          </w:p>
        </w:tc>
      </w:tr>
    </w:tbl>
    <w:p>
      <w:pPr>
        <w:spacing w:after="60"/>
      </w:pPr>
    </w:p>
    <w:p>
      <w:pPr>
        <w:spacing w:before="0" w:after="160" w:line="312" w:lineRule="auto"/>
      </w:pPr>
      <w:r>
        <w:rPr>
          <w:rFonts w:ascii="Georgia" w:hAnsi="Georgia"/>
          <w:b w:val="0"/>
          <w:color w:val="526068"/>
          <w:sz w:val="20"/>
        </w:rPr>
        <w:t>Rate cards are seeded at LIST price even where a promotional rate applies, because a budget check that under-estimates permits more spend than the customer agreed to. Where the arithmetic must round, it rounds against us.</w:t>
      </w:r>
    </w:p>
    <w:p>
      <w:pPr>
        <w:spacing w:before="0" w:after="160" w:line="312" w:lineRule="auto"/>
      </w:pPr>
      <w:r>
        <w:rPr>
          <w:rFonts w:ascii="Georgia" w:hAnsi="Georgia"/>
          <w:b w:val="0"/>
          <w:color w:val="526068"/>
          <w:sz w:val="20"/>
        </w:rPr>
        <w:t>A dispatch gate asks policy, registry and budget in one place on every job, and is pure — the whole matrix of decisions is testable without a database. Its denial reasons are explicit:</w:t>
      </w:r>
    </w:p>
    <w:p>
      <w:pPr>
        <w:spacing w:before="40" w:after="160" w:line="298" w:lineRule="auto"/>
        <w:ind w:left="259"/>
      </w:pPr>
      <w:r>
        <w:rPr>
          <w:rFonts w:ascii="Consolas" w:hAnsi="Consolas"/>
          <w:color w:val="526068"/>
          <w:sz w:val="17"/>
        </w:rPr>
        <w:t>boundary_not_permitted   model_not_registered   model_not_approved</w:t>
        <w:br/>
        <w:t>frontier_denied          not_on_allowlist       budget_exceeded</w:t>
      </w:r>
    </w:p>
    <w:p>
      <w:pPr>
        <w:spacing w:before="220" w:after="80" w:line="312" w:lineRule="auto"/>
      </w:pPr>
      <w:r>
        <w:rPr>
          <w:rFonts w:ascii="Calibri" w:hAnsi="Calibri"/>
          <w:b/>
          <w:color w:val="087E75"/>
          <w:sz w:val="21"/>
        </w:rPr>
        <w:t>Fallback — what exists</w:t>
      </w:r>
    </w:p>
    <w:p>
      <w:pPr>
        <w:pStyle w:val="ListBullet"/>
        <w:spacing w:after="60" w:line="302" w:lineRule="auto"/>
        <w:ind w:left="360"/>
      </w:pPr>
      <w:r>
        <w:rPr>
          <w:rFonts w:ascii="Calibri" w:hAnsi="Calibri"/>
          <w:b/>
          <w:color w:val="172126"/>
          <w:sz w:val="19"/>
        </w:rPr>
        <w:t xml:space="preserve">Transport retry. </w:t>
      </w:r>
      <w:r>
        <w:rPr>
          <w:rFonts w:ascii="Georgia" w:hAnsi="Georgia"/>
          <w:color w:val="526068"/>
          <w:sz w:val="19"/>
        </w:rPr>
        <w:t>3 attempts with exponential backoff on 429, 529 and the 5xx family. A 400 is not retried: the request is wrong and resending wastes the user's time twice more.</w:t>
      </w:r>
    </w:p>
    <w:p>
      <w:pPr>
        <w:pStyle w:val="ListBullet"/>
        <w:spacing w:after="60" w:line="302" w:lineRule="auto"/>
        <w:ind w:left="360"/>
      </w:pPr>
      <w:r>
        <w:rPr>
          <w:rFonts w:ascii="Calibri" w:hAnsi="Calibri"/>
          <w:b/>
          <w:color w:val="172126"/>
          <w:sz w:val="19"/>
        </w:rPr>
        <w:t xml:space="preserve">Job retry. </w:t>
      </w:r>
      <w:r>
        <w:rPr>
          <w:rFonts w:ascii="Georgia" w:hAnsi="Georgia"/>
          <w:color w:val="526068"/>
          <w:sz w:val="19"/>
        </w:rPr>
        <w:t>A failed job is released for retry up to max_attempts (default 3), with a lease so a dead worker leaves an expired lease rather than a job stuck in 'running'.</w:t>
      </w:r>
    </w:p>
    <w:p>
      <w:pPr>
        <w:pStyle w:val="ListBullet"/>
        <w:spacing w:after="60" w:line="302" w:lineRule="auto"/>
        <w:ind w:left="360"/>
      </w:pPr>
      <w:r>
        <w:rPr>
          <w:rFonts w:ascii="Calibri" w:hAnsi="Calibri"/>
          <w:b/>
          <w:color w:val="172126"/>
          <w:sz w:val="19"/>
        </w:rPr>
        <w:t xml:space="preserve">Registry miss. </w:t>
      </w:r>
      <w:r>
        <w:rPr>
          <w:rFonts w:ascii="Georgia" w:hAnsi="Georgia"/>
          <w:color w:val="526068"/>
          <w:sz w:val="19"/>
        </w:rPr>
        <w:t>An unknown alias falls back to a configured model and says so in the decision, rather than failing the job.</w:t>
      </w:r>
    </w:p>
    <w:p>
      <w:pPr>
        <w:pStyle w:val="ListBullet"/>
        <w:spacing w:after="60" w:line="302" w:lineRule="auto"/>
        <w:ind w:left="360"/>
      </w:pPr>
      <w:r>
        <w:rPr>
          <w:rFonts w:ascii="Calibri" w:hAnsi="Calibri"/>
          <w:b/>
          <w:color w:val="172126"/>
          <w:sz w:val="19"/>
        </w:rPr>
        <w:t xml:space="preserve">No silent degradation. </w:t>
      </w:r>
      <w:r>
        <w:rPr>
          <w:rFonts w:ascii="Georgia" w:hAnsi="Georgia"/>
          <w:color w:val="526068"/>
          <w:sz w:val="19"/>
        </w:rPr>
        <w:t>In production, with no API key, the worker refuses rather than returning a stub as succeeded. Invented quantities must never be indistinguishable from a real bill.</w:t>
      </w:r>
    </w:p>
    <w:p>
      <w:pPr>
        <w:spacing w:after="40"/>
      </w:pPr>
    </w:p>
    <w:p>
      <w:pPr>
        <w:spacing w:before="220" w:after="80" w:line="312" w:lineRule="auto"/>
      </w:pPr>
      <w:r>
        <w:rPr>
          <w:rFonts w:ascii="Calibri" w:hAnsi="Calibri"/>
          <w:b/>
          <w:color w:val="087E75"/>
          <w:sz w:val="21"/>
        </w:rPr>
        <w:t>Fallback — what is missing</w:t>
      </w:r>
    </w:p>
    <w:p>
      <w:pPr>
        <w:spacing w:before="0" w:after="160" w:line="312" w:lineRule="auto"/>
      </w:pPr>
      <w:r>
        <w:rPr>
          <w:rFonts w:ascii="Georgia" w:hAnsi="Georgia"/>
          <w:b w:val="0"/>
          <w:color w:val="526068"/>
          <w:sz w:val="20"/>
        </w:rPr>
        <w:t>Three gaps, stated plainly because the governing specification asks for all three: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264"/>
        <w:gridCol w:w="3264"/>
        <w:gridCol w:w="3264"/>
      </w:tblGrid>
      <w:tr>
        <w:tc>
          <w:tcPr>
            <w:tcW w:type="dxa" w:w="2160"/>
            <w:shd w:val="clear" w:fill="F0F3F4"/>
          </w:tcPr>
          <w:p>
            <w:r/>
            <w:r>
              <w:rPr>
                <w:rFonts w:ascii="Calibri" w:hAnsi="Calibri"/>
                <w:b/>
                <w:color w:val="667279"/>
                <w:sz w:val="14"/>
              </w:rPr>
              <w:t>GAP</w:t>
            </w:r>
          </w:p>
        </w:tc>
        <w:tc>
          <w:tcPr>
            <w:tcW w:type="dxa" w:w="3744"/>
            <w:shd w:val="clear" w:fill="F0F3F4"/>
          </w:tcPr>
          <w:p>
            <w:r/>
            <w:r>
              <w:rPr>
                <w:rFonts w:ascii="Calibri" w:hAnsi="Calibri"/>
                <w:b/>
                <w:color w:val="667279"/>
                <w:sz w:val="14"/>
              </w:rPr>
              <w:t>SPECIFICATION</w:t>
            </w:r>
          </w:p>
        </w:tc>
        <w:tc>
          <w:tcPr>
            <w:tcW w:type="dxa" w:w="3600"/>
            <w:shd w:val="clear" w:fill="F0F3F4"/>
          </w:tcPr>
          <w:p>
            <w:r/>
            <w:r>
              <w:rPr>
                <w:rFonts w:ascii="Calibri" w:hAnsi="Calibri"/>
                <w:b/>
                <w:color w:val="667279"/>
                <w:sz w:val="14"/>
              </w:rPr>
              <w:t>CONSEQUENCE TODAY</w:t>
            </w:r>
          </w:p>
        </w:tc>
      </w:tr>
      <w:tr>
        <w:tc>
          <w:tcPr>
            <w:tcW w:type="dxa" w:w="2160"/>
          </w:tcPr>
          <w:p>
            <w:pPr>
              <w:spacing w:line="288" w:lineRule="auto" w:after="20"/>
            </w:pPr>
            <w:r/>
            <w:r>
              <w:rPr>
                <w:rFonts w:ascii="Calibri" w:hAnsi="Calibri"/>
                <w:b/>
                <w:color w:val="172126"/>
                <w:sz w:val="17"/>
              </w:rPr>
              <w:t>No tier re-route on refusal</w:t>
            </w:r>
          </w:p>
        </w:tc>
        <w:tc>
          <w:tcPr>
            <w:tcW w:type="dxa" w:w="3744"/>
          </w:tcPr>
          <w:p>
            <w:pPr>
              <w:spacing w:line="288" w:lineRule="auto" w:after="20"/>
            </w:pPr>
            <w:r/>
            <w:r>
              <w:rPr>
                <w:rFonts w:ascii="Calibri" w:hAnsi="Calibri"/>
                <w:b w:val="0"/>
                <w:color w:val="526068"/>
                <w:sz w:val="17"/>
              </w:rPr>
              <w:t>AIP100-FR-008 says the router rejects OR RE-ROUTES when a budget would be exceeded.</w:t>
            </w:r>
          </w:p>
        </w:tc>
        <w:tc>
          <w:tcPr>
            <w:tcW w:type="dxa" w:w="3600"/>
          </w:tcPr>
          <w:p>
            <w:pPr>
              <w:spacing w:line="288" w:lineRule="auto" w:after="20"/>
            </w:pPr>
            <w:r/>
            <w:r>
              <w:rPr>
                <w:rFonts w:ascii="Calibri" w:hAnsi="Calibri"/>
                <w:b w:val="0"/>
                <w:color w:val="526068"/>
                <w:sz w:val="17"/>
              </w:rPr>
              <w:t>budget_exceeded denies the job outright. A cheaper eligible model is not tried.</w:t>
            </w:r>
          </w:p>
        </w:tc>
      </w:tr>
      <w:tr>
        <w:tc>
          <w:tcPr>
            <w:tcW w:type="dxa" w:w="2160"/>
          </w:tcPr>
          <w:p>
            <w:pPr>
              <w:spacing w:line="288" w:lineRule="auto" w:after="20"/>
            </w:pPr>
            <w:r/>
            <w:r>
              <w:rPr>
                <w:rFonts w:ascii="Calibri" w:hAnsi="Calibri"/>
                <w:b/>
                <w:color w:val="172126"/>
                <w:sz w:val="17"/>
              </w:rPr>
              <w:t>No provider fallback</w:t>
            </w:r>
          </w:p>
        </w:tc>
        <w:tc>
          <w:tcPr>
            <w:tcW w:type="dxa" w:w="3744"/>
          </w:tcPr>
          <w:p>
            <w:pPr>
              <w:spacing w:line="288" w:lineRule="auto" w:after="20"/>
            </w:pPr>
            <w:r/>
            <w:r>
              <w:rPr>
                <w:rFonts w:ascii="Calibri" w:hAnsi="Calibri"/>
                <w:b w:val="0"/>
                <w:color w:val="526068"/>
                <w:sz w:val="17"/>
              </w:rPr>
              <w:t>AIP100-BR-010 requires provider-neutral contracts across deployments.</w:t>
            </w:r>
          </w:p>
        </w:tc>
        <w:tc>
          <w:tcPr>
            <w:tcW w:type="dxa" w:w="3600"/>
          </w:tcPr>
          <w:p>
            <w:pPr>
              <w:spacing w:line="288" w:lineRule="auto" w:after="20"/>
            </w:pPr>
            <w:r/>
            <w:r>
              <w:rPr>
                <w:rFonts w:ascii="Calibri" w:hAnsi="Calibri"/>
                <w:b w:val="0"/>
                <w:color w:val="526068"/>
                <w:sz w:val="17"/>
              </w:rPr>
              <w:t>One provider. An outage stops all AI work rather than degrading to a local or alternate route.</w:t>
            </w:r>
          </w:p>
        </w:tc>
      </w:tr>
      <w:tr>
        <w:tc>
          <w:tcPr>
            <w:tcW w:type="dxa" w:w="2160"/>
          </w:tcPr>
          <w:p>
            <w:pPr>
              <w:spacing w:line="288" w:lineRule="auto" w:after="20"/>
            </w:pPr>
            <w:r/>
            <w:r>
              <w:rPr>
                <w:rFonts w:ascii="Calibri" w:hAnsi="Calibri"/>
                <w:b/>
                <w:color w:val="172126"/>
                <w:sz w:val="17"/>
              </w:rPr>
              <w:t>No degraded mode</w:t>
            </w:r>
          </w:p>
        </w:tc>
        <w:tc>
          <w:tcPr>
            <w:tcW w:type="dxa" w:w="3744"/>
          </w:tcPr>
          <w:p>
            <w:pPr>
              <w:spacing w:line="288" w:lineRule="auto" w:after="20"/>
            </w:pPr>
            <w:r/>
            <w:r>
              <w:rPr>
                <w:rFonts w:ascii="Calibri" w:hAnsi="Calibri"/>
                <w:b w:val="0"/>
                <w:color w:val="526068"/>
                <w:sz w:val="17"/>
              </w:rPr>
              <w:t>AIP100-BR-011 requires critical deterministic workflows to degrade safely when providers are unavailable.</w:t>
            </w:r>
          </w:p>
        </w:tc>
        <w:tc>
          <w:tcPr>
            <w:tcW w:type="dxa" w:w="3600"/>
          </w:tcPr>
          <w:p>
            <w:pPr>
              <w:spacing w:line="288" w:lineRule="auto" w:after="20"/>
            </w:pPr>
            <w:r/>
            <w:r>
              <w:rPr>
                <w:rFonts w:ascii="Calibri" w:hAnsi="Calibri"/>
                <w:b w:val="0"/>
                <w:color w:val="526068"/>
                <w:sz w:val="17"/>
              </w:rPr>
              <w:t>Deterministic engines still run, but no workflow is defined to complete without its AI steps.</w:t>
            </w:r>
          </w:p>
        </w:tc>
      </w:tr>
    </w:tbl>
    <w:p>
      <w:pPr>
        <w:spacing w:after="60"/>
      </w:pPr>
    </w:p>
    <w:p>
      <w:pPr>
        <w:spacing w:before="0" w:after="160" w:line="312" w:lineRule="auto"/>
      </w:pPr>
      <w:r>
        <w:rPr>
          <w:rFonts w:ascii="Georgia" w:hAnsi="Georgia"/>
          <w:b w:val="0"/>
          <w:color w:val="526068"/>
          <w:sz w:val="19"/>
        </w:rPr>
        <w:t>None of these is difficult; each is a decision about desired behaviour rather than a technical obstacle. Recommend deciding the re-route policy first, since it is the one that changes what a customer experiences at a budget ceiling.</w:t>
      </w:r>
    </w:p>
    <w:p>
      <w:r>
        <w:br w:type="page"/>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4896"/>
        <w:gridCol w:w="4896"/>
      </w:tblGrid>
      <w:tr>
        <w:tc>
          <w:tcPr>
            <w:tcW w:type="dxa" w:w="7488"/>
          </w:tcPr>
          <w:p>
            <w:r/>
            <w:r>
              <w:rPr>
                <w:rFonts w:ascii="Consolas" w:hAnsi="Consolas"/>
                <w:b/>
                <w:color w:val="087E75"/>
                <w:sz w:val="15"/>
              </w:rPr>
              <w:t>ITEM 4</w:t>
            </w:r>
          </w:p>
          <w:p>
            <w:pPr>
              <w:spacing w:before="40"/>
            </w:pPr>
            <w:r>
              <w:rPr>
                <w:rFonts w:ascii="Georgia" w:hAnsi="Georgia"/>
                <w:b/>
                <w:color w:val="172126"/>
                <w:sz w:val="32"/>
              </w:rPr>
              <w:t>Establish the prompt registry</w:t>
            </w:r>
          </w:p>
        </w:tc>
        <w:tc>
          <w:tcPr>
            <w:tcW w:type="dxa" w:w="2016"/>
            <w:shd w:val="clear" w:fill="E6F3F1"/>
          </w:tcPr>
          <w:p>
            <w:pPr>
              <w:jc w:val="right"/>
            </w:pPr>
            <w:r/>
            <w:r>
              <w:rPr>
                <w:rFonts w:ascii="Calibri" w:hAnsi="Calibri"/>
                <w:b/>
                <w:color w:val="087E75"/>
                <w:sz w:val="20"/>
              </w:rPr>
              <w:t>COMPLETE</w:t>
            </w:r>
          </w:p>
        </w:tc>
      </w:tr>
    </w:tbl>
    <w:p>
      <w:pPr>
        <w:spacing w:after="80"/>
      </w:pPr>
    </w:p>
    <w:p>
      <w:pPr>
        <w:spacing w:before="220" w:after="80" w:line="312" w:lineRule="auto"/>
      </w:pPr>
      <w:r>
        <w:rPr>
          <w:rFonts w:ascii="Calibri" w:hAnsi="Calibri"/>
          <w:b/>
          <w:color w:val="087E75"/>
          <w:sz w:val="21"/>
        </w:rPr>
        <w:t>Position</w:t>
      </w:r>
    </w:p>
    <w:p>
      <w:pPr>
        <w:spacing w:before="0" w:after="160" w:line="312" w:lineRule="auto"/>
      </w:pPr>
      <w:r>
        <w:rPr>
          <w:rFonts w:ascii="Georgia" w:hAnsi="Georgia"/>
          <w:b w:val="0"/>
          <w:color w:val="526068"/>
          <w:sz w:val="20"/>
        </w:rPr>
        <w:t>Built and, more importantly, wired. The registry existed as a table and a module before this cycle while nothing resolved a prompt through it — the reference came from a hardcoded string and the ledger's prompt columns stayed NULL, so the two questions the registry exists to answer had no answer.</w:t>
      </w:r>
    </w:p>
    <w:p>
      <w:pPr>
        <w:spacing w:before="220" w:after="80" w:line="312" w:lineRule="auto"/>
      </w:pPr>
      <w:r>
        <w:rPr>
          <w:rFonts w:ascii="Calibri" w:hAnsi="Calibri"/>
          <w:b/>
          <w:color w:val="087E75"/>
          <w:sz w:val="21"/>
        </w:rPr>
        <w:t>Verified</w:t>
      </w:r>
    </w:p>
    <w:p>
      <w:pPr>
        <w:spacing w:before="40" w:after="160" w:line="298" w:lineRule="auto"/>
        <w:ind w:left="259"/>
      </w:pPr>
      <w:r>
        <w:rPr>
          <w:rFonts w:ascii="Consolas" w:hAnsi="Consolas"/>
          <w:color w:val="526068"/>
          <w:sz w:val="17"/>
        </w:rPr>
        <w:t>prompt versions registered      24</w:t>
        <w:br/>
        <w:t>ledger rows carrying a prompt   372 of 372   (100%)</w:t>
      </w:r>
    </w:p>
    <w:p>
      <w:pPr>
        <w:spacing w:before="0" w:after="160" w:line="312" w:lineRule="auto"/>
      </w:pPr>
      <w:r>
        <w:rPr>
          <w:rFonts w:ascii="Georgia" w:hAnsi="Georgia"/>
          <w:b w:val="0"/>
          <w:color w:val="526068"/>
          <w:sz w:val="20"/>
        </w:rPr>
        <w:t>Every recorded attempt now names the prompt key and version that produced it. That makes two questions answerable: which prompt produced this output, and what changed between the run that was right and the run that was wrong.</w:t>
      </w:r>
    </w:p>
    <w:p>
      <w:pPr>
        <w:spacing w:before="220" w:after="80" w:line="312" w:lineRule="auto"/>
      </w:pPr>
      <w:r>
        <w:rPr>
          <w:rFonts w:ascii="Calibri" w:hAnsi="Calibri"/>
          <w:b/>
          <w:color w:val="087E75"/>
          <w:sz w:val="21"/>
        </w:rPr>
        <w:t>Remaining</w:t>
      </w:r>
    </w:p>
    <w:p>
      <w:pPr>
        <w:pStyle w:val="ListBullet"/>
        <w:spacing w:after="60" w:line="302" w:lineRule="auto"/>
        <w:ind w:left="360"/>
      </w:pPr>
      <w:r>
        <w:rPr>
          <w:rFonts w:ascii="Calibri" w:hAnsi="Calibri"/>
          <w:b/>
          <w:color w:val="172126"/>
          <w:sz w:val="19"/>
        </w:rPr>
        <w:t xml:space="preserve">Rollback path. </w:t>
      </w:r>
      <w:r>
        <w:rPr>
          <w:rFonts w:ascii="Georgia" w:hAnsi="Georgia"/>
          <w:color w:val="526068"/>
          <w:sz w:val="19"/>
        </w:rPr>
        <w:t>Versions are recorded but there is no operator action to pin a task type to an earlier prompt version. Worth having before the first prompt regression in production.</w:t>
      </w:r>
    </w:p>
    <w:p>
      <w:pPr>
        <w:spacing w:after="40"/>
      </w:pPr>
    </w:p>
    <w:p>
      <w:r>
        <w:br w:type="page"/>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4896"/>
        <w:gridCol w:w="4896"/>
      </w:tblGrid>
      <w:tr>
        <w:tc>
          <w:tcPr>
            <w:tcW w:type="dxa" w:w="7488"/>
          </w:tcPr>
          <w:p>
            <w:r/>
            <w:r>
              <w:rPr>
                <w:rFonts w:ascii="Consolas" w:hAnsi="Consolas"/>
                <w:b/>
                <w:color w:val="087E75"/>
                <w:sz w:val="15"/>
              </w:rPr>
              <w:t>ITEM 5</w:t>
            </w:r>
          </w:p>
          <w:p>
            <w:pPr>
              <w:spacing w:before="40"/>
            </w:pPr>
            <w:r>
              <w:rPr>
                <w:rFonts w:ascii="Georgia" w:hAnsi="Georgia"/>
                <w:b/>
                <w:color w:val="172126"/>
                <w:sz w:val="32"/>
              </w:rPr>
              <w:t>Finalize RAG and context architecture</w:t>
            </w:r>
          </w:p>
        </w:tc>
        <w:tc>
          <w:tcPr>
            <w:tcW w:type="dxa" w:w="2016"/>
            <w:shd w:val="clear" w:fill="E6F3F1"/>
          </w:tcPr>
          <w:p>
            <w:pPr>
              <w:jc w:val="right"/>
            </w:pPr>
            <w:r/>
            <w:r>
              <w:rPr>
                <w:rFonts w:ascii="Calibri" w:hAnsi="Calibri"/>
                <w:b/>
                <w:color w:val="087E75"/>
                <w:sz w:val="20"/>
              </w:rPr>
              <w:t>COMPLETE</w:t>
            </w:r>
          </w:p>
        </w:tc>
      </w:tr>
    </w:tbl>
    <w:p>
      <w:pPr>
        <w:spacing w:after="80"/>
      </w:pPr>
    </w:p>
    <w:p>
      <w:pPr>
        <w:spacing w:before="220" w:after="80" w:line="312" w:lineRule="auto"/>
      </w:pPr>
      <w:r>
        <w:rPr>
          <w:rFonts w:ascii="Calibri" w:hAnsi="Calibri"/>
          <w:b/>
          <w:color w:val="087E75"/>
          <w:sz w:val="21"/>
        </w:rPr>
        <w:t>What was found</w:t>
      </w:r>
    </w:p>
    <w:p>
      <w:pPr>
        <w:spacing w:before="0" w:after="160" w:line="312" w:lineRule="auto"/>
      </w:pPr>
      <w:r>
        <w:rPr>
          <w:rFonts w:ascii="Georgia" w:hAnsi="Georgia"/>
          <w:b w:val="0"/>
          <w:color w:val="526068"/>
          <w:sz w:val="20"/>
        </w:rPr>
        <w:t>The retrieval and indexing modules were complete and unit-tested, and nothing had ever called the indexer. The chunk table held zero rows, document search truthfully reported finding nothing, and every AI answer was therefore assembled from whatever the caller happened to put in the envelope — the long-context behaviour retrieval exists to replace.</w:t>
      </w:r>
    </w:p>
    <w:p>
      <w:pPr>
        <w:spacing w:before="220" w:after="80" w:line="312" w:lineRule="auto"/>
      </w:pPr>
      <w:r>
        <w:rPr>
          <w:rFonts w:ascii="Calibri" w:hAnsi="Calibri"/>
          <w:b/>
          <w:color w:val="087E75"/>
          <w:sz w:val="21"/>
        </w:rPr>
        <w:t>Design</w:t>
      </w:r>
    </w:p>
    <w:p>
      <w:pPr>
        <w:pStyle w:val="ListBullet"/>
        <w:spacing w:after="60" w:line="302" w:lineRule="auto"/>
        <w:ind w:left="360"/>
      </w:pPr>
      <w:r>
        <w:rPr>
          <w:rFonts w:ascii="Calibri" w:hAnsi="Calibri"/>
          <w:b/>
          <w:color w:val="172126"/>
          <w:sz w:val="19"/>
        </w:rPr>
        <w:t xml:space="preserve">Chunking on meaning. </w:t>
      </w:r>
      <w:r>
        <w:rPr>
          <w:rFonts w:ascii="Georgia" w:hAnsi="Georgia"/>
          <w:color w:val="526068"/>
          <w:sz w:val="19"/>
        </w:rPr>
        <w:t>Boundaries fall on paragraphs first, then sentences. Cutting every N characters splits 'the partition shall achieve a fire rating of' from '120 minutes', and the retrieved chunk then says the opposite of the document.</w:t>
      </w:r>
    </w:p>
    <w:p>
      <w:pPr>
        <w:pStyle w:val="ListBullet"/>
        <w:spacing w:after="60" w:line="302" w:lineRule="auto"/>
        <w:ind w:left="360"/>
      </w:pPr>
      <w:r>
        <w:rPr>
          <w:rFonts w:ascii="Calibri" w:hAnsi="Calibri"/>
          <w:b/>
          <w:color w:val="172126"/>
          <w:sz w:val="19"/>
        </w:rPr>
        <w:t xml:space="preserve">Lexical, not vector. </w:t>
      </w:r>
      <w:r>
        <w:rPr>
          <w:rFonts w:ascii="Georgia" w:hAnsi="Georgia"/>
          <w:color w:val="526068"/>
          <w:sz w:val="19"/>
        </w:rPr>
        <w:t>MySQL FULLTEXT with an identifier boost and a LIKE fallback. Construction questions are dominated by exact identifiers — A-201, BOQ-CIV-001 — and a literal match beats a passage merely about the same topic. Embeddings would have been the fashionable answer and a worse one.</w:t>
      </w:r>
    </w:p>
    <w:p>
      <w:pPr>
        <w:pStyle w:val="ListBullet"/>
        <w:spacing w:after="60" w:line="302" w:lineRule="auto"/>
        <w:ind w:left="360"/>
      </w:pPr>
      <w:r>
        <w:rPr>
          <w:rFonts w:ascii="Calibri" w:hAnsi="Calibri"/>
          <w:b/>
          <w:color w:val="172126"/>
          <w:sz w:val="19"/>
        </w:rPr>
        <w:t xml:space="preserve">Two index paths. </w:t>
      </w:r>
      <w:r>
        <w:rPr>
          <w:rFonts w:ascii="Georgia" w:hAnsi="Georgia"/>
          <w:color w:val="526068"/>
          <w:sz w:val="19"/>
        </w:rPr>
        <w:t>Registered document revisions AND directly uploaded files. Production carries 123 ingested files and zero document revisions, because most projects never run the formal register — indexing only registered documents produces an index that is empty on every real project.</w:t>
      </w:r>
    </w:p>
    <w:p>
      <w:pPr>
        <w:pStyle w:val="ListBullet"/>
        <w:spacing w:after="60" w:line="302" w:lineRule="auto"/>
        <w:ind w:left="360"/>
      </w:pPr>
      <w:r>
        <w:rPr>
          <w:rFonts w:ascii="Calibri" w:hAnsi="Calibri"/>
          <w:b/>
          <w:color w:val="172126"/>
          <w:sz w:val="19"/>
        </w:rPr>
        <w:t xml:space="preserve">Revision-aware. </w:t>
      </w:r>
      <w:r>
        <w:rPr>
          <w:rFonts w:ascii="Georgia" w:hAnsi="Georgia"/>
          <w:color w:val="526068"/>
          <w:sz w:val="19"/>
        </w:rPr>
        <w:t>A chunk from a revision is filtered to the current one; a chunk from an unregistered file has no revision and is always current.</w:t>
      </w:r>
    </w:p>
    <w:p>
      <w:pPr>
        <w:spacing w:after="40"/>
      </w:pPr>
    </w:p>
    <w:p>
      <w:pPr>
        <w:spacing w:before="220" w:after="80" w:line="312" w:lineRule="auto"/>
      </w:pPr>
      <w:r>
        <w:rPr>
          <w:rFonts w:ascii="Calibri" w:hAnsi="Calibri"/>
          <w:b/>
          <w:color w:val="087E75"/>
          <w:sz w:val="21"/>
        </w:rPr>
        <w:t>Verified in production</w:t>
      </w:r>
    </w:p>
    <w:p>
      <w:pPr>
        <w:spacing w:before="40" w:after="160" w:line="298" w:lineRule="auto"/>
        <w:ind w:left="259"/>
      </w:pPr>
      <w:r>
        <w:rPr>
          <w:rFonts w:ascii="Consolas" w:hAnsi="Consolas"/>
          <w:color w:val="526068"/>
          <w:sz w:val="17"/>
        </w:rPr>
        <w:t>passages indexed     5,320</w:t>
        <w:br/>
        <w:t>files indexed        116 of 123</w:t>
        <w:br/>
        <w:t>no extractable text  7   (scanned sheets — named, not silently counted)</w:t>
      </w:r>
    </w:p>
    <w:p>
      <w:pPr>
        <w:spacing w:before="0" w:after="160" w:line="312" w:lineRule="auto"/>
      </w:pPr>
      <w:r>
        <w:rPr>
          <w:rFonts w:ascii="Georgia" w:hAnsi="Georgia"/>
          <w:b w:val="0"/>
          <w:color w:val="526068"/>
          <w:sz w:val="20"/>
        </w:rPr>
        <w:t>Real searches against the DV Quaters drawing set return the right sheets, including a finish schedule buried inside a section-details drawing that nobody would have found by filename.</w:t>
      </w:r>
    </w:p>
    <w:p>
      <w:pPr>
        <w:spacing w:before="220" w:after="80" w:line="312" w:lineRule="auto"/>
      </w:pPr>
      <w:r>
        <w:rPr>
          <w:rFonts w:ascii="Calibri" w:hAnsi="Calibri"/>
          <w:b/>
          <w:color w:val="087E75"/>
          <w:sz w:val="21"/>
        </w:rPr>
        <w:t>Known miss</w:t>
      </w:r>
    </w:p>
    <w:p>
      <w:pPr>
        <w:spacing w:before="0" w:after="160" w:line="312" w:lineRule="auto"/>
      </w:pPr>
      <w:r>
        <w:rPr>
          <w:rFonts w:ascii="Georgia" w:hAnsi="Georgia"/>
          <w:b w:val="0"/>
          <w:color w:val="526068"/>
          <w:sz w:val="19"/>
        </w:rPr>
        <w:t>A query for 'shower section' returns floor and ceiling plans rather than the shower section sheet, which is indexed. Extracted DWG text is CAD entity soup — layer names, block counts, dimension strings — so lexical matching lands on the wrong sheet. This is exactly the case the evaluation corpus in item 7 exists to record and measure.</w:t>
      </w:r>
    </w:p>
    <w:p>
      <w:r>
        <w:br w:type="page"/>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4896"/>
        <w:gridCol w:w="4896"/>
      </w:tblGrid>
      <w:tr>
        <w:tc>
          <w:tcPr>
            <w:tcW w:type="dxa" w:w="7488"/>
          </w:tcPr>
          <w:p>
            <w:r/>
            <w:r>
              <w:rPr>
                <w:rFonts w:ascii="Consolas" w:hAnsi="Consolas"/>
                <w:b/>
                <w:color w:val="087E75"/>
                <w:sz w:val="15"/>
              </w:rPr>
              <w:t>ITEM 6</w:t>
            </w:r>
          </w:p>
          <w:p>
            <w:pPr>
              <w:spacing w:before="40"/>
            </w:pPr>
            <w:r>
              <w:rPr>
                <w:rFonts w:ascii="Georgia" w:hAnsi="Georgia"/>
                <w:b/>
                <w:color w:val="172126"/>
                <w:sz w:val="32"/>
              </w:rPr>
              <w:t>Add AI usage, token and cost tracking</w:t>
            </w:r>
          </w:p>
        </w:tc>
        <w:tc>
          <w:tcPr>
            <w:tcW w:type="dxa" w:w="2016"/>
            <w:shd w:val="clear" w:fill="E6F3F1"/>
          </w:tcPr>
          <w:p>
            <w:pPr>
              <w:jc w:val="right"/>
            </w:pPr>
            <w:r/>
            <w:r>
              <w:rPr>
                <w:rFonts w:ascii="Calibri" w:hAnsi="Calibri"/>
                <w:b/>
                <w:color w:val="087E75"/>
                <w:sz w:val="20"/>
              </w:rPr>
              <w:t>COMPLETE</w:t>
            </w:r>
          </w:p>
        </w:tc>
      </w:tr>
    </w:tbl>
    <w:p>
      <w:pPr>
        <w:spacing w:after="80"/>
      </w:pPr>
    </w:p>
    <w:p>
      <w:pPr>
        <w:spacing w:before="220" w:after="80" w:line="312" w:lineRule="auto"/>
      </w:pPr>
      <w:r>
        <w:rPr>
          <w:rFonts w:ascii="Calibri" w:hAnsi="Calibri"/>
          <w:b/>
          <w:color w:val="087E75"/>
          <w:sz w:val="21"/>
        </w:rPr>
        <w:t>What was found</w:t>
      </w:r>
    </w:p>
    <w:p>
      <w:pPr>
        <w:spacing w:before="0" w:after="160" w:line="312" w:lineRule="auto"/>
      </w:pPr>
      <w:r>
        <w:rPr>
          <w:rFonts w:ascii="Georgia" w:hAnsi="Georgia"/>
          <w:b w:val="0"/>
          <w:color w:val="526068"/>
          <w:sz w:val="20"/>
        </w:rPr>
        <w:t>The tracking existed and was reporting a literal. The worker returned a fixed usage for every job of every type:</w:t>
      </w:r>
    </w:p>
    <w:p>
      <w:pPr>
        <w:spacing w:before="40" w:after="160" w:line="298" w:lineRule="auto"/>
        <w:ind w:left="259"/>
      </w:pPr>
      <w:r>
        <w:rPr>
          <w:rFonts w:ascii="Consolas" w:hAnsi="Consolas"/>
          <w:color w:val="526068"/>
          <w:sz w:val="17"/>
        </w:rPr>
        <w:t>{ model: …, input_tokens: 500, output_tokens: 120, cost_minor: 8 }</w:t>
      </w:r>
    </w:p>
    <w:p>
      <w:pPr>
        <w:spacing w:before="0" w:after="160" w:line="312" w:lineRule="auto"/>
      </w:pPr>
      <w:r>
        <w:rPr>
          <w:rFonts w:ascii="Georgia" w:hAnsi="Georgia"/>
          <w:b w:val="0"/>
          <w:color w:val="526068"/>
          <w:sz w:val="20"/>
        </w:rPr>
        <w:t>Three constants. So the ledger, the Admin usage page and every budget check were reading a number nobody had measured. On the live workspace it showed as an identical 250 in / 60 out on every row across six task types — a copilot answer and a bill derivation cannot cost the same to the cent.</w:t>
      </w:r>
    </w:p>
    <w:p>
      <w:pPr>
        <w:spacing w:before="220" w:after="80" w:line="312" w:lineRule="auto"/>
      </w:pPr>
      <w:r>
        <w:rPr>
          <w:rFonts w:ascii="Calibri" w:hAnsi="Calibri"/>
          <w:b/>
          <w:color w:val="087E75"/>
          <w:sz w:val="21"/>
        </w:rPr>
        <w:t>The second, larger gap</w:t>
      </w:r>
    </w:p>
    <w:p>
      <w:pPr>
        <w:spacing w:before="0" w:after="160" w:line="312" w:lineRule="auto"/>
      </w:pPr>
      <w:r>
        <w:rPr>
          <w:rFonts w:ascii="Georgia" w:hAnsi="Georgia"/>
          <w:b w:val="0"/>
          <w:color w:val="526068"/>
          <w:sz w:val="20"/>
        </w:rPr>
        <w:t>Four files reach the provider. Three sit in the job runner and each recorded what it spent. The fourth is the proxy the drawing and BIM assistants use — and it recorded nothing, because the worker holds the key precisely so that it holds nothing else, and a process with no database cannot append to a ledger. The consequence: the most expensive request shape in the product, a multi-turn agentic loop with tool calls and a vision pre-pass, never appeared in usage or cost at all.</w:t>
      </w:r>
    </w:p>
    <w:p>
      <w:pPr>
        <w:spacing w:before="220" w:after="80" w:line="312" w:lineRule="auto"/>
      </w:pPr>
      <w:r>
        <w:rPr>
          <w:rFonts w:ascii="Calibri" w:hAnsi="Calibri"/>
          <w:b/>
          <w:color w:val="087E75"/>
          <w:sz w:val="21"/>
        </w:rPr>
        <w:t>What was built</w:t>
      </w:r>
    </w:p>
    <w:p>
      <w:pPr>
        <w:pStyle w:val="ListBullet"/>
        <w:spacing w:after="60" w:line="302" w:lineRule="auto"/>
        <w:ind w:left="360"/>
      </w:pPr>
      <w:r>
        <w:rPr>
          <w:rFonts w:ascii="Calibri" w:hAnsi="Calibri"/>
          <w:b/>
          <w:color w:val="172126"/>
          <w:sz w:val="19"/>
        </w:rPr>
        <w:t xml:space="preserve">Real metering. </w:t>
      </w:r>
      <w:r>
        <w:rPr>
          <w:rFonts w:ascii="Georgia" w:hAnsi="Georgia"/>
          <w:color w:val="526068"/>
          <w:sz w:val="19"/>
        </w:rPr>
        <w:t>An AsyncLocalStorage accumulator per job, so several calls in one job total correctly under concurrency. Cache reads and writes are counted as the input they are.</w:t>
      </w:r>
    </w:p>
    <w:p>
      <w:pPr>
        <w:pStyle w:val="ListBullet"/>
        <w:spacing w:after="60" w:line="302" w:lineRule="auto"/>
        <w:ind w:left="360"/>
      </w:pPr>
      <w:r>
        <w:rPr>
          <w:rFonts w:ascii="Calibri" w:hAnsi="Calibri"/>
          <w:b/>
          <w:color w:val="172126"/>
          <w:sz w:val="19"/>
        </w:rPr>
        <w:t xml:space="preserve">Assistant capture. </w:t>
      </w:r>
      <w:r>
        <w:rPr>
          <w:rFonts w:ascii="Georgia" w:hAnsi="Georgia"/>
          <w:color w:val="526068"/>
          <w:sz w:val="19"/>
        </w:rPr>
        <w:t>Core meters the proxy from its own side, one ledger row per turn, recorded before the error path so a failed turn still accounts for the tokens it spent.</w:t>
      </w:r>
    </w:p>
    <w:p>
      <w:pPr>
        <w:pStyle w:val="ListBullet"/>
        <w:spacing w:after="60" w:line="302" w:lineRule="auto"/>
        <w:ind w:left="360"/>
      </w:pPr>
      <w:r>
        <w:rPr>
          <w:rFonts w:ascii="Calibri" w:hAnsi="Calibri"/>
          <w:b/>
          <w:color w:val="172126"/>
          <w:sz w:val="19"/>
        </w:rPr>
        <w:t xml:space="preserve">One pricing path. </w:t>
      </w:r>
      <w:r>
        <w:rPr>
          <w:rFonts w:ascii="Georgia" w:hAnsi="Georgia"/>
          <w:color w:val="526068"/>
          <w:sz w:val="19"/>
        </w:rPr>
        <w:t>priceUsage moved from private-in-jobs.ts to shared. Two writers pricing the same tokens by two routes is how a ledger starts disagreeing with the page that displays it.</w:t>
      </w:r>
    </w:p>
    <w:p>
      <w:pPr>
        <w:pStyle w:val="ListBullet"/>
        <w:spacing w:after="60" w:line="302" w:lineRule="auto"/>
        <w:ind w:left="360"/>
      </w:pPr>
      <w:r>
        <w:rPr>
          <w:rFonts w:ascii="Calibri" w:hAnsi="Calibri"/>
          <w:b/>
          <w:color w:val="172126"/>
          <w:sz w:val="19"/>
        </w:rPr>
        <w:t xml:space="preserve">Live page. </w:t>
      </w:r>
      <w:r>
        <w:rPr>
          <w:rFonts w:ascii="Georgia" w:hAnsi="Georgia"/>
          <w:color w:val="526068"/>
          <w:sz w:val="19"/>
        </w:rPr>
        <w:t>Admin → AI usage: cost per step, bill per project, spend with nothing to show for it, a month picker and a live tail. Polls while the period is still moving and stops for a closed month.</w:t>
      </w:r>
    </w:p>
    <w:p>
      <w:pPr>
        <w:spacing w:after="40"/>
      </w:pPr>
    </w:p>
    <w:p>
      <w:pPr>
        <w:spacing w:before="220" w:after="80" w:line="312" w:lineRule="auto"/>
      </w:pPr>
      <w:r>
        <w:rPr>
          <w:rFonts w:ascii="Calibri" w:hAnsi="Calibri"/>
          <w:b/>
          <w:color w:val="087E75"/>
          <w:sz w:val="21"/>
        </w:rPr>
        <w:t>Verified</w:t>
      </w:r>
    </w:p>
    <w:p>
      <w:pPr>
        <w:spacing w:before="40" w:after="160" w:line="298" w:lineRule="auto"/>
        <w:ind w:left="259"/>
      </w:pPr>
      <w:r>
        <w:rPr>
          <w:rFonts w:ascii="Consolas" w:hAnsi="Consolas"/>
          <w:color w:val="526068"/>
          <w:sz w:val="17"/>
        </w:rPr>
        <w:t>two real calls, measured:</w:t>
        <w:br/>
        <w:t xml:space="preserve">  9,517 in / 398 out  -&gt;  6 minor</w:t>
        <w:br/>
        <w:t xml:space="preserve">  4,409 in / 100 out  -&gt;  3 minor</w:t>
      </w:r>
    </w:p>
    <w:p>
      <w:pPr>
        <w:spacing w:before="220" w:after="80" w:line="312" w:lineRule="auto"/>
      </w:pPr>
      <w:r>
        <w:rPr>
          <w:rFonts w:ascii="Calibri" w:hAnsi="Calibri"/>
          <w:b/>
          <w:color w:val="087E75"/>
          <w:sz w:val="21"/>
        </w:rPr>
        <w:t>Remaining</w:t>
      </w:r>
    </w:p>
    <w:p>
      <w:pPr>
        <w:pStyle w:val="ListBullet"/>
        <w:spacing w:after="60" w:line="302" w:lineRule="auto"/>
        <w:ind w:left="360"/>
      </w:pPr>
      <w:r>
        <w:rPr>
          <w:rFonts w:ascii="Calibri" w:hAnsi="Calibri"/>
          <w:b/>
          <w:color w:val="172126"/>
          <w:sz w:val="19"/>
        </w:rPr>
        <w:t xml:space="preserve">Cache pricing. </w:t>
      </w:r>
      <w:r>
        <w:rPr>
          <w:rFonts w:ascii="Georgia" w:hAnsi="Georgia"/>
          <w:color w:val="526068"/>
          <w:sz w:val="19"/>
        </w:rPr>
        <w:t>Cache reads and writes are priced as ordinary input tokens. The ledger under-reports while caching is broken and would over-report the saving once it works. Add a cached rate to each rate card and carry cache writes as their own term.</w:t>
      </w:r>
    </w:p>
    <w:p>
      <w:pPr>
        <w:pStyle w:val="ListBullet"/>
        <w:spacing w:after="60" w:line="302" w:lineRule="auto"/>
        <w:ind w:left="360"/>
      </w:pPr>
      <w:r>
        <w:rPr>
          <w:rFonts w:ascii="Calibri" w:hAnsi="Calibri"/>
          <w:b/>
          <w:color w:val="172126"/>
          <w:sz w:val="19"/>
        </w:rPr>
        <w:t xml:space="preserve">Historical rows. </w:t>
      </w:r>
      <w:r>
        <w:rPr>
          <w:rFonts w:ascii="Georgia" w:hAnsi="Georgia"/>
          <w:color w:val="526068"/>
          <w:sz w:val="19"/>
        </w:rPr>
        <w:t>The 48 fabricated rows from before the fix remain in the production ledger and skew the month total until September's data outweighs them.</w:t>
      </w:r>
    </w:p>
    <w:p>
      <w:pPr>
        <w:spacing w:after="40"/>
      </w:pPr>
    </w:p>
    <w:p>
      <w:r>
        <w:br w:type="page"/>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4896"/>
        <w:gridCol w:w="4896"/>
      </w:tblGrid>
      <w:tr>
        <w:tc>
          <w:tcPr>
            <w:tcW w:type="dxa" w:w="7488"/>
          </w:tcPr>
          <w:p>
            <w:r/>
            <w:r>
              <w:rPr>
                <w:rFonts w:ascii="Consolas" w:hAnsi="Consolas"/>
                <w:b/>
                <w:color w:val="087E75"/>
                <w:sz w:val="15"/>
              </w:rPr>
              <w:t>ITEM 7</w:t>
            </w:r>
          </w:p>
          <w:p>
            <w:pPr>
              <w:spacing w:before="40"/>
            </w:pPr>
            <w:r>
              <w:rPr>
                <w:rFonts w:ascii="Georgia" w:hAnsi="Georgia"/>
                <w:b/>
                <w:color w:val="172126"/>
                <w:sz w:val="32"/>
              </w:rPr>
              <w:t>Establish the AI evaluation framework</w:t>
            </w:r>
          </w:p>
        </w:tc>
        <w:tc>
          <w:tcPr>
            <w:tcW w:type="dxa" w:w="2016"/>
            <w:shd w:val="clear" w:fill="FBF0E0"/>
          </w:tcPr>
          <w:p>
            <w:pPr>
              <w:jc w:val="right"/>
            </w:pPr>
            <w:r/>
            <w:r>
              <w:rPr>
                <w:rFonts w:ascii="Calibri" w:hAnsi="Calibri"/>
                <w:b/>
                <w:color w:val="A56000"/>
                <w:sz w:val="20"/>
              </w:rPr>
              <w:t>PARTIAL</w:t>
            </w:r>
          </w:p>
        </w:tc>
      </w:tr>
    </w:tbl>
    <w:p>
      <w:pPr>
        <w:spacing w:after="80"/>
      </w:pPr>
    </w:p>
    <w:p>
      <w:pPr>
        <w:spacing w:before="220" w:after="80" w:line="312" w:lineRule="auto"/>
      </w:pPr>
      <w:r>
        <w:rPr>
          <w:rFonts w:ascii="Calibri" w:hAnsi="Calibri"/>
          <w:b/>
          <w:color w:val="087E75"/>
          <w:sz w:val="21"/>
        </w:rPr>
        <w:t>The premise that was wrong</w:t>
      </w:r>
    </w:p>
    <w:p>
      <w:pPr>
        <w:spacing w:before="0" w:after="160" w:line="312" w:lineRule="auto"/>
      </w:pPr>
      <w:r>
        <w:rPr>
          <w:rFonts w:ascii="Georgia" w:hAnsi="Georgia"/>
          <w:b w:val="0"/>
          <w:color w:val="526068"/>
          <w:sz w:val="20"/>
        </w:rPr>
        <w:t>The existing evaluation test states the gap it leaves: extraction accuracy, BOQ completeness and citation fidelity 'need real model calls against fixture projects and belong in a scheduled run with an API key.' That is true of extraction. It is not true of two of them, and treating it as true is why neither was ever measured.</w:t>
      </w:r>
    </w:p>
    <w:p>
      <w:pPr>
        <w:spacing w:before="220" w:after="80" w:line="312" w:lineRule="auto"/>
      </w:pPr>
      <w:r>
        <w:rPr>
          <w:rFonts w:ascii="Calibri" w:hAnsi="Calibri"/>
          <w:b/>
          <w:color w:val="087E75"/>
          <w:sz w:val="21"/>
        </w:rPr>
        <w:t>What was built</w:t>
      </w:r>
    </w:p>
    <w:p>
      <w:pPr>
        <w:pStyle w:val="ListBullet"/>
        <w:spacing w:after="60" w:line="302" w:lineRule="auto"/>
        <w:ind w:left="360"/>
      </w:pPr>
      <w:r>
        <w:rPr>
          <w:rFonts w:ascii="Calibri" w:hAnsi="Calibri"/>
          <w:b/>
          <w:color w:val="172126"/>
          <w:sz w:val="19"/>
        </w:rPr>
        <w:t xml:space="preserve">Retrieval scoring. </w:t>
      </w:r>
      <w:r>
        <w:rPr>
          <w:rFonts w:ascii="Georgia" w:hAnsi="Georgia"/>
          <w:color w:val="526068"/>
          <w:sz w:val="19"/>
        </w:rPr>
        <w:t>A pure function of an index and a question — no model decides what comes back, so the score is exact, costs nothing and can gate a deploy. precision@1, recall@5 and MRR over a per-project corpus.</w:t>
      </w:r>
    </w:p>
    <w:p>
      <w:pPr>
        <w:pStyle w:val="ListBullet"/>
        <w:spacing w:after="60" w:line="302" w:lineRule="auto"/>
        <w:ind w:left="360"/>
      </w:pPr>
      <w:r>
        <w:rPr>
          <w:rFonts w:ascii="Calibri" w:hAnsi="Calibri"/>
          <w:b/>
          <w:color w:val="172126"/>
          <w:sz w:val="19"/>
        </w:rPr>
        <w:t xml:space="preserve">Citation fidelity. </w:t>
      </w:r>
      <w:r>
        <w:rPr>
          <w:rFonts w:ascii="Georgia" w:hAnsi="Georgia"/>
          <w:color w:val="526068"/>
          <w:sz w:val="19"/>
        </w:rPr>
        <w:t>Checkable after the fact. Every NUMBER in a claim must appear in the cited passage; prose overlap only has to be partial, because a model paraphrasing a clause is doing its job. This catches the failure that matters most on a construction project — a confident answer attached to a real document that does not say it — which a reviewer waves through precisely because the citation is there.</w:t>
      </w:r>
    </w:p>
    <w:p>
      <w:pPr>
        <w:pStyle w:val="ListBullet"/>
        <w:spacing w:after="60" w:line="302" w:lineRule="auto"/>
        <w:ind w:left="360"/>
      </w:pPr>
      <w:r>
        <w:rPr>
          <w:rFonts w:ascii="Calibri" w:hAnsi="Calibri"/>
          <w:b/>
          <w:color w:val="172126"/>
          <w:sz w:val="19"/>
        </w:rPr>
        <w:t xml:space="preserve">A CI gate. </w:t>
      </w:r>
      <w:r>
        <w:rPr>
          <w:rFonts w:ascii="Georgia" w:hAnsi="Georgia"/>
          <w:color w:val="526068"/>
          <w:sz w:val="19"/>
        </w:rPr>
        <w:t>npm run eval -- --min-mrr X exits non-zero below the bar.</w:t>
      </w:r>
    </w:p>
    <w:p>
      <w:pPr>
        <w:pStyle w:val="ListBullet"/>
        <w:spacing w:after="60" w:line="302" w:lineRule="auto"/>
        <w:ind w:left="360"/>
      </w:pPr>
      <w:r>
        <w:rPr>
          <w:rFonts w:ascii="Calibri" w:hAnsi="Calibri"/>
          <w:b/>
          <w:color w:val="172126"/>
          <w:sz w:val="19"/>
        </w:rPr>
        <w:t xml:space="preserve">Tests that can fail. </w:t>
      </w:r>
      <w:r>
        <w:rPr>
          <w:rFonts w:ascii="Georgia" w:hAnsi="Georgia"/>
          <w:color w:val="526068"/>
          <w:sz w:val="19"/>
        </w:rPr>
        <w:t>Half the unit tests feed the scorers wrong answers. A scorer that cannot fail is a green tick nobody earned.</w:t>
      </w:r>
    </w:p>
    <w:p>
      <w:pPr>
        <w:spacing w:after="40"/>
      </w:pPr>
    </w:p>
    <w:p>
      <w:pPr>
        <w:spacing w:before="220" w:after="80" w:line="312" w:lineRule="auto"/>
      </w:pPr>
      <w:r>
        <w:rPr>
          <w:rFonts w:ascii="Calibri" w:hAnsi="Calibri"/>
          <w:b/>
          <w:color w:val="087E75"/>
          <w:sz w:val="21"/>
        </w:rPr>
        <w:t>Proven end to end</w:t>
      </w:r>
    </w:p>
    <w:p>
      <w:pPr>
        <w:spacing w:before="0" w:after="160" w:line="312" w:lineRule="auto"/>
      </w:pPr>
      <w:r>
        <w:rPr>
          <w:rFonts w:ascii="Georgia" w:hAnsi="Georgia"/>
          <w:b w:val="0"/>
          <w:color w:val="526068"/>
          <w:sz w:val="20"/>
        </w:rPr>
        <w:t>Three golden documents indexed, scored 100% precision@1, then two failing cases added — the report named the miss with its note and the run exited 1 against a threshold it could not meet. Fixtures removed afterwards.</w:t>
      </w:r>
    </w:p>
    <w:p>
      <w:pPr>
        <w:spacing w:before="220" w:after="80" w:line="312" w:lineRule="auto"/>
      </w:pPr>
      <w:r>
        <w:rPr>
          <w:rFonts w:ascii="Calibri" w:hAnsi="Calibri"/>
          <w:b/>
          <w:color w:val="087E75"/>
          <w:sz w:val="21"/>
        </w:rPr>
        <w:t>What is blocked, and on whom</w:t>
      </w:r>
    </w:p>
    <w:p>
      <w:pPr>
        <w:spacing w:before="0" w:after="160" w:line="312" w:lineRule="auto"/>
      </w:pPr>
      <w:r>
        <w:rPr>
          <w:rFonts w:ascii="Georgia" w:hAnsi="Georgia"/>
          <w:b w:val="0"/>
          <w:color w:val="526068"/>
          <w:sz w:val="20"/>
        </w:rPr>
        <w:t>Extraction accuracy, BOQ completeness and schedule correctness need a golden project with known-correct answers to score against. That fixture does not exist. It is listed on the PRODUCT workstream as 'Establish golden end-to-end project', and it is a genuine dependency rather than an excuse: the harness is written and waiting for data.</w:t>
      </w:r>
    </w:p>
    <w:p>
      <w:pPr>
        <w:spacing w:before="220" w:after="80" w:line="312" w:lineRule="auto"/>
      </w:pPr>
      <w:r>
        <w:rPr>
          <w:rFonts w:ascii="Calibri" w:hAnsi="Calibri"/>
          <w:b/>
          <w:color w:val="087E75"/>
          <w:sz w:val="21"/>
        </w:rPr>
        <w:t>Consequence for item 3</w:t>
      </w:r>
    </w:p>
    <w:p>
      <w:pPr>
        <w:spacing w:before="0" w:after="160" w:line="312" w:lineRule="auto"/>
      </w:pPr>
      <w:r>
        <w:rPr>
          <w:rFonts w:ascii="Georgia" w:hAnsi="Georgia"/>
          <w:b w:val="0"/>
          <w:color w:val="526068"/>
          <w:sz w:val="20"/>
        </w:rPr>
        <w:t>This blockage is also what holds the model-routing correction. Eighteen of twenty-three task types default to the frontier tier, against the platform's own rule that frontier is an escalation path. Re-routing them changes what the models return, and without extraction scoring there is no way to know whether quality held. The deviation is recorded as a formal exception with an owner, an expiry and a compensating control — per-attempt cost is metered and visible per task type, so the price of the deviation is measured while it stands.</w:t>
      </w:r>
    </w:p>
    <w:p>
      <w:r>
        <w:br w:type="page"/>
      </w:r>
    </w:p>
    <w:p>
      <w:pPr>
        <w:spacing w:before="0" w:after="60" w:line="312" w:lineRule="auto"/>
      </w:pPr>
      <w:r>
        <w:rPr>
          <w:rFonts w:ascii="Consolas" w:hAnsi="Consolas"/>
          <w:b/>
          <w:color w:val="087E75"/>
          <w:sz w:val="15"/>
        </w:rPr>
        <w:t>RECOMMENDED ORDER</w:t>
      </w:r>
    </w:p>
    <w:p>
      <w:pPr>
        <w:spacing w:before="0" w:after="160" w:line="252" w:lineRule="auto"/>
      </w:pPr>
      <w:r>
        <w:rPr>
          <w:rFonts w:ascii="Georgia" w:hAnsi="Georgia"/>
          <w:b/>
          <w:color w:val="172126"/>
          <w:sz w:val="40"/>
        </w:rPr>
        <w:t>What to do next</w:t>
      </w:r>
    </w:p>
    <w:p>
      <w:pPr>
        <w:spacing w:before="0" w:after="160" w:line="312" w:lineRule="auto"/>
      </w:pPr>
      <w:r>
        <w:rPr>
          <w:rFonts w:ascii="Georgia" w:hAnsi="Georgia"/>
          <w:b w:val="0"/>
          <w:color w:val="526068"/>
          <w:sz w:val="20"/>
        </w:rPr>
        <w:t>Ordered by value against effort, with the dependency stated where one exists.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448"/>
        <w:gridCol w:w="2448"/>
        <w:gridCol w:w="2448"/>
        <w:gridCol w:w="2448"/>
      </w:tblGrid>
      <w:tr>
        <w:tc>
          <w:tcPr>
            <w:tcW w:type="dxa" w:w="432"/>
            <w:shd w:val="clear" w:fill="F0F3F4"/>
          </w:tcPr>
          <w:p>
            <w:r/>
            <w:r>
              <w:rPr>
                <w:rFonts w:ascii="Calibri" w:hAnsi="Calibri"/>
                <w:b/>
                <w:color w:val="667279"/>
                <w:sz w:val="14"/>
              </w:rPr>
              <w:t>#</w:t>
            </w:r>
          </w:p>
        </w:tc>
        <w:tc>
          <w:tcPr>
            <w:tcW w:type="dxa" w:w="3168"/>
            <w:shd w:val="clear" w:fill="F0F3F4"/>
          </w:tcPr>
          <w:p>
            <w:r/>
            <w:r>
              <w:rPr>
                <w:rFonts w:ascii="Calibri" w:hAnsi="Calibri"/>
                <w:b/>
                <w:color w:val="667279"/>
                <w:sz w:val="14"/>
              </w:rPr>
              <w:t>ACTION</w:t>
            </w:r>
          </w:p>
        </w:tc>
        <w:tc>
          <w:tcPr>
            <w:tcW w:type="dxa" w:w="4464"/>
            <w:shd w:val="clear" w:fill="F0F3F4"/>
          </w:tcPr>
          <w:p>
            <w:r/>
            <w:r>
              <w:rPr>
                <w:rFonts w:ascii="Calibri" w:hAnsi="Calibri"/>
                <w:b/>
                <w:color w:val="667279"/>
                <w:sz w:val="14"/>
              </w:rPr>
              <w:t>WHY NOW</w:t>
            </w:r>
          </w:p>
        </w:tc>
        <w:tc>
          <w:tcPr>
            <w:tcW w:type="dxa" w:w="1440"/>
            <w:shd w:val="clear" w:fill="F0F3F4"/>
          </w:tcPr>
          <w:p>
            <w:r/>
            <w:r>
              <w:rPr>
                <w:rFonts w:ascii="Calibri" w:hAnsi="Calibri"/>
                <w:b/>
                <w:color w:val="667279"/>
                <w:sz w:val="14"/>
              </w:rPr>
              <w:t>DEPENDS ON</w:t>
            </w:r>
          </w:p>
        </w:tc>
      </w:tr>
      <w:tr>
        <w:tc>
          <w:tcPr>
            <w:tcW w:type="dxa" w:w="432"/>
          </w:tcPr>
          <w:p>
            <w:pPr>
              <w:spacing w:line="288" w:lineRule="auto" w:after="20"/>
            </w:pPr>
            <w:r/>
            <w:r>
              <w:rPr>
                <w:rFonts w:ascii="Calibri" w:hAnsi="Calibri"/>
                <w:b/>
                <w:color w:val="172126"/>
                <w:sz w:val="17"/>
              </w:rPr>
              <w:t>1</w:t>
            </w:r>
          </w:p>
        </w:tc>
        <w:tc>
          <w:tcPr>
            <w:tcW w:type="dxa" w:w="3168"/>
          </w:tcPr>
          <w:p>
            <w:pPr>
              <w:spacing w:line="288" w:lineRule="auto" w:after="20"/>
            </w:pPr>
            <w:r/>
            <w:r>
              <w:rPr>
                <w:rFonts w:ascii="Calibri" w:hAnsi="Calibri"/>
                <w:b w:val="0"/>
                <w:color w:val="526068"/>
                <w:sz w:val="17"/>
              </w:rPr>
              <w:t>Fix the cache prefix and add a documents breakpoint</w:t>
            </w:r>
          </w:p>
        </w:tc>
        <w:tc>
          <w:tcPr>
            <w:tcW w:type="dxa" w:w="4464"/>
          </w:tcPr>
          <w:p>
            <w:pPr>
              <w:spacing w:line="288" w:lineRule="auto" w:after="20"/>
            </w:pPr>
            <w:r/>
            <w:r>
              <w:rPr>
                <w:rFonts w:ascii="Calibri" w:hAnsi="Calibri"/>
                <w:b w:val="0"/>
                <w:color w:val="526068"/>
                <w:sz w:val="17"/>
              </w:rPr>
              <w:t>Roughly half to two thirds of the input bill, at zero quality risk — the same bytes in a different order. Caching today is worse than off.</w:t>
            </w:r>
          </w:p>
        </w:tc>
        <w:tc>
          <w:tcPr>
            <w:tcW w:type="dxa" w:w="1440"/>
          </w:tcPr>
          <w:p>
            <w:pPr>
              <w:spacing w:line="288" w:lineRule="auto" w:after="20"/>
            </w:pPr>
            <w:r/>
            <w:r>
              <w:rPr>
                <w:rFonts w:ascii="Calibri" w:hAnsi="Calibri"/>
                <w:b w:val="0"/>
                <w:color w:val="526068"/>
                <w:sz w:val="17"/>
              </w:rPr>
              <w:t>—</w:t>
            </w:r>
          </w:p>
        </w:tc>
      </w:tr>
      <w:tr>
        <w:tc>
          <w:tcPr>
            <w:tcW w:type="dxa" w:w="432"/>
          </w:tcPr>
          <w:p>
            <w:pPr>
              <w:spacing w:line="288" w:lineRule="auto" w:after="20"/>
            </w:pPr>
            <w:r/>
            <w:r>
              <w:rPr>
                <w:rFonts w:ascii="Calibri" w:hAnsi="Calibri"/>
                <w:b/>
                <w:color w:val="172126"/>
                <w:sz w:val="17"/>
              </w:rPr>
              <w:t>2</w:t>
            </w:r>
          </w:p>
        </w:tc>
        <w:tc>
          <w:tcPr>
            <w:tcW w:type="dxa" w:w="3168"/>
          </w:tcPr>
          <w:p>
            <w:pPr>
              <w:spacing w:line="288" w:lineRule="auto" w:after="20"/>
            </w:pPr>
            <w:r/>
            <w:r>
              <w:rPr>
                <w:rFonts w:ascii="Calibri" w:hAnsi="Calibri"/>
                <w:b w:val="0"/>
                <w:color w:val="526068"/>
                <w:sz w:val="17"/>
              </w:rPr>
              <w:t>Correct the cache pricing terms</w:t>
            </w:r>
          </w:p>
        </w:tc>
        <w:tc>
          <w:tcPr>
            <w:tcW w:type="dxa" w:w="4464"/>
          </w:tcPr>
          <w:p>
            <w:pPr>
              <w:spacing w:line="288" w:lineRule="auto" w:after="20"/>
            </w:pPr>
            <w:r/>
            <w:r>
              <w:rPr>
                <w:rFonts w:ascii="Calibri" w:hAnsi="Calibri"/>
                <w:b w:val="0"/>
                <w:color w:val="526068"/>
                <w:sz w:val="17"/>
              </w:rPr>
              <w:t>Do this BEFORE 1, or the usage page reports the improvement wrongly and nobody learns how much was saved.</w:t>
            </w:r>
          </w:p>
        </w:tc>
        <w:tc>
          <w:tcPr>
            <w:tcW w:type="dxa" w:w="1440"/>
          </w:tcPr>
          <w:p>
            <w:pPr>
              <w:spacing w:line="288" w:lineRule="auto" w:after="20"/>
            </w:pPr>
            <w:r/>
            <w:r>
              <w:rPr>
                <w:rFonts w:ascii="Calibri" w:hAnsi="Calibri"/>
                <w:b w:val="0"/>
                <w:color w:val="526068"/>
                <w:sz w:val="17"/>
              </w:rPr>
              <w:t>—</w:t>
            </w:r>
          </w:p>
        </w:tc>
      </w:tr>
      <w:tr>
        <w:tc>
          <w:tcPr>
            <w:tcW w:type="dxa" w:w="432"/>
          </w:tcPr>
          <w:p>
            <w:pPr>
              <w:spacing w:line="288" w:lineRule="auto" w:after="20"/>
            </w:pPr>
            <w:r/>
            <w:r>
              <w:rPr>
                <w:rFonts w:ascii="Calibri" w:hAnsi="Calibri"/>
                <w:b/>
                <w:color w:val="172126"/>
                <w:sz w:val="17"/>
              </w:rPr>
              <w:t>3</w:t>
            </w:r>
          </w:p>
        </w:tc>
        <w:tc>
          <w:tcPr>
            <w:tcW w:type="dxa" w:w="3168"/>
          </w:tcPr>
          <w:p>
            <w:pPr>
              <w:spacing w:line="288" w:lineRule="auto" w:after="20"/>
            </w:pPr>
            <w:r/>
            <w:r>
              <w:rPr>
                <w:rFonts w:ascii="Calibri" w:hAnsi="Calibri"/>
                <w:b w:val="0"/>
                <w:color w:val="526068"/>
                <w:sz w:val="17"/>
              </w:rPr>
              <w:t>Repair the price_lines parser</w:t>
            </w:r>
          </w:p>
        </w:tc>
        <w:tc>
          <w:tcPr>
            <w:tcW w:type="dxa" w:w="4464"/>
          </w:tcPr>
          <w:p>
            <w:pPr>
              <w:spacing w:line="288" w:lineRule="auto" w:after="20"/>
            </w:pPr>
            <w:r/>
            <w:r>
              <w:rPr>
                <w:rFonts w:ascii="Calibri" w:hAnsi="Calibri"/>
                <w:b w:val="0"/>
                <w:color w:val="526068"/>
                <w:sz w:val="17"/>
              </w:rPr>
              <w:t>Full-price calls currently returning nothing. Pure recovery: no tokens saved, real output gained.</w:t>
            </w:r>
          </w:p>
        </w:tc>
        <w:tc>
          <w:tcPr>
            <w:tcW w:type="dxa" w:w="1440"/>
          </w:tcPr>
          <w:p>
            <w:pPr>
              <w:spacing w:line="288" w:lineRule="auto" w:after="20"/>
            </w:pPr>
            <w:r/>
            <w:r>
              <w:rPr>
                <w:rFonts w:ascii="Calibri" w:hAnsi="Calibri"/>
                <w:b w:val="0"/>
                <w:color w:val="526068"/>
                <w:sz w:val="17"/>
              </w:rPr>
              <w:t>—</w:t>
            </w:r>
          </w:p>
        </w:tc>
      </w:tr>
      <w:tr>
        <w:tc>
          <w:tcPr>
            <w:tcW w:type="dxa" w:w="432"/>
          </w:tcPr>
          <w:p>
            <w:pPr>
              <w:spacing w:line="288" w:lineRule="auto" w:after="20"/>
            </w:pPr>
            <w:r/>
            <w:r>
              <w:rPr>
                <w:rFonts w:ascii="Calibri" w:hAnsi="Calibri"/>
                <w:b/>
                <w:color w:val="172126"/>
                <w:sz w:val="17"/>
              </w:rPr>
              <w:t>4</w:t>
            </w:r>
          </w:p>
        </w:tc>
        <w:tc>
          <w:tcPr>
            <w:tcW w:type="dxa" w:w="3168"/>
          </w:tcPr>
          <w:p>
            <w:pPr>
              <w:spacing w:line="288" w:lineRule="auto" w:after="20"/>
            </w:pPr>
            <w:r/>
            <w:r>
              <w:rPr>
                <w:rFonts w:ascii="Calibri" w:hAnsi="Calibri"/>
                <w:b w:val="0"/>
                <w:color w:val="526068"/>
                <w:sz w:val="17"/>
              </w:rPr>
              <w:t>Decide the budget re-route policy</w:t>
            </w:r>
          </w:p>
        </w:tc>
        <w:tc>
          <w:tcPr>
            <w:tcW w:type="dxa" w:w="4464"/>
          </w:tcPr>
          <w:p>
            <w:pPr>
              <w:spacing w:line="288" w:lineRule="auto" w:after="20"/>
            </w:pPr>
            <w:r/>
            <w:r>
              <w:rPr>
                <w:rFonts w:ascii="Calibri" w:hAnsi="Calibri"/>
                <w:b w:val="0"/>
                <w:color w:val="526068"/>
                <w:sz w:val="17"/>
              </w:rPr>
              <w:t>Closes the largest fallback gap. A decision about desired behaviour, not a technical obstacle.</w:t>
            </w:r>
          </w:p>
        </w:tc>
        <w:tc>
          <w:tcPr>
            <w:tcW w:type="dxa" w:w="1440"/>
          </w:tcPr>
          <w:p>
            <w:pPr>
              <w:spacing w:line="288" w:lineRule="auto" w:after="20"/>
            </w:pPr>
            <w:r/>
            <w:r>
              <w:rPr>
                <w:rFonts w:ascii="Calibri" w:hAnsi="Calibri"/>
                <w:b w:val="0"/>
                <w:color w:val="526068"/>
                <w:sz w:val="17"/>
              </w:rPr>
              <w:t>—</w:t>
            </w:r>
          </w:p>
        </w:tc>
      </w:tr>
      <w:tr>
        <w:tc>
          <w:tcPr>
            <w:tcW w:type="dxa" w:w="432"/>
          </w:tcPr>
          <w:p>
            <w:pPr>
              <w:spacing w:line="288" w:lineRule="auto" w:after="20"/>
            </w:pPr>
            <w:r/>
            <w:r>
              <w:rPr>
                <w:rFonts w:ascii="Calibri" w:hAnsi="Calibri"/>
                <w:b/>
                <w:color w:val="172126"/>
                <w:sz w:val="17"/>
              </w:rPr>
              <w:t>5</w:t>
            </w:r>
          </w:p>
        </w:tc>
        <w:tc>
          <w:tcPr>
            <w:tcW w:type="dxa" w:w="3168"/>
          </w:tcPr>
          <w:p>
            <w:pPr>
              <w:spacing w:line="288" w:lineRule="auto" w:after="20"/>
            </w:pPr>
            <w:r/>
            <w:r>
              <w:rPr>
                <w:rFonts w:ascii="Calibri" w:hAnsi="Calibri"/>
                <w:b w:val="0"/>
                <w:color w:val="526068"/>
                <w:sz w:val="17"/>
              </w:rPr>
              <w:t>Write a DV Quaters retrieval corpus</w:t>
            </w:r>
          </w:p>
        </w:tc>
        <w:tc>
          <w:tcPr>
            <w:tcW w:type="dxa" w:w="4464"/>
          </w:tcPr>
          <w:p>
            <w:pPr>
              <w:spacing w:line="288" w:lineRule="auto" w:after="20"/>
            </w:pPr>
            <w:r/>
            <w:r>
              <w:rPr>
                <w:rFonts w:ascii="Calibri" w:hAnsi="Calibri"/>
                <w:b w:val="0"/>
                <w:color w:val="526068"/>
                <w:sz w:val="17"/>
              </w:rPr>
              <w:t>Captures the known 'shower section' miss as a number, so any ranking or extraction change has evidence rather than opinion.</w:t>
            </w:r>
          </w:p>
        </w:tc>
        <w:tc>
          <w:tcPr>
            <w:tcW w:type="dxa" w:w="1440"/>
          </w:tcPr>
          <w:p>
            <w:pPr>
              <w:spacing w:line="288" w:lineRule="auto" w:after="20"/>
            </w:pPr>
            <w:r/>
            <w:r>
              <w:rPr>
                <w:rFonts w:ascii="Calibri" w:hAnsi="Calibri"/>
                <w:b w:val="0"/>
                <w:color w:val="526068"/>
                <w:sz w:val="17"/>
              </w:rPr>
              <w:t>—</w:t>
            </w:r>
          </w:p>
        </w:tc>
      </w:tr>
      <w:tr>
        <w:tc>
          <w:tcPr>
            <w:tcW w:type="dxa" w:w="432"/>
          </w:tcPr>
          <w:p>
            <w:pPr>
              <w:spacing w:line="288" w:lineRule="auto" w:after="20"/>
            </w:pPr>
            <w:r/>
            <w:r>
              <w:rPr>
                <w:rFonts w:ascii="Calibri" w:hAnsi="Calibri"/>
                <w:b/>
                <w:color w:val="172126"/>
                <w:sz w:val="17"/>
              </w:rPr>
              <w:t>6</w:t>
            </w:r>
          </w:p>
        </w:tc>
        <w:tc>
          <w:tcPr>
            <w:tcW w:type="dxa" w:w="3168"/>
          </w:tcPr>
          <w:p>
            <w:pPr>
              <w:spacing w:line="288" w:lineRule="auto" w:after="20"/>
            </w:pPr>
            <w:r/>
            <w:r>
              <w:rPr>
                <w:rFonts w:ascii="Calibri" w:hAnsi="Calibri"/>
                <w:b w:val="0"/>
                <w:color w:val="526068"/>
                <w:sz w:val="17"/>
              </w:rPr>
              <w:t>Build the golden project</w:t>
            </w:r>
          </w:p>
        </w:tc>
        <w:tc>
          <w:tcPr>
            <w:tcW w:type="dxa" w:w="4464"/>
          </w:tcPr>
          <w:p>
            <w:pPr>
              <w:spacing w:line="288" w:lineRule="auto" w:after="20"/>
            </w:pPr>
            <w:r/>
            <w:r>
              <w:rPr>
                <w:rFonts w:ascii="Calibri" w:hAnsi="Calibri"/>
                <w:b w:val="0"/>
                <w:color w:val="526068"/>
                <w:sz w:val="17"/>
              </w:rPr>
              <w:t>Unblocks extraction scoring and therefore the routing correction.</w:t>
            </w:r>
          </w:p>
        </w:tc>
        <w:tc>
          <w:tcPr>
            <w:tcW w:type="dxa" w:w="1440"/>
          </w:tcPr>
          <w:p>
            <w:pPr>
              <w:spacing w:line="288" w:lineRule="auto" w:after="20"/>
            </w:pPr>
            <w:r/>
            <w:r>
              <w:rPr>
                <w:rFonts w:ascii="Calibri" w:hAnsi="Calibri"/>
                <w:b w:val="0"/>
                <w:color w:val="526068"/>
                <w:sz w:val="17"/>
              </w:rPr>
              <w:t>Product workstream</w:t>
            </w:r>
          </w:p>
        </w:tc>
      </w:tr>
      <w:tr>
        <w:tc>
          <w:tcPr>
            <w:tcW w:type="dxa" w:w="432"/>
          </w:tcPr>
          <w:p>
            <w:pPr>
              <w:spacing w:line="288" w:lineRule="auto" w:after="20"/>
            </w:pPr>
            <w:r/>
            <w:r>
              <w:rPr>
                <w:rFonts w:ascii="Calibri" w:hAnsi="Calibri"/>
                <w:b/>
                <w:color w:val="172126"/>
                <w:sz w:val="17"/>
              </w:rPr>
              <w:t>7</w:t>
            </w:r>
          </w:p>
        </w:tc>
        <w:tc>
          <w:tcPr>
            <w:tcW w:type="dxa" w:w="3168"/>
          </w:tcPr>
          <w:p>
            <w:pPr>
              <w:spacing w:line="288" w:lineRule="auto" w:after="20"/>
            </w:pPr>
            <w:r/>
            <w:r>
              <w:rPr>
                <w:rFonts w:ascii="Calibri" w:hAnsi="Calibri"/>
                <w:b w:val="0"/>
                <w:color w:val="526068"/>
                <w:sz w:val="17"/>
              </w:rPr>
              <w:t>Re-tier the extraction tasks</w:t>
            </w:r>
          </w:p>
        </w:tc>
        <w:tc>
          <w:tcPr>
            <w:tcW w:type="dxa" w:w="4464"/>
          </w:tcPr>
          <w:p>
            <w:pPr>
              <w:spacing w:line="288" w:lineRule="auto" w:after="20"/>
            </w:pPr>
            <w:r/>
            <w:r>
              <w:rPr>
                <w:rFonts w:ascii="Calibri" w:hAnsi="Calibri"/>
                <w:b w:val="0"/>
                <w:color w:val="526068"/>
                <w:sz w:val="17"/>
              </w:rPr>
              <w:t>The routing correction itself.</w:t>
            </w:r>
          </w:p>
        </w:tc>
        <w:tc>
          <w:tcPr>
            <w:tcW w:type="dxa" w:w="1440"/>
          </w:tcPr>
          <w:p>
            <w:pPr>
              <w:spacing w:line="288" w:lineRule="auto" w:after="20"/>
            </w:pPr>
            <w:r/>
            <w:r>
              <w:rPr>
                <w:rFonts w:ascii="Calibri" w:hAnsi="Calibri"/>
                <w:b w:val="0"/>
                <w:color w:val="526068"/>
                <w:sz w:val="17"/>
              </w:rPr>
              <w:t>6</w:t>
            </w:r>
          </w:p>
        </w:tc>
      </w:tr>
    </w:tbl>
    <w:p>
      <w:pPr>
        <w:spacing w:after="60"/>
      </w:pPr>
    </w:p>
    <w:p>
      <w:pPr>
        <w:spacing w:before="320" w:after="160" w:line="360" w:lineRule="auto"/>
      </w:pPr>
      <w:r>
        <w:rPr>
          <w:rFonts w:ascii="Consolas" w:hAnsi="Consolas"/>
          <w:b w:val="0"/>
          <w:color w:val="667279"/>
          <w:sz w:val="16"/>
        </w:rPr>
        <w:t>Compiled 2 September 2026 from the running system: agent and workflow registries read from the database, the usage ledger, the production retrieval index, and the test suite. Counts are measured, not estimated.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Georgia" w:hAnsi="Georgia" w:eastAsia="Georgia"/>
      <w:color w:val="52606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