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End-to-End Verification Case 18: Table/Figure mentioned but absent</w:t>
      </w:r>
    </w:p>
    <w:p>
      <w:pPr>
        <w:jc w:val="center"/>
      </w:pPr>
      <w:r>
        <w:t>A. Kumar, B. Rao</w:t>
      </w:r>
      <w:r>
        <w:br/>
        <w:t>Department of Electronics and Communication Engineering, Example University</w:t>
      </w:r>
      <w:r>
        <w:br/>
        <w:t>example.author@university.edu</w:t>
      </w:r>
    </w:p>
    <w:p>
      <w:pPr>
        <w:pStyle w:val="Heading1"/>
      </w:pPr>
      <w:r>
        <w:t>Abstract</w:t>
      </w:r>
    </w:p>
    <w:p>
      <w:r>
        <w:t>This sample manuscript is designed for end-to-end verification of research document automation. It contains structured sections, citations, a table, an equation, a figure placeholder, and references.</w:t>
      </w:r>
    </w:p>
    <w:p>
      <w:r>
        <w:t>Keywords: document automation; manuscript formatting; research publishing; citation analysis</w:t>
      </w:r>
    </w:p>
    <w:p>
      <w:pPr>
        <w:pStyle w:val="Heading1"/>
      </w:pPr>
      <w:r>
        <w:t>1. Introduction</w:t>
      </w:r>
    </w:p>
    <w:p>
      <w:r>
        <w:t>Research manuscripts contain recurring structural elements that can be detected automatically. A reliable automation system must preserve meaning while changing layout and validating scholarly components.</w:t>
      </w:r>
    </w:p>
    <w:p>
      <w:r>
        <w:t>Recent work has explored automated scientific document processing [1], reference extraction [2], and document layout analysis [3].</w:t>
      </w:r>
    </w:p>
    <w:p>
      <w:pPr>
        <w:pStyle w:val="Heading1"/>
      </w:pPr>
      <w:r>
        <w:t>2. Methodology</w:t>
      </w:r>
    </w:p>
    <w:p>
      <w:r>
        <w:t>The proposed workflow parses a DOCX manuscript, identifies headings, paragraphs, tables, figures, equations, citations, and references, and maps these objects to a target journal schema.</w:t>
      </w:r>
    </w:p>
    <w:p>
      <w:pPr>
        <w:jc w:val="center"/>
      </w:pPr>
      <w:r>
        <w:rPr>
          <w:i/>
        </w:rPr>
        <w:t>S = TP / (TP + FP)</w:t>
      </w:r>
    </w:p>
    <w:p>
      <w:r>
        <w:t>Equation (1) defines the verification precision used in this synthetic experiment.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AF7"/>
          </w:tcPr>
          <w:p>
            <w:r>
              <w:t>Metric</w:t>
            </w:r>
          </w:p>
        </w:tc>
        <w:tc>
          <w:tcPr>
            <w:tcW w:type="dxa" w:w="3120"/>
            <w:shd w:fill="D9EAF7"/>
          </w:tcPr>
          <w:p>
            <w:r>
              <w:t>Before</w:t>
            </w:r>
          </w:p>
        </w:tc>
        <w:tc>
          <w:tcPr>
            <w:tcW w:type="dxa" w:w="3120"/>
            <w:shd w:fill="D9EAF7"/>
          </w:tcPr>
          <w:p>
            <w:r>
              <w:t>After</w:t>
            </w:r>
          </w:p>
        </w:tc>
      </w:tr>
      <w:tr>
        <w:tc>
          <w:tcPr>
            <w:tcW w:type="dxa" w:w="3120"/>
          </w:tcPr>
          <w:p>
            <w:r>
              <w:t>Heading detection</w:t>
            </w:r>
          </w:p>
        </w:tc>
        <w:tc>
          <w:tcPr>
            <w:tcW w:type="dxa" w:w="3120"/>
          </w:tcPr>
          <w:p>
            <w:r>
              <w:t>82%</w:t>
            </w:r>
          </w:p>
        </w:tc>
        <w:tc>
          <w:tcPr>
            <w:tcW w:type="dxa" w:w="3120"/>
          </w:tcPr>
          <w:p>
            <w:r>
              <w:t>98%</w:t>
            </w:r>
          </w:p>
        </w:tc>
      </w:tr>
      <w:tr>
        <w:tc>
          <w:tcPr>
            <w:tcW w:type="dxa" w:w="3120"/>
          </w:tcPr>
          <w:p>
            <w:r>
              <w:t>Reference consistency</w:t>
            </w:r>
          </w:p>
        </w:tc>
        <w:tc>
          <w:tcPr>
            <w:tcW w:type="dxa" w:w="3120"/>
          </w:tcPr>
          <w:p>
            <w:r>
              <w:t>71%</w:t>
            </w:r>
          </w:p>
        </w:tc>
        <w:tc>
          <w:tcPr>
            <w:tcW w:type="dxa" w:w="3120"/>
          </w:tcPr>
          <w:p>
            <w:r>
              <w:t>96%</w:t>
            </w:r>
          </w:p>
        </w:tc>
      </w:tr>
    </w:tbl>
    <w:p>
      <w:r>
        <w:t>Table 1. Example verification results.</w:t>
      </w:r>
    </w:p>
    <w:p>
      <w:r>
        <w:t>[FIGURE PLACEHOLDER: System architecture diagram]</w:t>
      </w:r>
    </w:p>
    <w:p>
      <w:r>
        <w:t>Figure 1. End-to-end research document automation workflow.</w:t>
      </w:r>
    </w:p>
    <w:p>
      <w:pPr>
        <w:pStyle w:val="Heading1"/>
      </w:pPr>
      <w:r>
        <w:t>3. Results</w:t>
      </w:r>
    </w:p>
    <w:p>
      <w:r>
        <w:t>The system identifies document objects and applies the selected target style. Verification compares extracted properties against a predefined expected schema.</w:t>
      </w:r>
    </w:p>
    <w:p>
      <w:pPr>
        <w:pStyle w:val="Heading1"/>
      </w:pPr>
      <w:r>
        <w:t>4. Discussion</w:t>
      </w:r>
    </w:p>
    <w:p>
      <w:r>
        <w:t>Formatting validation should be treated separately from research-quality assessment. A document can be visually correct while still containing citation gaps or incomplete methodology.</w:t>
      </w:r>
    </w:p>
    <w:p>
      <w:pPr>
        <w:pStyle w:val="Heading1"/>
      </w:pPr>
      <w:r>
        <w:t>5. Conclusion</w:t>
      </w:r>
    </w:p>
    <w:p>
      <w:r>
        <w:t>The proposed verification dataset tests structural analysis, citation validation, journal suitability checks, and final document generation.</w:t>
      </w:r>
    </w:p>
    <w:p>
      <w:pPr>
        <w:pStyle w:val="Heading1"/>
      </w:pPr>
      <w:r>
        <w:t>References</w:t>
      </w:r>
    </w:p>
    <w:p>
      <w:r>
        <w:t>[1] A. Kumar, “Automated scientific document processing,” Journal of Example Systems, 2024.</w:t>
      </w:r>
    </w:p>
    <w:p>
      <w:r>
        <w:t>[2] B. Rao and C. Singh, “Reference extraction from research articles,” Example Computing Review, 2023.</w:t>
      </w:r>
    </w:p>
    <w:p>
      <w:r>
        <w:t>[3] D. Patel, “Document layout analysis for scholarly publishing,” Example AI Journal, 2022.</w:t>
      </w:r>
    </w:p>
    <w:p>
      <w:r>
        <w:t>As shown in Table 9 and Figure 7, the proposed approach improves accuracy.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