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65D"/>
          <w:sz w:val="36"/>
        </w:rPr>
        <w:t>Enterprise Business Requirements Specification (BRS)</w:t>
      </w:r>
    </w:p>
    <w:p>
      <w:pPr>
        <w:jc w:val="center"/>
      </w:pPr>
      <w:r>
        <w:rPr>
          <w:rFonts w:ascii="Aptos" w:hAnsi="Aptos"/>
          <w:color w:val="5B6B7A"/>
          <w:sz w:val="21"/>
        </w:rPr>
        <w:t>Project: Vendor Contract Obligation Tracker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7030A0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RESTRICTED – LEGAL / COMMERCIAL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Field</w:t>
            </w:r>
          </w:p>
        </w:tc>
        <w:tc>
          <w:tcPr>
            <w:tcW w:type="dxa" w:w="6520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 ID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VCO-BRD-007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Current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Domain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Legal / Supplier Governance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Primary Owner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Legal Operations Analytics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Access Constraint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Restricted to LEGAL_RESTRICTED, PROCUREMENT_LEAD, and Contract PMO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1. Objective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Create a searchable obligation tracker that extracts and governs supplier contract milestones, renewal notice windows, service-level obligations, liability caps, and commercial exceptions from structured contract metadata and reviewed clause extracts.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2. Business Context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Commercial and legal teams repeatedly search contracts for notice periods, auto-renewal dates, service credits, and carve-outs. The target solution should make obligations searchable without indiscriminately exposing sensitive monetary or liability terms to all users.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3. Scope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3.1 In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Approved contract metadata and reviewed clause extracts.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Renewal, termination, service-level, and payment milestone obligations.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Supplier, region, and contract family slicing.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Restricted access handling for monetary values and liability caps.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3.2 Out of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Unreviewed full contract PDFs in raw form.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Privileged legal advice memos.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Negotiation chat transcripts or email threads.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4. Stakeholders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38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6350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Description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Business Sponsor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Procurement PMO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Engineering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Governance Data Products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Control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Legal Operations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Consumers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Vendor managers, legal analysts, procurement leads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5. Source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2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Source</w:t>
            </w:r>
          </w:p>
        </w:tc>
        <w:tc>
          <w:tcPr>
            <w:tcW w:type="dxa" w:w="3005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Purpose</w:t>
            </w:r>
          </w:p>
        </w:tc>
        <w:tc>
          <w:tcPr>
            <w:tcW w:type="dxa" w:w="147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Cadence</w:t>
            </w:r>
          </w:p>
        </w:tc>
        <w:tc>
          <w:tcPr>
            <w:tcW w:type="dxa" w:w="181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Owner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contract_metadata_source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Approved contract metadata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CLM Platform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reviewed_clause_extracts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Reviewed clause summaries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Legal Ops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vendor_master_dim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Supplier master data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Procurement Master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6. Source Schema</w:t>
      </w:r>
    </w:p>
    <w:p>
      <w:pPr>
        <w:spacing w:after="0"/>
      </w:pPr>
      <w:r>
        <w:rPr>
          <w:b/>
        </w:rPr>
        <w:t xml:space="preserve">Primary source table name(s): </w:t>
      </w:r>
      <w:r>
        <w:t>contract_metadata_source, reviewed_clause_extracts, vendor_master_dim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Required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 identifier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supplier_id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Supplier key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contract_family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MSA, SOW, OTA, Distribution, etc.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effective_date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Start date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renewal_date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Renewal date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notice_period_days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Required notice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service_credit_clause_flag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Whether service credits exist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liability_cap_amount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DECIMAL(18,2)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Restricted financial field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auto_renew_flag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Auto-renew status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region_code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Applicable region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7. Target Table Design</w:t>
      </w:r>
    </w:p>
    <w:p>
      <w:pPr>
        <w:spacing w:after="0"/>
      </w:pPr>
      <w:r>
        <w:rPr>
          <w:b/>
        </w:rPr>
        <w:t xml:space="preserve">Primary target table name(s): </w:t>
      </w:r>
      <w:r>
        <w:t>fact_vendor_contract_obligation, vw_vendor_contract_safe_summary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24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701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5216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Business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supplier_id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Supplier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contract_family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Family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renewal_date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Key milestone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notice_period_days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Notice requirement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renewal_action_due_date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due date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service_credit_clause_flag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Flag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liability_cap_visibility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MASKED or RESTRICTED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contract_risk_tier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risk tier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restricted_summary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Safe summary for broad retrieval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8. Business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renewal_action_due_date = renewal_date - notice_period_days when both are populated.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liability_cap_amount must not be shown to users without LEGAL_RESTRICTED role; broad outputs should use liability_cap_visibility only.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Only reviewed clause extracts are eligible for retrieval; raw contract text is not indexed in this release.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Contract family drives default risk tiering and required reminder schedule.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Auto-renew contracts without notice period are treated as high follow-up priority.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9. Data Quality &amp; Validation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contract_id must not be null.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renewal_action_due_date cannot be after renewal_date.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notice_period_days must be non-negative.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supplier_id must exist in vendor master.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10. SLA, Performance &amp; Publishing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6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Metric</w:t>
            </w:r>
          </w:p>
        </w:tc>
        <w:tc>
          <w:tcPr>
            <w:tcW w:type="dxa" w:w="192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Target</w:t>
            </w:r>
          </w:p>
        </w:tc>
        <w:tc>
          <w:tcPr>
            <w:tcW w:type="dxa" w:w="4876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Notes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Freshness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 metadata refreshed each morning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Reminder Lead Time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90 / 60 / 30 days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Reminder schedule for renewals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Pipeline SLA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 hours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From CLM extract arrival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Retention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Full contract life plus archive period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Per legal policy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11. Security, Confidentiality &amp; Access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This document is RESTRICTED – LEGAL / COMMERCIAL.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 broad-access assistant may answer process or milestone logic questions, but must not reveal liability_cap_amount or confidential negotiated commercial terms.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If the request explicitly asks for contract value, liability cap, or unreviewed clause detail, the system should deny or ask for an authorized role.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12. Terminology, Aliases &amp; Retrieval Notes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Aliases: contract tracker, vendor obligations, renewal notice engine, supplier obligation tracker, VCO.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Confidentiality note: this document supports testing role-based answer suppression.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13. Ambiguities, Non-Goals &amp; Guardrails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Do not confuse supplier_id with hotel partner_id used in availability feeds; this document is about contracts and obligations, not property operations.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Monetary terms may exist in source metadata but are not broadly retrievable.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14. Sample Current-State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35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Field</w:t>
            </w:r>
          </w:p>
        </w:tc>
        <w:tc>
          <w:tcPr>
            <w:tcW w:type="dxa" w:w="5953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Example Value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CT-4471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supplier_id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SUP-229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contract_family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Distribution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renewal_date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notice_period_days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60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contract_risk_tier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</w:tbl>
    <w:p/>
    <w:p>
      <w:pPr>
        <w:spacing w:after="80" w:line="276" w:lineRule="auto"/>
      </w:pPr>
      <w:r>
        <w:rPr>
          <w:rFonts w:ascii="Aptos" w:hAnsi="Aptos"/>
          <w:i/>
          <w:sz w:val="20"/>
        </w:rPr>
        <w:t>This synthetic BRS is intentionally designed as part of a RAG evaluation corpus. It contains realistic but fictional requirements, entities, and governance rules so that retrieval, reranking, grounding, and confidentiality behaviors can be validated safely.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 Vendor Contract Obligation Tracker</dc:title>
  <dc:subject>RESTRICTED – LEGAL / COMMERCIAL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