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7365D"/>
          <w:sz w:val="36"/>
        </w:rPr>
        <w:t>Enterprise Business Requirements Specification (BRS)</w:t>
      </w:r>
    </w:p>
    <w:p>
      <w:pPr>
        <w:jc w:val="center"/>
      </w:pPr>
      <w:r>
        <w:rPr>
          <w:rFonts w:ascii="Aptos" w:hAnsi="Aptos"/>
          <w:color w:val="5B6B7A"/>
          <w:sz w:val="21"/>
        </w:rPr>
        <w:t>Project: Rate Plan &amp; Promotion Optimization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548235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INTERNAL USE ONLY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68"/>
            <w:shd w:fill="DDEB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Field</w:t>
            </w:r>
          </w:p>
        </w:tc>
        <w:tc>
          <w:tcPr>
            <w:tcW w:type="dxa" w:w="6520"/>
            <w:shd w:fill="DDEB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Value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Document ID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RPO-BRD-008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Version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Current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Domain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Pricing / Commercial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Primary Owner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Commercial Data Products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Intended Use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Rate governance, promotion eligibility, and pricing analytics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1. Objective</w:t>
      </w:r>
    </w:p>
    <w:p>
      <w:pPr>
        <w:spacing w:after="80" w:line="276" w:lineRule="auto"/>
      </w:pPr>
      <w:r>
        <w:rPr>
          <w:rFonts w:ascii="Aptos" w:hAnsi="Aptos"/>
          <w:i w:val="0"/>
          <w:sz w:val="20"/>
        </w:rPr>
        <w:t>Build a governed data product for base rates, promotional offers, blackout windows, and combinability rules so pricing, search, and analyst teams can answer rate-plan questions without manual engineering support.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2. Business Context</w:t>
      </w:r>
    </w:p>
    <w:p>
      <w:pPr>
        <w:spacing w:after="80" w:line="276" w:lineRule="auto"/>
      </w:pPr>
      <w:r>
        <w:rPr>
          <w:rFonts w:ascii="Aptos" w:hAnsi="Aptos"/>
          <w:i w:val="0"/>
          <w:sz w:val="20"/>
        </w:rPr>
        <w:t>Pricing questions often sound similar to revenue questions, but the underlying logic is different. This specification governs what price should be offered, not what revenue was ultimately recognized after booking.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3. Scope</w:t>
      </w:r>
    </w:p>
    <w:p>
      <w:pPr>
        <w:pStyle w:val="Heading2"/>
        <w:spacing w:before="80" w:after="60"/>
      </w:pPr>
      <w:r>
        <w:rPr>
          <w:rFonts w:ascii="Aptos" w:hAnsi="Aptos"/>
          <w:color w:val="305496"/>
        </w:rPr>
        <w:t>3.1 In Scope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Base rate plans by hotel, room type, stay date, and market.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Promotions, discounts, coupon logic, and blackout windows.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Offer eligibility by loyalty tier, geography, and sales channel.</w:t>
      </w:r>
    </w:p>
    <w:p>
      <w:pPr>
        <w:pStyle w:val="Heading2"/>
        <w:spacing w:before="80" w:after="60"/>
      </w:pPr>
      <w:r>
        <w:rPr>
          <w:rFonts w:ascii="Aptos" w:hAnsi="Aptos"/>
          <w:color w:val="305496"/>
        </w:rPr>
        <w:t>3.2 Out of Scope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Post-booking revenue recognition.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Payment settlement and refunds.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Property master or availability inventory maintenance.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4. Stakeholders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38"/>
            <w:shd w:fill="E2F0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6350"/>
            <w:shd w:fill="E2F0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Description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Business Sponsor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Revenue Management &amp; Pricing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Engineering Owner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Commercial Data Products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Consumers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Search pricing service, analysts, promotions ops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5. Source Systems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24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Source</w:t>
            </w:r>
          </w:p>
        </w:tc>
        <w:tc>
          <w:tcPr>
            <w:tcW w:type="dxa" w:w="3005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Purpose</w:t>
            </w:r>
          </w:p>
        </w:tc>
        <w:tc>
          <w:tcPr>
            <w:tcW w:type="dxa" w:w="1474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Cadence</w:t>
            </w:r>
          </w:p>
        </w:tc>
        <w:tc>
          <w:tcPr>
            <w:tcW w:type="dxa" w:w="1814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Owner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rate_plan_master</w:t>
            </w:r>
          </w:p>
        </w:tc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Base rate plan source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Daily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Pricing Platform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promotion_rule_source</w:t>
            </w:r>
          </w:p>
        </w:tc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Promotions and discounts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Hourly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Campaign Systems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blackout_calendar_source</w:t>
            </w:r>
          </w:p>
        </w:tc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Blackout periods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Daily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Revenue Mgmt Ops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6. Source Schema</w:t>
      </w:r>
    </w:p>
    <w:p>
      <w:pPr>
        <w:spacing w:after="0"/>
      </w:pPr>
      <w:r>
        <w:rPr>
          <w:b/>
        </w:rPr>
        <w:t xml:space="preserve">Primary source table name(s): </w:t>
      </w:r>
      <w:r>
        <w:t>rate_plan_master, promotion_rule_source, blackout_calendar_source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154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Column</w:t>
            </w:r>
          </w:p>
        </w:tc>
        <w:tc>
          <w:tcPr>
            <w:tcW w:type="dxa" w:w="1531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Type</w:t>
            </w:r>
          </w:p>
        </w:tc>
        <w:tc>
          <w:tcPr>
            <w:tcW w:type="dxa" w:w="1134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Required</w:t>
            </w:r>
          </w:p>
        </w:tc>
        <w:tc>
          <w:tcPr>
            <w:tcW w:type="dxa" w:w="4535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Description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rate_plan_id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Rate plan key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hotel_id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Property key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room_type_id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Room type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stay_date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DATE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Stay date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market_id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Market key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base_rate_amount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DECIMAL(18,2)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Base rate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promotion_code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Promotion code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discount_percent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DECIMAL(5,2)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Percent discount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loyalty_tier_min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Minimum eligible tier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sales_channel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App, Web, Partner, Agent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blackout_flag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Promotion blackout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7. Target Table Design</w:t>
      </w:r>
    </w:p>
    <w:p>
      <w:pPr>
        <w:spacing w:after="0"/>
      </w:pPr>
      <w:r>
        <w:rPr>
          <w:b/>
        </w:rPr>
        <w:t xml:space="preserve">Primary target table name(s): </w:t>
      </w:r>
      <w:r>
        <w:t>fact_rate_plan_offer_eligibility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24"/>
            <w:shd w:fill="D9EAD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Column</w:t>
            </w:r>
          </w:p>
        </w:tc>
        <w:tc>
          <w:tcPr>
            <w:tcW w:type="dxa" w:w="1701"/>
            <w:shd w:fill="D9EAD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Type</w:t>
            </w:r>
          </w:p>
        </w:tc>
        <w:tc>
          <w:tcPr>
            <w:tcW w:type="dxa" w:w="5216"/>
            <w:shd w:fill="D9EAD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Description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stay_date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DATE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Primary date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hotel_id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Aggregation key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room_type_id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Aggregation key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market_id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Aggregation key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sales_channel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Aggregation key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best_available_rate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DECIMAL(18,2)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Derived rate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applied_promotion_code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Winning promo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combinability_status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Combinable or not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offer_reason_code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Why offer won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8. Business Rules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best_available_rate starts from base_rate_amount and applies the single best eligible promotion unless combinability rules explicitly allow stacking.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Promotions marked blackout_flag = true are excluded for that stay_date regardless of customer tier.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Loyalty-tier offers require the traveler to meet or exceed loyalty_tier_min.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Sales-channel-specific promotions may not be reused across other channels unless cross-channel flag is true in the promotion source.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Offer precedence is: mandatory contract rate &gt; negotiated corporate rate &gt; best eligible promotional rate &gt; base rate.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9. Data Quality &amp; Validation Rules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base_rate_amount must be positive.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discount_percent must be between 0 and 100 when provided.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A hotel_id + room_type_id + stay_date + market_id + sales_channel combination must resolve to one final best_available_rate.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Promotion codes must be unique within their active date range.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10. SLA, Performance &amp; Publishing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68"/>
            <w:shd w:fill="FCE4D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Metric</w:t>
            </w:r>
          </w:p>
        </w:tc>
        <w:tc>
          <w:tcPr>
            <w:tcW w:type="dxa" w:w="1928"/>
            <w:shd w:fill="FCE4D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Target</w:t>
            </w:r>
          </w:p>
        </w:tc>
        <w:tc>
          <w:tcPr>
            <w:tcW w:type="dxa" w:w="4876"/>
            <w:shd w:fill="FCE4D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Notes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Freshness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Hourly for promos; daily for base rates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Composite product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Pipeline SLA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45 minutes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For hourly promotion refresh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Retention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Current plus 90-day history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Operational analytics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Partitioning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By stay_date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Main analyst access pattern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11. Security, Confidentiality &amp; Access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Classification is INTERNAL USE ONLY. Commercial rules may be sensitive but are not regulated like PII or payment data.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Partner-negotiated special rates are exposed only to authorized internal commercial roles.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12. Terminology, Aliases &amp; Retrieval Notes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Aliases: rate plan master, promo optimization, best available rate, BAR, price rules, offer engine.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Reranking note: this document uses booking-related terms like offer and conversion, but it does not define recognized revenue.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13. Ambiguities, Non-Goals &amp; Guardrails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A query about 'best rate' should resolve here, whereas a query about 'paid revenue' should resolve to the revenue fact document.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Do not confuse blackout_flag with room closure or availability block logic.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14. Sample Current-State Record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35"/>
            <w:shd w:fill="EDEDE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Field</w:t>
            </w:r>
          </w:p>
        </w:tc>
        <w:tc>
          <w:tcPr>
            <w:tcW w:type="dxa" w:w="5953"/>
            <w:shd w:fill="EDEDE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Example Value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stay_date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2026-05-18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hotel_id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H1001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room_type_id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DLX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sales_channel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APP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best_available_rate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219.00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applied_promotion_code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SUMMER10</w:t>
            </w:r>
          </w:p>
        </w:tc>
      </w:tr>
    </w:tbl>
    <w:p/>
    <w:p>
      <w:pPr>
        <w:spacing w:after="80" w:line="276" w:lineRule="auto"/>
      </w:pPr>
      <w:r>
        <w:rPr>
          <w:rFonts w:ascii="Aptos" w:hAnsi="Aptos"/>
          <w:i/>
          <w:sz w:val="20"/>
        </w:rPr>
        <w:t>This synthetic BRS is intentionally designed as part of a RAG evaluation corpus. It contains realistic but fictional requirements, entities, and governance rules so that retrieval, reranking, grounding, and confidentiality behaviors can be validated safely.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Project: Rate Plan &amp; Promotion Optimization</dc:title>
  <dc:subject>INTERNAL USE ONLY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