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Challenge Packaging Industries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Business Intelligence Report</w:t>
      </w:r>
    </w:p>
    <w:p>
      <w:pPr>
        <w:spacing w:after="120"/>
        <w:jc w:val="center"/>
      </w:pPr>
      <w:r>
        <w:rPr>
          <w:rFonts w:ascii="Arial" w:cs="Arial" w:eastAsia="Arial" w:hAnsi="Arial"/>
          <w:color w:val="5F5E5A"/>
          <w:sz w:val="26"/>
          <w:szCs w:val="26"/>
        </w:rPr>
        <w:t xml:space="preserve">Key Insights from ML &amp; Data Analysis</w:t>
      </w:r>
    </w:p>
    <w:p>
      <w:pPr>
        <w:pBdr>
          <w:bottom w:val="single" w:color="DDDDDD" w:sz="4" w:space="1"/>
        </w:pBdr>
        <w:spacing w:after="180" w:before="180"/>
      </w:pPr>
    </w:p>
    <w:p>
      <w:pPr>
        <w:spacing w:after="8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Period: April 2024 — March 2026  |  Source: Tally Daybook (5,781 transactions)</w:t>
      </w:r>
    </w:p>
    <w:p>
      <w:pPr>
        <w:spacing w:after="8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Prepared by: Divya  |  For: Bhuvanesh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The Big Picture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Two years of Tally data tells a clear story about where Challenge Packaging stands, what is working, and what needs attention.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strong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declining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needs 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Revenue grew 12.3%
(3.32 Cr → 3.73 Cr)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Gross margin fell
(34% → 28.4%)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Sundram dependency
(64% of revenue)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Cash flow improved
(-8L → +33.82L)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Purchase costs rising
faster than sales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At-Risk customers
totalling ₹28.8L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13 new customers
acquired in 25-26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Sundram orders
dropped 38% from Nov 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₹7.7L outstanding
from KMD Precision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99.4% payment
collection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 customers churned
between FYs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Jan 2026: purchased
more than we sold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Customer Analysis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Who our customers really are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After consolidating duplicate Tally entries (multiple branches of the same company counted separately), CPI has 38 unique customers across both financial years.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The Sundram Problem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Sundram Fasteners Limited accounts for 64% of CPI's total revenue across both years.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This is a critical concentration risk. If Sundram moves even 20% of their packaging to another vendor, CPI loses approximately ₹91L in annual revenue.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From November 2025 onwards, Sundram's monthly orders dropped 38% (from ₹20.7L/month to ₹12.9L/month). Bhuvanesh confirmed this was a deliberate margin-protection decision — Sundram orders were not profitable enough.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This highlights a deeper issue: CPI's largest customer is also one of its lowest-margin customers.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Customer segments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Customers were scored on three dimensions — how recently they ordered, how often, and how much they spend — and placed into five segments: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2160"/>
        <w:gridCol w:w="2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Champion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₹550.6L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Sundram, Red Star Polymers, J.C Packaging, Christi Traders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Nurture with loyalty pricing and priority service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Loyal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₹84.6L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KMD Precision, Regenix Group, Standex, ASUS, Compack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Retain with regular check-ins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At 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₹28.8L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Genuine Biosystem, Rane Engine Valve, Daeseung Autoparts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Personal call from Bhuvanesh within 30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Promising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₹13.9L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Witzenmann, NIBU Hygiene, Rane Madras, 3Phala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Grow with small incentives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Lost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₹23.6L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Have not ordered in 6+ months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Investigate why they left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Churn — what we lost and what we gained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Between FY 2024-25 and FY 2025-26, CPI lost 9 customers but acquired 13 new ones. The net revenue impact is positive.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 customers churned — ₹23.1L lost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13 new customers — ₹39.4L gained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Daeseung Autoparts — ₹8.8L (551 days silent)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KMD Precision Products — ₹24.8L (10 orders, star customer)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 Star Plastick — ₹4.7L (595 days silent)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Witzenmann India — ₹6.6L (10 orders)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Talon Tack — ₹4.5L (476 days silent)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Rane (Madras) — ₹2.6L (9 orders)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 smaller customers — ₹9.1L combined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 smaller new customers — ₹7.9L combined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Net result: +₹16.4L — CPI is growing its customer base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A7517"/>
                <w:sz w:val="22"/>
                <w:szCs w:val="22"/>
              </w:rPr>
              <w:t xml:space="preserve">Watch closely: Genuine Biosystem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Revenue dropped 62.4% year-on-year: ₹8.5L in 24-25 → ₹3.2L in 25-26.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They are still ordering but at barely a third of last year’s volume. Not yet churned but trending that way.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Regenix Drugs Group also fell 49% (₹13.6L → ₹6.9L) — significant for a confirmed group.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Both need a direct conversation from Bhuvanesh before they disappear entirely.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Margins — The Real Story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single most important finding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ML model confirmed what the data shows clearly: CPI's gross margin is driven almost entirely by how much is spent on purchases each month, not by how much is sold. The correlation between purchase cost and margin is -0.69. When purchases go up, margin collapses.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The rule of thumb for Bhuvanesh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Every ₹1L increase in monthly purchase cost reduces gross margin by 3.65 percentage points.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To consistently achieve 30% gross margin, monthly purchases must stay below ₹20.2L.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Current average monthly purchase: exactly ₹20.2L — which is why the average margin is approximately 30%.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To reach 35% margin, purchases need to come down to ₹18.8L/month. That is a ₹1.4L/month saving.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Margin health across 24 months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1800"/>
        <w:gridCol w:w="34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happened in those months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Healthy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Above 35%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 of 24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Purchase costs were controlled below ₹18.5L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Warning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20% – 35%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 of 24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Purchases running ₹19–22L/month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0% – 20%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 of 24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Sep 24 (98.7% cost ratio), Nov 24, Jan 25, Mar 25, Sep 25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Loss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Below 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of 24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Jan 2026 — Trade Watch purchase of ₹13.98L caused -15.8% margin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January 2026 loss month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January 2026 is the only month in two years where CPI spent more on purchases than it earned from sales — a -15.8% gross margin. The anomaly detection model identified the root cause: a single Trade Watch purchase of ₹13.98L, which is 438% above their average transaction of ₹2.6L. This one bulk buy wiped out the entire month's profit.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Cash Flow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turnaround story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Cash flow improved dramatically between the two financial years, from a negative position to a healthy surplus.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 2024-25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 2025-26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Total Cash 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₹3.52 Cr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₹3.83 Cr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Total Cash 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₹3.60 Cr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₹3.49 Cr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Net Cash 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-₹8L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+₹33.82L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Owner Drawings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₹47.35L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₹10.29L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What caused the turnaround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Owner drawings dropped from ₹47.35L to ₹10.29L — a reduction of ₹37L.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This single change is responsible for almost the entire cash flow improvement. The business itself did not change dramatically; the personal withdrawals were reduced.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This is important context: the -₹8L cash flow in 24-25 was not a sign of a failing business — it was a sign of high personal withdrawals.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Loan payments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Loan payments recorded in Tally across both years total ₹21.16L. However, the estimated actual loan burden including unrecorded EMIs is ₹48–60L. This gap of approximately ₹27–39L in unrecorded loan payments is a significant blind spot in the cash flow picture.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Supplier &amp; Raw Material Cost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Purchase costs are rising faster than revenue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Total purchases grew 21.9% year-on-year (₹2.19 Cr → ₹2.67 Cr) while sales grew only 12.3%. This gap is the primary reason gross margin fell from 34% to 28.4%.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Top suppliers by spend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21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24-25 Spend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25-26 Spend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Pelman Paper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₹34.5L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₹32.9L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Top supplier both years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Trade Watch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₹31.1L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 in 25-26 — investigate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Kaveri Markettokraft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₹14.6L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₹26.6L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+82% increase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Krishna Enterprise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₹20.1L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₹24.1L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Stable, +20%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Indo French Healthcare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₹25.2L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₹17.2L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-32% reduction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Sambhav Paper 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₹5.6L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₹21.8L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+289% — major shift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85A30"/>
                <w:sz w:val="22"/>
                <w:szCs w:val="22"/>
              </w:rPr>
              <w:t xml:space="preserve">Key concerns in supplier data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Trade Watch: spent ₹31.1L with CPI in 25-26 despite being absent in 24-25. A single January 2026 invoice of ₹13.98L from them caused CPI's only loss month. New high-spend suppliers need scrutiny.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Sambhav Paper Source: spend jumped 289% (₹5.6L → ₹21.8L). Three large consecutive purchases in Oct-Dec 2025 suggest bulk stocking. Was this planned?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Kaveri Markettokraft: 82% increase in spend. Worth asking if this reflects a price increase or volume increase.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Cost ratio spikes to watch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cost ratio (purchases as a percentage of sales) should ideally stay below 70% for healthy margins. The following months saw dangerous spikes: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B3A5C"/>
          <w:sz w:val="22"/>
          <w:szCs w:val="22"/>
        </w:rPr>
        <w:t xml:space="preserve">September 2024: 98.7% cost ratio — almost no margin at all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B3A5C"/>
          <w:sz w:val="22"/>
          <w:szCs w:val="22"/>
        </w:rPr>
        <w:t xml:space="preserve">January 2026: 115.8% cost ratio — spent more than earned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B3A5C"/>
          <w:sz w:val="22"/>
          <w:szCs w:val="22"/>
        </w:rPr>
        <w:t xml:space="preserve">November 2024: 80.5%, March 2025: 83.8%, March 2026 pattern repeating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There is a pattern of cost ratio spiking in September and March — which align with year-end stocking and quarter-end purchases. This is worth managing proactively.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Customer Payment Behaviour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good news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CPI has a 99.4% overall payment collection rate across ₹7 Crore of invoicing over two years. This is exceptional. Most manufacturing businesses operate at 85–90%. CPI's customers pay reliably.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10 customers have paid more than invoiced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Sundram Fasteners: +₹4.4L credit balance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Rane Engine Valve: +₹1.9L, Red Star Plastick: +₹3.5L, Genuine Biosystem: +₹1.6L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These customers either pre-pay or carry a running credit balance from earlier periods.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They are CPI's most financially trustworthy customers and should receive priority service.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Customers needing follow-up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80"/>
        <w:gridCol w:w="1680"/>
        <w:gridCol w:w="1500"/>
        <w:gridCol w:w="1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Invoiced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Outstanding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KMD Precision Products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₹24.8L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₹7.7L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69.1%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High Risk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Sudarsan Madras Eng.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₹1.1L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₹0.7L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36.7%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High Risk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Outlook Impex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₹0.6L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₹0.6L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No payment ever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Heravi Pink Store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₹0.3L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₹0.3L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No payment ever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ASUS Technology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₹8.8L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₹1.3L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A7517"/>
                <w:sz w:val="20"/>
                <w:szCs w:val="20"/>
              </w:rPr>
              <w:t xml:space="preserve">84.9%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A7517"/>
                <w:sz w:val="20"/>
                <w:szCs w:val="20"/>
              </w:rPr>
              <w:t xml:space="preserve">Moderate Risk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Revenue Outlook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the next 6 months look like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Based on the trend and seasonality in 24 months of data, the model forecasts monthly revenue of ₹34–39L for April through September 2026. This is approximately 26% above the 2-year historical average of ₹29.2L/month, reflecting the growth from 24-25 to 25-26.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Central forecast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Optimistic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₹27.1L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₹34.2L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₹39.8L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May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₹28.4L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₹36.6L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₹43.3L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June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₹28.1L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₹38.2L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₹46.3L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July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₹27.3L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₹38.6L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₹47.9L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August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₹26.1L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₹37.9L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₹47.7L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September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₹24.7L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₹36.4L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₹46.0L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A7517"/>
                <w:sz w:val="22"/>
                <w:szCs w:val="22"/>
              </w:rPr>
              <w:t xml:space="preserve">Important caveat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This forecast is based on only 24 months of data. The confidence range is wide — actual revenue could fall anywhere between the conservative and optimistic columns.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Use this for planning direction, not exact targets. The forecast will become more accurate as each new month of data is added.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If Sundram increases orders back to their Apr–Oct 2025 levels (₹20.7L/month), actual revenue could significantly exceed the central forecast.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8. Priority Actions for Bhuvanesh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Based on everything the data shows, here are the most impactful actions ranked by urgency and potential financial impact: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Immediate (this week)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Call Daeseung Autoparts (₹8.8L, last ordered Sep 2024) and Red Star Plastick (₹4.7L, last ordered Aug 2024) — find out why they stopped ordering and whether they can be brought back.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Call Genuine Biosystem — revenue fell 62% this year. They are still ordering but rapidly declining. This conversation needs to happen before they churn completely.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a formal payment schedule with KMD Precision Products — ₹7.7L outstanding at 69.1% collection rate is the largest single receivable risk.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Review the Trade Watch ₹13.98L January 2026 purchase — confirm whether the material was used and whether it generated a corresponding sale. This single invoice caused CPI's only loss month.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This month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Investigate the Sambhav Paper Source purchase spike (289% increase in 25-26) — understand whether this reflects price increases or volume changes and whether better rates can be negotiated.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Review all 9 churned customers — specifically understand if any left due to price, quality, or service. If it was price, CPI may be able to re-engage some of them.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Follow up with Outlook Impex (₹0.6L) and Heravi Pink Store (₹0.3L) — both have zero payments received. Collect or write off.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This quarter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Work towards keeping monthly purchases below ₹18.8L — this alone would push gross margin above 35% at current sales levels.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Nurture KMD Precision Products — ₹24.8L in their first year with 10 orders. They are already a Champion-level customer. Ensure they receive priority service and relationship management.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Develop 2–3 new non-Sundram customers to reduce concentration risk. The target should be to bring Sundram's share from 64% to below 50% over the next 2 years.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Record all loan EMI payments in Tally — estimated ₹27–39L in unrecorded payments is creating a false picture of cash flow.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Export the full purchase register from Tally with item-wise quantity and rate per kg — this data will allow a proper raw material cost analysis and improve forecast accuracy.</w:t>
      </w:r>
    </w:p>
    <w:p>
      <w:pPr>
        <w:pBdr>
          <w:bottom w:val="single" w:color="DDDDDD" w:sz="4" w:space="1"/>
        </w:pBdr>
        <w:spacing w:after="180" w:before="180"/>
      </w:pPr>
    </w:p>
    <w:p>
      <w:pPr>
        <w:spacing w:after="12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End of Report</w:t>
      </w:r>
    </w:p>
    <w:p>
      <w:pPr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Challenge Packaging Industries — For internal use by Bhuvanesh only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</w:pPr>
    <w:r>
      <w:rPr>
        <w:rFonts w:ascii="Arial" w:cs="Arial" w:eastAsia="Arial" w:hAnsi="Arial"/>
        <w:i/>
        <w:iCs/>
        <w:color w:val="5F5E5A"/>
        <w:sz w:val="16"/>
        <w:szCs w:val="16"/>
      </w:rPr>
      <w:t xml:space="preserve">Confidential — For internal use by Bhuvanesh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5F5E5A"/>
        <w:sz w:val="18"/>
        <w:szCs w:val="18"/>
      </w:rPr>
      <w:t xml:space="preserve">Challenge Packaging Industries — Business Intelligence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2026-04-13T14:10:11.653Z</dcterms:created>
  <dcterms:modified xsi:type="dcterms:W3CDTF">2026-04-13T14:10:11.654Z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