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3A5C"/>
          <w:sz w:val="52"/>
          <w:szCs w:val="52"/>
        </w:rPr>
        <w:t xml:space="preserve">Challenge Packaging Industries</w:t>
      </w:r>
    </w:p>
    <w:p>
      <w:pPr>
        <w:spacing w:after="120"/>
        <w:jc w:val="center"/>
      </w:pPr>
      <w:r>
        <w:rPr>
          <w:rFonts w:ascii="Arial" w:cs="Arial" w:eastAsia="Arial" w:hAnsi="Arial"/>
          <w:b/>
          <w:bCs/>
          <w:color w:val="2E75B6"/>
          <w:sz w:val="40"/>
          <w:szCs w:val="40"/>
        </w:rPr>
        <w:t xml:space="preserve">Machine Learning Models</w:t>
      </w:r>
    </w:p>
    <w:p>
      <w:pPr>
        <w:spacing w:after="120"/>
        <w:jc w:val="center"/>
      </w:pPr>
      <w:r>
        <w:rPr>
          <w:rFonts w:ascii="Arial" w:cs="Arial" w:eastAsia="Arial" w:hAnsi="Arial"/>
          <w:color w:val="5F5E5A"/>
          <w:sz w:val="28"/>
          <w:szCs w:val="28"/>
        </w:rPr>
        <w:t xml:space="preserve">Technical Documentation &amp; Business Insights</w:t>
      </w:r>
    </w:p>
    <w:p>
      <w:pPr>
        <w:pBdr>
          <w:bottom w:val="single" w:color="CCCCCC" w:sz="4" w:space="1"/>
        </w:pBdr>
        <w:spacing w:after="160" w:before="160"/>
      </w:pPr>
    </w:p>
    <w:p>
      <w:pPr>
        <w:spacing w:after="80"/>
        <w:jc w:val="center"/>
      </w:pPr>
      <w:r>
        <w:rPr>
          <w:rFonts w:ascii="Arial" w:cs="Arial" w:eastAsia="Arial" w:hAnsi="Arial"/>
          <w:color w:val="5F5E5A"/>
          <w:sz w:val="22"/>
          <w:szCs w:val="22"/>
        </w:rPr>
        <w:t xml:space="preserve">Data Period: April 2024 — March 2026  |  Author: Divya</w:t>
      </w:r>
    </w:p>
    <w:p>
      <w:pPr>
        <w:spacing w:after="80"/>
        <w:jc w:val="center"/>
      </w:pPr>
      <w:r>
        <w:rPr>
          <w:rFonts w:ascii="Arial" w:cs="Arial" w:eastAsia="Arial" w:hAnsi="Arial"/>
          <w:color w:val="5F5E5A"/>
          <w:sz w:val="22"/>
          <w:szCs w:val="22"/>
        </w:rPr>
        <w:t xml:space="preserve">Source: day_book_final.csv (5,781 transactions)</w:t>
      </w:r>
    </w:p>
    <w:p>
      <w:pPr>
        <w:spacing w:after="80"/>
        <w:jc w:val="center"/>
      </w:pPr>
      <w:r>
        <w:rPr>
          <w:rFonts w:ascii="Arial" w:cs="Arial" w:eastAsia="Arial" w:hAnsi="Arial"/>
          <w:color w:val="5F5E5A"/>
          <w:sz w:val="22"/>
          <w:szCs w:val="22"/>
        </w:rPr>
        <w:t xml:space="preserve">Models: 6  |  Output CSVs: 6  |  Charts: 8</w:t>
      </w:r>
    </w:p>
    <w:p>
      <w:r>
        <w:br w:type="page"/>
      </w:r>
    </w:p>
    <w:p>
      <w:pPr>
        <w:pStyle w:val="Heading1"/>
        <w:spacing w:after="180" w:before="360"/>
      </w:pPr>
      <w:r>
        <w:rPr>
          <w:rFonts w:ascii="Arial" w:cs="Arial" w:eastAsia="Arial" w:hAnsi="Arial"/>
          <w:b/>
          <w:bCs/>
          <w:color w:val="1B3A5C"/>
          <w:sz w:val="36"/>
          <w:szCs w:val="36"/>
        </w:rPr>
        <w:t xml:space="preserve">Overview</w:t>
      </w:r>
    </w:p>
    <w:p>
      <w:pPr>
        <w:spacing w:after="120"/>
      </w:pPr>
      <w:r>
        <w:rPr>
          <w:rFonts w:ascii="Arial" w:cs="Arial" w:eastAsia="Arial" w:hAnsi="Arial"/>
          <w:sz w:val="22"/>
          <w:szCs w:val="22"/>
        </w:rPr>
        <w:t xml:space="preserve">This document describes the six machine learning and statistical models built for Challenge Packaging Industries (CPI) using two years of Tally daybook data. Each model addresses a specific business question that Bhuvanesh can act on — from identifying which customers are at risk of leaving to predicting whether a month's margin will be healthy or not.</w:t>
      </w:r>
    </w:p>
    <w:p>
      <w:pPr>
        <w:spacing w:after="120"/>
      </w:pPr>
      <w:r>
        <w:rPr>
          <w:rFonts w:ascii="Arial" w:cs="Arial" w:eastAsia="Arial" w:hAnsi="Arial"/>
          <w:sz w:val="22"/>
          <w:szCs w:val="22"/>
        </w:rPr>
        <w:t xml:space="preserve">All models read from a single cleaned source file (day_book_final.csv) and produce output CSVs that are imported directly into the Power BI dashboard's ML Insights page.</w:t>
      </w:r>
    </w:p>
    <w:p>
      <w:pPr>
        <w:spacing w:after="120" w:before="200"/>
      </w:pPr>
      <w:r>
        <w:rPr>
          <w:rFonts w:ascii="Arial" w:cs="Arial" w:eastAsia="Arial" w:hAnsi="Arial"/>
          <w:b/>
          <w:bCs/>
          <w:color w:val="5F5E5A"/>
          <w:sz w:val="24"/>
          <w:szCs w:val="24"/>
        </w:rPr>
        <w:t xml:space="preserve">Models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60"/>
        <w:gridCol w:w="1800"/>
        <w:gridCol w:w="18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Script</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Business question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 CSV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rfm_segmentation.py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Who are our best and at-risk customers?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RFM scoring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rfm_scores.csv</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revenue_forecast.py</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revenue can we expect next 6 months?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Linear Regression + Bootstrap</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forecast.csv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anomaly_detection.py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transactions need a second look?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IQR per 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anomalies.csv</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gross_margin_prediction.py</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Will this month's margin be healthy?</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Ridge Regression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margin_predictions.csv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payment_risk.py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customers are slow or non-payers?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Collection rate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payment_risk.csv</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churn_risk.py</w:t>
            </w:r>
          </w:p>
        </w:tc>
        <w:tc>
          <w:tcPr>
            <w:tcW w:type="dxa" w:w="2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Which customers are going quiet?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Recency + FY activity</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churn_risk.csv</w:t>
            </w:r>
          </w:p>
        </w:tc>
      </w:tr>
    </w:tbl>
    <w:p>
      <w:r>
        <w:br w:type="page"/>
      </w:r>
    </w:p>
    <w:p>
      <w:pPr>
        <w:pStyle w:val="Heading1"/>
        <w:spacing w:after="180" w:before="360"/>
      </w:pPr>
      <w:r>
        <w:rPr>
          <w:rFonts w:ascii="Arial" w:cs="Arial" w:eastAsia="Arial" w:hAnsi="Arial"/>
          <w:b/>
          <w:bCs/>
          <w:color w:val="1B3A5C"/>
          <w:sz w:val="36"/>
          <w:szCs w:val="36"/>
        </w:rPr>
        <w:t xml:space="preserve">Model 01 — RFM Customer Segmentation</w:t>
      </w:r>
    </w:p>
    <w:p>
      <w:pPr>
        <w:pStyle w:val="Heading2"/>
        <w:spacing w:after="120" w:before="280"/>
      </w:pPr>
      <w:r>
        <w:rPr>
          <w:rFonts w:ascii="Arial" w:cs="Arial" w:eastAsia="Arial" w:hAnsi="Arial"/>
          <w:b/>
          <w:bCs/>
          <w:color w:val="2E75B6"/>
          <w:sz w:val="28"/>
          <w:szCs w:val="28"/>
        </w:rPr>
        <w:t xml:space="preserve">Business question</w:t>
      </w:r>
    </w:p>
    <w:p>
      <w:pPr>
        <w:spacing w:after="120"/>
      </w:pPr>
      <w:r>
        <w:rPr>
          <w:rFonts w:ascii="Arial" w:cs="Arial" w:eastAsia="Arial" w:hAnsi="Arial"/>
          <w:sz w:val="22"/>
          <w:szCs w:val="22"/>
        </w:rPr>
        <w:t xml:space="preserve">Who are CPI's best customers, who is growing, and who is at risk of leaving? Bhuvanesh needs to know which customers deserve the most attention and what action to take for each.</w:t>
      </w:r>
    </w:p>
    <w:p>
      <w:pPr>
        <w:pStyle w:val="Heading2"/>
        <w:spacing w:after="120" w:before="280"/>
      </w:pPr>
      <w:r>
        <w:rPr>
          <w:rFonts w:ascii="Arial" w:cs="Arial" w:eastAsia="Arial" w:hAnsi="Arial"/>
          <w:b/>
          <w:bCs/>
          <w:color w:val="2E75B6"/>
          <w:sz w:val="28"/>
          <w:szCs w:val="28"/>
        </w:rPr>
        <w:t xml:space="preserve">What is RFM?</w:t>
      </w:r>
    </w:p>
    <w:p>
      <w:pPr>
        <w:spacing w:after="120"/>
      </w:pPr>
      <w:r>
        <w:rPr>
          <w:rFonts w:ascii="Arial" w:cs="Arial" w:eastAsia="Arial" w:hAnsi="Arial"/>
          <w:sz w:val="22"/>
          <w:szCs w:val="22"/>
        </w:rPr>
        <w:t xml:space="preserve">RFM stands for Recency, Frequency, and Monetary value. Each customer is scored on three dimensions:</w:t>
      </w:r>
    </w:p>
    <w:p>
      <w:pPr>
        <w:pStyle w:val="ListParagraph"/>
        <w:numPr>
          <w:ilvl w:val="0"/>
          <w:numId w:val="2"/>
        </w:numPr>
        <w:spacing w:after="80"/>
      </w:pPr>
      <w:r>
        <w:rPr>
          <w:rFonts w:ascii="Arial" w:cs="Arial" w:eastAsia="Arial" w:hAnsi="Arial"/>
          <w:sz w:val="22"/>
          <w:szCs w:val="22"/>
        </w:rPr>
        <w:t xml:space="preserve">Recency — how recently did they place an order? A customer who bought last week is warmer than one who bought 8 months ago.</w:t>
      </w:r>
    </w:p>
    <w:p>
      <w:pPr>
        <w:pStyle w:val="ListParagraph"/>
        <w:numPr>
          <w:ilvl w:val="0"/>
          <w:numId w:val="2"/>
        </w:numPr>
        <w:spacing w:after="80"/>
      </w:pPr>
      <w:r>
        <w:rPr>
          <w:rFonts w:ascii="Arial" w:cs="Arial" w:eastAsia="Arial" w:hAnsi="Arial"/>
          <w:sz w:val="22"/>
          <w:szCs w:val="22"/>
        </w:rPr>
        <w:t xml:space="preserve">Frequency — how often do they order? High frequency means dependency on CPI's product.</w:t>
      </w:r>
    </w:p>
    <w:p>
      <w:pPr>
        <w:pStyle w:val="ListParagraph"/>
        <w:numPr>
          <w:ilvl w:val="0"/>
          <w:numId w:val="2"/>
        </w:numPr>
        <w:spacing w:after="80"/>
      </w:pPr>
      <w:r>
        <w:rPr>
          <w:rFonts w:ascii="Arial" w:cs="Arial" w:eastAsia="Arial" w:hAnsi="Arial"/>
          <w:sz w:val="22"/>
          <w:szCs w:val="22"/>
        </w:rPr>
        <w:t xml:space="preserve">Monetary — how much have they spent in total? This is the revenue contribution dimension.</w:t>
      </w:r>
    </w:p>
    <w:p>
      <w:pPr>
        <w:spacing w:after="120"/>
      </w:pPr>
      <w:r>
        <w:rPr>
          <w:rFonts w:ascii="Arial" w:cs="Arial" w:eastAsia="Arial" w:hAnsi="Arial"/>
          <w:sz w:val="22"/>
          <w:szCs w:val="22"/>
        </w:rPr>
        <w:t xml:space="preserve">Each dimension is scored 1 to 5. The three scores are combined into a weighted RFM score (R: 30%, F: 30%, M: 40%), and customers are placed into segments based on the result.</w:t>
      </w:r>
    </w:p>
    <w:p>
      <w:pPr>
        <w:pStyle w:val="Heading2"/>
        <w:spacing w:after="120" w:before="280"/>
      </w:pPr>
      <w:r>
        <w:rPr>
          <w:rFonts w:ascii="Arial" w:cs="Arial" w:eastAsia="Arial" w:hAnsi="Arial"/>
          <w:b/>
          <w:bCs/>
          <w:color w:val="2E75B6"/>
          <w:sz w:val="28"/>
          <w:szCs w:val="28"/>
        </w:rPr>
        <w:t xml:space="preserve">Customer name consolidation</w:t>
      </w:r>
    </w:p>
    <w:p>
      <w:pPr>
        <w:spacing w:after="120"/>
      </w:pPr>
      <w:r>
        <w:rPr>
          <w:rFonts w:ascii="Arial" w:cs="Arial" w:eastAsia="Arial" w:hAnsi="Arial"/>
          <w:sz w:val="22"/>
          <w:szCs w:val="22"/>
        </w:rPr>
        <w:t xml:space="preserve">Before scoring, duplicate customer entries from different Tally entries were merged into single entities. The following consolidations were confirmed with Bhuvanesh: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Original names in Tally</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Consolidated as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SUNDRAM FASTENERS LIMITED + Sundram Fasteners Limited ( Madurai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SUNDRAM FASTENERS LIMITED</w:t>
            </w:r>
          </w:p>
        </w:tc>
      </w:tr>
      <w:tr>
        <w:tc>
          <w:tcPr>
            <w:tcW w:type="dxa" w:w="5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ASUS Technology Pvt. Ltd. + M/S ASUS TECHNOLOGY PVT LTD</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ASUS Technology Pvt Ltd</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 STAR POLYMERS + Mangadu + Valasaravakkam variants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 Star Polymers Pvt Ltd</w:t>
            </w:r>
          </w:p>
        </w:tc>
      </w:tr>
      <w:tr>
        <w:tc>
          <w:tcPr>
            <w:tcW w:type="dxa" w:w="5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 Star Plastick + Warehouse + REDSTAR PLASTIC</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 Star Plastick Pvt Ltd</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7 Regenix variants (Bharti Life, Queen, Mur, Super Speciality etc.)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Regenix Drugs Group</w:t>
            </w:r>
          </w:p>
        </w:tc>
      </w:tr>
    </w:tbl>
    <w:p>
      <w:pPr>
        <w:spacing w:after="120"/>
      </w:pPr>
    </w:p>
    <w:p>
      <w:pPr>
        <w:pStyle w:val="Heading2"/>
        <w:spacing w:after="120" w:before="280"/>
      </w:pPr>
      <w:r>
        <w:rPr>
          <w:rFonts w:ascii="Arial" w:cs="Arial" w:eastAsia="Arial" w:hAnsi="Arial"/>
          <w:b/>
          <w:bCs/>
          <w:color w:val="2E75B6"/>
          <w:sz w:val="28"/>
          <w:szCs w:val="28"/>
        </w:rPr>
        <w:t xml:space="preserve">Model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pPr>
            <w:r>
              <w:rPr>
                <w:rFonts w:ascii="Arial" w:cs="Arial" w:eastAsia="Arial" w:hAnsi="Arial"/>
                <w:b/>
                <w:bCs/>
                <w:color w:val="2E75B6"/>
                <w:sz w:val="20"/>
                <w:szCs w:val="20"/>
              </w:rPr>
              <w:t xml:space="preserve">Total customers after consolidation: </w:t>
            </w:r>
            <w:r>
              <w:rPr>
                <w:rFonts w:ascii="Arial" w:cs="Arial" w:eastAsia="Arial" w:hAnsi="Arial"/>
                <w:color w:val="000000"/>
                <w:sz w:val="20"/>
                <w:szCs w:val="20"/>
              </w:rPr>
              <w:t xml:space="preserve">38</w:t>
            </w:r>
          </w:p>
          <w:p>
            <w:pPr>
              <w:spacing w:after="60"/>
            </w:pPr>
            <w:r>
              <w:rPr>
                <w:rFonts w:ascii="Arial" w:cs="Arial" w:eastAsia="Arial" w:hAnsi="Arial"/>
                <w:b/>
                <w:bCs/>
                <w:color w:val="2E75B6"/>
                <w:sz w:val="20"/>
                <w:szCs w:val="20"/>
              </w:rPr>
              <w:t xml:space="preserve">Model R²: </w:t>
            </w:r>
            <w:r>
              <w:rPr>
                <w:rFonts w:ascii="Arial" w:cs="Arial" w:eastAsia="Arial" w:hAnsi="Arial"/>
                <w:color w:val="000000"/>
                <w:sz w:val="20"/>
                <w:szCs w:val="20"/>
              </w:rPr>
              <w:t xml:space="preserve">N/A (scoring model, not regression)</w:t>
            </w:r>
          </w:p>
          <w:p>
            <w:pPr>
              <w:spacing w:after="60"/>
            </w:pPr>
            <w:r>
              <w:rPr>
                <w:rFonts w:ascii="Arial" w:cs="Arial" w:eastAsia="Arial" w:hAnsi="Arial"/>
                <w:b/>
                <w:bCs/>
                <w:color w:val="2E75B6"/>
                <w:sz w:val="20"/>
                <w:szCs w:val="20"/>
              </w:rPr>
              <w:t xml:space="preserve">Output file: </w:t>
            </w:r>
            <w:r>
              <w:rPr>
                <w:rFonts w:ascii="Arial" w:cs="Arial" w:eastAsia="Arial" w:hAnsi="Arial"/>
                <w:color w:val="000000"/>
                <w:sz w:val="20"/>
                <w:szCs w:val="20"/>
              </w:rPr>
              <w:t xml:space="preserve">rfm_scores.csv</w:t>
            </w:r>
          </w:p>
        </w:tc>
      </w:tr>
    </w:tbl>
    <w:p>
      <w:pPr>
        <w:spacing w:after="120"/>
      </w:pPr>
    </w:p>
    <w:p>
      <w:pPr>
        <w:pStyle w:val="Heading2"/>
        <w:spacing w:after="120" w:before="280"/>
      </w:pPr>
      <w:r>
        <w:rPr>
          <w:rFonts w:ascii="Arial" w:cs="Arial" w:eastAsia="Arial" w:hAnsi="Arial"/>
          <w:b/>
          <w:bCs/>
          <w:color w:val="2E75B6"/>
          <w:sz w:val="28"/>
          <w:szCs w:val="28"/>
        </w:rPr>
        <w:t xml:space="preserve">Segment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800"/>
        <w:gridCol w:w="2400"/>
        <w:gridCol w:w="18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Segment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Customers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pPr>
              <w:jc w:val="left"/>
            </w:pPr>
            <w:r>
              <w:rPr>
                <w:rFonts w:ascii="Arial" w:cs="Arial" w:eastAsia="Arial" w:hAnsi="Arial"/>
                <w:b/>
                <w:bCs/>
                <w:color w:val="1D9E75"/>
                <w:sz w:val="20"/>
                <w:szCs w:val="20"/>
              </w:rPr>
              <w:t xml:space="preserve">Champion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₹550.6L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Buy often, high value, recent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Nurture — loyalty pricing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2E75B6"/>
                <w:sz w:val="20"/>
                <w:szCs w:val="20"/>
              </w:rPr>
              <w:t xml:space="preserve">Loyal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₹84.6L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Regular and reliable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 — regular check-ins</w:t>
            </w:r>
          </w:p>
        </w:tc>
      </w:tr>
      <w:tr>
        <w:tc>
          <w:tcPr>
            <w:tcW w:type="dxa" w:w="1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left"/>
            </w:pPr>
            <w:r>
              <w:rPr>
                <w:rFonts w:ascii="Arial" w:cs="Arial" w:eastAsia="Arial" w:hAnsi="Arial"/>
                <w:b/>
                <w:bCs/>
                <w:color w:val="BA7517"/>
                <w:sz w:val="20"/>
                <w:szCs w:val="20"/>
              </w:rPr>
              <w:t xml:space="preserve">At Risk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₹28.8L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Were good, now going quiet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Call within 30 days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Promising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₹13.9L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Recent but low volume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Grow with incentives</w:t>
            </w:r>
          </w:p>
        </w:tc>
      </w:tr>
      <w:tr>
        <w:tc>
          <w:tcPr>
            <w:tcW w:type="dxa" w:w="1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left"/>
            </w:pPr>
            <w:r>
              <w:rPr>
                <w:rFonts w:ascii="Arial" w:cs="Arial" w:eastAsia="Arial" w:hAnsi="Arial"/>
                <w:b/>
                <w:bCs/>
                <w:color w:val="A32D2D"/>
                <w:sz w:val="20"/>
                <w:szCs w:val="20"/>
              </w:rPr>
              <w:t xml:space="preserve">Lost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₹23.6L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Long inactive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Investigate why they left</w:t>
            </w:r>
          </w:p>
        </w:tc>
      </w:tr>
    </w:tbl>
    <w:p>
      <w:pPr>
        <w:spacing w:after="120"/>
      </w:pPr>
    </w:p>
    <w:p>
      <w:pPr>
        <w:pStyle w:val="Heading2"/>
        <w:spacing w:after="120" w:before="280"/>
      </w:pPr>
      <w:r>
        <w:rPr>
          <w:rFonts w:ascii="Arial" w:cs="Arial" w:eastAsia="Arial" w:hAnsi="Arial"/>
          <w:b/>
          <w:bCs/>
          <w:color w:val="2E75B6"/>
          <w:sz w:val="28"/>
          <w:szCs w:val="28"/>
        </w:rPr>
        <w:t xml:space="preserve">Key findings</w:t>
      </w:r>
    </w:p>
    <w:p>
      <w:pPr>
        <w:pStyle w:val="ListParagraph"/>
        <w:numPr>
          <w:ilvl w:val="0"/>
          <w:numId w:val="2"/>
        </w:numPr>
        <w:spacing w:after="80"/>
      </w:pPr>
      <w:r>
        <w:rPr>
          <w:rFonts w:ascii="Arial" w:cs="Arial" w:eastAsia="Arial" w:hAnsi="Arial"/>
          <w:sz w:val="22"/>
          <w:szCs w:val="22"/>
        </w:rPr>
        <w:t xml:space="preserve">Champions (4 customers) contribute ₹550.6L — 78% of total revenue. Losing even one would be critical.</w:t>
      </w:r>
    </w:p>
    <w:p>
      <w:pPr>
        <w:pStyle w:val="ListParagraph"/>
        <w:numPr>
          <w:ilvl w:val="0"/>
          <w:numId w:val="2"/>
        </w:numPr>
        <w:spacing w:after="80"/>
      </w:pPr>
      <w:r>
        <w:rPr>
          <w:rFonts w:ascii="Arial" w:cs="Arial" w:eastAsia="Arial" w:hAnsi="Arial"/>
          <w:sz w:val="22"/>
          <w:szCs w:val="22"/>
        </w:rPr>
        <w:t xml:space="preserve">Sundram Fasteners alone: ₹457.2L at RFM score 5.0 — perfect champion.</w:t>
      </w:r>
    </w:p>
    <w:p>
      <w:pPr>
        <w:pStyle w:val="ListParagraph"/>
        <w:numPr>
          <w:ilvl w:val="0"/>
          <w:numId w:val="2"/>
        </w:numPr>
        <w:spacing w:after="80"/>
      </w:pPr>
      <w:r>
        <w:rPr>
          <w:rFonts w:ascii="Arial" w:cs="Arial" w:eastAsia="Arial" w:hAnsi="Arial"/>
          <w:sz w:val="22"/>
          <w:szCs w:val="22"/>
        </w:rPr>
        <w:t xml:space="preserve">Genuine Biosystem, Rane Engine Valve, and Daeseung Autoparts are At Risk — combined ₹28.8L. Bhuvanesh should call all three immediately.</w:t>
      </w:r>
    </w:p>
    <w:p>
      <w:pPr>
        <w:pStyle w:val="ListParagraph"/>
        <w:numPr>
          <w:ilvl w:val="0"/>
          <w:numId w:val="2"/>
        </w:numPr>
        <w:spacing w:after="80"/>
      </w:pPr>
      <w:r>
        <w:rPr>
          <w:rFonts w:ascii="Arial" w:cs="Arial" w:eastAsia="Arial" w:hAnsi="Arial"/>
          <w:sz w:val="22"/>
          <w:szCs w:val="22"/>
        </w:rPr>
        <w:t xml:space="preserve">19 Lost customers represent only ₹23.6L — low average value, but the count signals poor retention in early 24-25.</w:t>
      </w:r>
    </w:p>
    <w:p>
      <w:r>
        <w:br w:type="page"/>
      </w:r>
    </w:p>
    <w:p>
      <w:pPr>
        <w:pStyle w:val="Heading1"/>
        <w:spacing w:after="180" w:before="360"/>
      </w:pPr>
      <w:r>
        <w:rPr>
          <w:rFonts w:ascii="Arial" w:cs="Arial" w:eastAsia="Arial" w:hAnsi="Arial"/>
          <w:b/>
          <w:bCs/>
          <w:color w:val="1B3A5C"/>
          <w:sz w:val="36"/>
          <w:szCs w:val="36"/>
        </w:rPr>
        <w:t xml:space="preserve">Model 02 — Revenue Forecasting</w:t>
      </w:r>
    </w:p>
    <w:p>
      <w:pPr>
        <w:pStyle w:val="Heading2"/>
        <w:spacing w:after="120" w:before="280"/>
      </w:pPr>
      <w:r>
        <w:rPr>
          <w:rFonts w:ascii="Arial" w:cs="Arial" w:eastAsia="Arial" w:hAnsi="Arial"/>
          <w:b/>
          <w:bCs/>
          <w:color w:val="2E75B6"/>
          <w:sz w:val="28"/>
          <w:szCs w:val="28"/>
        </w:rPr>
        <w:t xml:space="preserve">Business question</w:t>
      </w:r>
    </w:p>
    <w:p>
      <w:pPr>
        <w:spacing w:after="120"/>
      </w:pPr>
      <w:r>
        <w:rPr>
          <w:rFonts w:ascii="Arial" w:cs="Arial" w:eastAsia="Arial" w:hAnsi="Arial"/>
          <w:sz w:val="22"/>
          <w:szCs w:val="22"/>
        </w:rPr>
        <w:t xml:space="preserve">What monthly revenue can CPI expect over the next 6 months? This helps Bhuvanesh plan purchases, staffing, and cash flow requirements in advance.</w:t>
      </w:r>
    </w:p>
    <w:p>
      <w:pPr>
        <w:pStyle w:val="Heading2"/>
        <w:spacing w:after="120" w:before="280"/>
      </w:pPr>
      <w:r>
        <w:rPr>
          <w:rFonts w:ascii="Arial" w:cs="Arial" w:eastAsia="Arial" w:hAnsi="Arial"/>
          <w:b/>
          <w:bCs/>
          <w:color w:val="2E75B6"/>
          <w:sz w:val="28"/>
          <w:szCs w:val="28"/>
        </w:rPr>
        <w:t xml:space="preserve">Why Linear Regression?</w:t>
      </w:r>
    </w:p>
    <w:p>
      <w:pPr>
        <w:spacing w:after="120"/>
      </w:pPr>
      <w:r>
        <w:rPr>
          <w:rFonts w:ascii="Arial" w:cs="Arial" w:eastAsia="Arial" w:hAnsi="Arial"/>
          <w:sz w:val="22"/>
          <w:szCs w:val="22"/>
        </w:rPr>
        <w:t xml:space="preserve">With only 24 months of data, complex models like Random Forest and Gradient Boosting overfit badly — their cross-validation R² scores were -6 to -7, meaning they memorise the training data but predict garbage on new months. Linear Regression with seasonality features is the correct and honest choice for small datasets.</w:t>
      </w:r>
    </w:p>
    <w:p>
      <w:pPr>
        <w:pStyle w:val="Heading2"/>
        <w:spacing w:after="120" w:before="280"/>
      </w:pPr>
      <w:r>
        <w:rPr>
          <w:rFonts w:ascii="Arial" w:cs="Arial" w:eastAsia="Arial" w:hAnsi="Arial"/>
          <w:b/>
          <w:bCs/>
          <w:color w:val="2E75B6"/>
          <w:sz w:val="28"/>
          <w:szCs w:val="28"/>
        </w:rPr>
        <w:t xml:space="preserve">Features used</w:t>
      </w:r>
    </w:p>
    <w:p>
      <w:pPr>
        <w:pStyle w:val="ListParagraph"/>
        <w:numPr>
          <w:ilvl w:val="0"/>
          <w:numId w:val="2"/>
        </w:numPr>
        <w:spacing w:after="80"/>
      </w:pPr>
      <w:r>
        <w:rPr>
          <w:rFonts w:ascii="Arial" w:cs="Arial" w:eastAsia="Arial" w:hAnsi="Arial"/>
          <w:sz w:val="22"/>
          <w:szCs w:val="22"/>
        </w:rPr>
        <w:t xml:space="preserve">Month number (1 to 24) — captures the overall growth trend</w:t>
      </w:r>
    </w:p>
    <w:p>
      <w:pPr>
        <w:pStyle w:val="ListParagraph"/>
        <w:numPr>
          <w:ilvl w:val="0"/>
          <w:numId w:val="2"/>
        </w:numPr>
        <w:spacing w:after="80"/>
      </w:pPr>
      <w:r>
        <w:rPr>
          <w:rFonts w:ascii="Arial" w:cs="Arial" w:eastAsia="Arial" w:hAnsi="Arial"/>
          <w:sz w:val="22"/>
          <w:szCs w:val="22"/>
        </w:rPr>
        <w:t xml:space="preserve">Sin and Cos of month-of-year — captures the 12-month seasonal cycle smoothly without dummy variables</w:t>
      </w:r>
    </w:p>
    <w:p>
      <w:pPr>
        <w:pStyle w:val="ListParagraph"/>
        <w:numPr>
          <w:ilvl w:val="0"/>
          <w:numId w:val="2"/>
        </w:numPr>
        <w:spacing w:after="80"/>
      </w:pPr>
      <w:r>
        <w:rPr>
          <w:rFonts w:ascii="Arial" w:cs="Arial" w:eastAsia="Arial" w:hAnsi="Arial"/>
          <w:sz w:val="22"/>
          <w:szCs w:val="22"/>
        </w:rPr>
        <w:t xml:space="preserve">FY indicator (0 for 24-25, 1 for 25-26) — captures the revenue step-up from year one to year two</w:t>
      </w:r>
    </w:p>
    <w:p>
      <w:pPr>
        <w:pStyle w:val="Heading2"/>
        <w:spacing w:after="120" w:before="280"/>
      </w:pPr>
      <w:r>
        <w:rPr>
          <w:rFonts w:ascii="Arial" w:cs="Arial" w:eastAsia="Arial" w:hAnsi="Arial"/>
          <w:b/>
          <w:bCs/>
          <w:color w:val="2E75B6"/>
          <w:sz w:val="28"/>
          <w:szCs w:val="28"/>
        </w:rPr>
        <w:t xml:space="preserve">Confidence intervals</w:t>
      </w:r>
    </w:p>
    <w:p>
      <w:pPr>
        <w:spacing w:after="120"/>
      </w:pPr>
      <w:r>
        <w:rPr>
          <w:rFonts w:ascii="Arial" w:cs="Arial" w:eastAsia="Arial" w:hAnsi="Arial"/>
          <w:sz w:val="22"/>
          <w:szCs w:val="22"/>
        </w:rPr>
        <w:t xml:space="preserve">Rather than showing a single forecast line, the model uses Bootstrap resampling (500 iterations) to produce honest upper and lower bounds. The bands are deliberately wide because 24 months of data is limited. Bhuvanesh should use this for direction, not exact numbers.</w:t>
      </w:r>
    </w:p>
    <w:p>
      <w:pPr>
        <w:pStyle w:val="Heading2"/>
        <w:spacing w:after="120" w:before="280"/>
      </w:pPr>
      <w:r>
        <w:rPr>
          <w:rFonts w:ascii="Arial" w:cs="Arial" w:eastAsia="Arial" w:hAnsi="Arial"/>
          <w:b/>
          <w:bCs/>
          <w:color w:val="2E75B6"/>
          <w:sz w:val="28"/>
          <w:szCs w:val="28"/>
        </w:rPr>
        <w:t xml:space="preserve">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pPr>
            <w:r>
              <w:rPr>
                <w:rFonts w:ascii="Arial" w:cs="Arial" w:eastAsia="Arial" w:hAnsi="Arial"/>
                <w:b/>
                <w:bCs/>
                <w:color w:val="2E75B6"/>
                <w:sz w:val="20"/>
                <w:szCs w:val="20"/>
              </w:rPr>
              <w:t xml:space="preserve">Model: </w:t>
            </w:r>
            <w:r>
              <w:rPr>
                <w:rFonts w:ascii="Arial" w:cs="Arial" w:eastAsia="Arial" w:hAnsi="Arial"/>
                <w:color w:val="000000"/>
                <w:sz w:val="20"/>
                <w:szCs w:val="20"/>
              </w:rPr>
              <w:t xml:space="preserve">Linear Regression with seasonality</w:t>
            </w:r>
          </w:p>
          <w:p>
            <w:pPr>
              <w:spacing w:after="60"/>
            </w:pPr>
            <w:r>
              <w:rPr>
                <w:rFonts w:ascii="Arial" w:cs="Arial" w:eastAsia="Arial" w:hAnsi="Arial"/>
                <w:b/>
                <w:bCs/>
                <w:color w:val="2E75B6"/>
                <w:sz w:val="20"/>
                <w:szCs w:val="20"/>
              </w:rPr>
              <w:t xml:space="preserve">R²: </w:t>
            </w:r>
            <w:r>
              <w:rPr>
                <w:rFonts w:ascii="Arial" w:cs="Arial" w:eastAsia="Arial" w:hAnsi="Arial"/>
                <w:color w:val="000000"/>
                <w:sz w:val="20"/>
                <w:szCs w:val="20"/>
              </w:rPr>
              <w:t xml:space="preserve">0.349</w:t>
            </w:r>
          </w:p>
          <w:p>
            <w:pPr>
              <w:spacing w:after="60"/>
            </w:pPr>
            <w:r>
              <w:rPr>
                <w:rFonts w:ascii="Arial" w:cs="Arial" w:eastAsia="Arial" w:hAnsi="Arial"/>
                <w:b/>
                <w:bCs/>
                <w:color w:val="2E75B6"/>
                <w:sz w:val="20"/>
                <w:szCs w:val="20"/>
              </w:rPr>
              <w:t xml:space="preserve">MAE: </w:t>
            </w:r>
            <w:r>
              <w:rPr>
                <w:rFonts w:ascii="Arial" w:cs="Arial" w:eastAsia="Arial" w:hAnsi="Arial"/>
                <w:color w:val="000000"/>
                <w:sz w:val="20"/>
                <w:szCs w:val="20"/>
              </w:rPr>
              <w:t xml:space="preserve">₹3.4L per month (average prediction error on historical data)</w:t>
            </w:r>
          </w:p>
          <w:p>
            <w:pPr>
              <w:spacing w:after="60"/>
            </w:pPr>
            <w:r>
              <w:rPr>
                <w:rFonts w:ascii="Arial" w:cs="Arial" w:eastAsia="Arial" w:hAnsi="Arial"/>
                <w:b/>
                <w:bCs/>
                <w:color w:val="2E75B6"/>
                <w:sz w:val="20"/>
                <w:szCs w:val="20"/>
              </w:rPr>
              <w:t xml:space="preserve">Confidence interval: </w:t>
            </w:r>
            <w:r>
              <w:rPr>
                <w:rFonts w:ascii="Arial" w:cs="Arial" w:eastAsia="Arial" w:hAnsi="Arial"/>
                <w:color w:val="000000"/>
                <w:sz w:val="20"/>
                <w:szCs w:val="20"/>
              </w:rPr>
              <w:t xml:space="preserve">90% bootstrap CI</w:t>
            </w:r>
          </w:p>
          <w:p>
            <w:pPr>
              <w:spacing w:after="60"/>
            </w:pPr>
            <w:r>
              <w:rPr>
                <w:rFonts w:ascii="Arial" w:cs="Arial" w:eastAsia="Arial" w:hAnsi="Arial"/>
                <w:b/>
                <w:bCs/>
                <w:color w:val="2E75B6"/>
                <w:sz w:val="20"/>
                <w:szCs w:val="20"/>
              </w:rPr>
              <w:t xml:space="preserve">Output file: </w:t>
            </w:r>
            <w:r>
              <w:rPr>
                <w:rFonts w:ascii="Arial" w:cs="Arial" w:eastAsia="Arial" w:hAnsi="Arial"/>
                <w:color w:val="000000"/>
                <w:sz w:val="20"/>
                <w:szCs w:val="20"/>
              </w:rPr>
              <w:t xml:space="preserve">forecast.csv</w:t>
            </w:r>
          </w:p>
        </w:tc>
      </w:tr>
    </w:tbl>
    <w:p>
      <w:pPr>
        <w:spacing w:after="120"/>
      </w:pPr>
    </w:p>
    <w:p>
      <w:pPr>
        <w:pStyle w:val="Heading2"/>
        <w:spacing w:after="120" w:before="280"/>
      </w:pPr>
      <w:r>
        <w:rPr>
          <w:rFonts w:ascii="Arial" w:cs="Arial" w:eastAsia="Arial" w:hAnsi="Arial"/>
          <w:b/>
          <w:bCs/>
          <w:color w:val="2E75B6"/>
          <w:sz w:val="28"/>
          <w:szCs w:val="28"/>
        </w:rPr>
        <w:t xml:space="preserve">6-month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Lower bound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Forecast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Upper bound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Apr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₹27.1L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₹34.2L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₹39.8L</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May 2026</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₹28.4L</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₹36.6L</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₹43.3L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Jun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₹28.1L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₹38.2L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₹46.3L</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Jul 2026</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₹27.3L</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₹38.6L</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₹47.9L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Aug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₹26.1L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₹37.9L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₹47.7L</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Sep 2026</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₹24.7L</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₹36.4L</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₹46.0L</w:t>
            </w:r>
          </w:p>
        </w:tc>
      </w:tr>
    </w:tbl>
    <w:p>
      <w:pPr>
        <w:spacing w:after="120"/>
      </w:pPr>
    </w:p>
    <w:p>
      <w:pPr>
        <w:pStyle w:val="Heading2"/>
        <w:spacing w:after="120" w:before="280"/>
      </w:pPr>
      <w:r>
        <w:rPr>
          <w:rFonts w:ascii="Arial" w:cs="Arial" w:eastAsia="Arial" w:hAnsi="Arial"/>
          <w:b/>
          <w:bCs/>
          <w:color w:val="2E75B6"/>
          <w:sz w:val="28"/>
          <w:szCs w:val="28"/>
        </w:rPr>
        <w:t xml:space="preserve">Key findings</w:t>
      </w:r>
    </w:p>
    <w:p>
      <w:pPr>
        <w:pStyle w:val="ListParagraph"/>
        <w:numPr>
          <w:ilvl w:val="0"/>
          <w:numId w:val="2"/>
        </w:numPr>
        <w:spacing w:after="80"/>
      </w:pPr>
      <w:r>
        <w:rPr>
          <w:rFonts w:ascii="Arial" w:cs="Arial" w:eastAsia="Arial" w:hAnsi="Arial"/>
          <w:sz w:val="22"/>
          <w:szCs w:val="22"/>
        </w:rPr>
        <w:t xml:space="preserve">Model forecasts ₹34-38L/month for Apr-Sep 2026 — approximately 26% above the 2-year historical average of ₹29.2L/month.</w:t>
      </w:r>
    </w:p>
    <w:p>
      <w:pPr>
        <w:pStyle w:val="ListParagraph"/>
        <w:numPr>
          <w:ilvl w:val="0"/>
          <w:numId w:val="2"/>
        </w:numPr>
        <w:spacing w:after="80"/>
      </w:pPr>
      <w:r>
        <w:rPr>
          <w:rFonts w:ascii="Arial" w:cs="Arial" w:eastAsia="Arial" w:hAnsi="Arial"/>
          <w:sz w:val="22"/>
          <w:szCs w:val="22"/>
        </w:rPr>
        <w:t xml:space="preserve">The growth signal is genuine — 25-26 was structurally stronger than 24-25. But confidence bands are wide.</w:t>
      </w:r>
    </w:p>
    <w:p>
      <w:pPr>
        <w:pStyle w:val="ListParagraph"/>
        <w:numPr>
          <w:ilvl w:val="0"/>
          <w:numId w:val="2"/>
        </w:numPr>
        <w:spacing w:after="80"/>
      </w:pPr>
      <w:r>
        <w:rPr>
          <w:rFonts w:ascii="Arial" w:cs="Arial" w:eastAsia="Arial" w:hAnsi="Arial"/>
          <w:sz w:val="22"/>
          <w:szCs w:val="22"/>
        </w:rPr>
        <w:t xml:space="preserve">Accuracy will improve steadily as more monthly data is added. Rerun every 3 months.</w:t>
      </w:r>
    </w:p>
    <w:p>
      <w:r>
        <w:br w:type="page"/>
      </w:r>
    </w:p>
    <w:p>
      <w:pPr>
        <w:pStyle w:val="Heading1"/>
        <w:spacing w:after="180" w:before="360"/>
      </w:pPr>
      <w:r>
        <w:rPr>
          <w:rFonts w:ascii="Arial" w:cs="Arial" w:eastAsia="Arial" w:hAnsi="Arial"/>
          <w:b/>
          <w:bCs/>
          <w:color w:val="1B3A5C"/>
          <w:sz w:val="36"/>
          <w:szCs w:val="36"/>
        </w:rPr>
        <w:t xml:space="preserve">Model 03 — Anomaly Detection</w:t>
      </w:r>
    </w:p>
    <w:p>
      <w:pPr>
        <w:pStyle w:val="Heading2"/>
        <w:spacing w:after="120" w:before="280"/>
      </w:pPr>
      <w:r>
        <w:rPr>
          <w:rFonts w:ascii="Arial" w:cs="Arial" w:eastAsia="Arial" w:hAnsi="Arial"/>
          <w:b/>
          <w:bCs/>
          <w:color w:val="2E75B6"/>
          <w:sz w:val="28"/>
          <w:szCs w:val="28"/>
        </w:rPr>
        <w:t xml:space="preserve">Business question</w:t>
      </w:r>
    </w:p>
    <w:p>
      <w:pPr>
        <w:spacing w:after="120"/>
      </w:pPr>
      <w:r>
        <w:rPr>
          <w:rFonts w:ascii="Arial" w:cs="Arial" w:eastAsia="Arial" w:hAnsi="Arial"/>
          <w:sz w:val="22"/>
          <w:szCs w:val="22"/>
        </w:rPr>
        <w:t xml:space="preserve">Which sales and purchase transactions are unusually large or small compared to what is normal for that specific customer or supplier? These need a second look from Bhuvanesh.</w:t>
      </w:r>
    </w:p>
    <w:p>
      <w:pPr>
        <w:pStyle w:val="Heading2"/>
        <w:spacing w:after="120" w:before="280"/>
      </w:pPr>
      <w:r>
        <w:rPr>
          <w:rFonts w:ascii="Arial" w:cs="Arial" w:eastAsia="Arial" w:hAnsi="Arial"/>
          <w:b/>
          <w:bCs/>
          <w:color w:val="2E75B6"/>
          <w:sz w:val="28"/>
          <w:szCs w:val="28"/>
        </w:rPr>
        <w:t xml:space="preserve">Why not Isolation Forest?</w:t>
      </w:r>
    </w:p>
    <w:p>
      <w:pPr>
        <w:spacing w:after="120"/>
      </w:pPr>
      <w:r>
        <w:rPr>
          <w:rFonts w:ascii="Arial" w:cs="Arial" w:eastAsia="Arial" w:hAnsi="Arial"/>
          <w:sz w:val="22"/>
          <w:szCs w:val="22"/>
        </w:rPr>
        <w:t xml:space="preserve">The original script used Isolation Forest on all transactions together. This was wrong for CPI because Sundram's normal transaction size is much larger than most other customers — so Sundram's legitimate large orders were flagged as anomalies simply because they stood out from the crowd. The method did not respect individual customer baselines.</w:t>
      </w:r>
    </w:p>
    <w:p>
      <w:pPr>
        <w:pStyle w:val="Heading2"/>
        <w:spacing w:after="120" w:before="280"/>
      </w:pPr>
      <w:r>
        <w:rPr>
          <w:rFonts w:ascii="Arial" w:cs="Arial" w:eastAsia="Arial" w:hAnsi="Arial"/>
          <w:b/>
          <w:bCs/>
          <w:color w:val="2E75B6"/>
          <w:sz w:val="28"/>
          <w:szCs w:val="28"/>
        </w:rPr>
        <w:t xml:space="preserve">Improved method — IQR per customer</w:t>
      </w:r>
    </w:p>
    <w:p>
      <w:pPr>
        <w:spacing w:after="120"/>
      </w:pPr>
      <w:r>
        <w:rPr>
          <w:rFonts w:ascii="Arial" w:cs="Arial" w:eastAsia="Arial" w:hAnsi="Arial"/>
          <w:sz w:val="22"/>
          <w:szCs w:val="22"/>
        </w:rPr>
        <w:t xml:space="preserve">Each customer gets their own normal transaction range calculated using the Interquartile Range (IQR). A transaction is flagged only if it falls outside that specific customer's expected range. This makes every flag genuinely meaningful and explainable.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pPr>
            <w:r>
              <w:rPr>
                <w:rFonts w:ascii="Arial" w:cs="Arial" w:eastAsia="Arial" w:hAnsi="Arial"/>
                <w:b/>
                <w:bCs/>
                <w:color w:val="2E75B6"/>
                <w:sz w:val="20"/>
                <w:szCs w:val="20"/>
              </w:rPr>
              <w:t xml:space="preserve">Method: </w:t>
            </w:r>
            <w:r>
              <w:rPr>
                <w:rFonts w:ascii="Arial" w:cs="Arial" w:eastAsia="Arial" w:hAnsi="Arial"/>
                <w:color w:val="000000"/>
                <w:sz w:val="20"/>
                <w:szCs w:val="20"/>
              </w:rPr>
              <w:t xml:space="preserve">IQR (Q1 - 1.5×IQR to Q3 + 1.5×IQR) per customer/supplier</w:t>
            </w:r>
          </w:p>
          <w:p>
            <w:pPr>
              <w:spacing w:after="60"/>
            </w:pPr>
            <w:r>
              <w:rPr>
                <w:rFonts w:ascii="Arial" w:cs="Arial" w:eastAsia="Arial" w:hAnsi="Arial"/>
                <w:b/>
                <w:bCs/>
                <w:color w:val="2E75B6"/>
                <w:sz w:val="20"/>
                <w:szCs w:val="20"/>
              </w:rPr>
              <w:t xml:space="preserve">Minimum transactions required: </w:t>
            </w:r>
            <w:r>
              <w:rPr>
                <w:rFonts w:ascii="Arial" w:cs="Arial" w:eastAsia="Arial" w:hAnsi="Arial"/>
                <w:color w:val="000000"/>
                <w:sz w:val="20"/>
                <w:szCs w:val="20"/>
              </w:rPr>
              <w:t xml:space="preserve">5 (customers with fewer are skipped)</w:t>
            </w:r>
          </w:p>
          <w:p>
            <w:pPr>
              <w:spacing w:after="60"/>
            </w:pPr>
            <w:r>
              <w:rPr>
                <w:rFonts w:ascii="Arial" w:cs="Arial" w:eastAsia="Arial" w:hAnsi="Arial"/>
                <w:b/>
                <w:bCs/>
                <w:color w:val="2E75B6"/>
                <w:sz w:val="20"/>
                <w:szCs w:val="20"/>
              </w:rPr>
              <w:t xml:space="preserve">Sales anomalies found: </w:t>
            </w:r>
            <w:r>
              <w:rPr>
                <w:rFonts w:ascii="Arial" w:cs="Arial" w:eastAsia="Arial" w:hAnsi="Arial"/>
                <w:color w:val="000000"/>
                <w:sz w:val="20"/>
                <w:szCs w:val="20"/>
              </w:rPr>
              <w:t xml:space="preserve">43 out of 2,220 transactions (1.9%)</w:t>
            </w:r>
          </w:p>
          <w:p>
            <w:pPr>
              <w:spacing w:after="60"/>
            </w:pPr>
            <w:r>
              <w:rPr>
                <w:rFonts w:ascii="Arial" w:cs="Arial" w:eastAsia="Arial" w:hAnsi="Arial"/>
                <w:b/>
                <w:bCs/>
                <w:color w:val="2E75B6"/>
                <w:sz w:val="20"/>
                <w:szCs w:val="20"/>
              </w:rPr>
              <w:t xml:space="preserve">Purchase anomalies found: </w:t>
            </w:r>
            <w:r>
              <w:rPr>
                <w:rFonts w:ascii="Arial" w:cs="Arial" w:eastAsia="Arial" w:hAnsi="Arial"/>
                <w:color w:val="000000"/>
                <w:sz w:val="20"/>
                <w:szCs w:val="20"/>
              </w:rPr>
              <w:t xml:space="preserve">51 out of 752 transactions (6.8%)</w:t>
            </w:r>
          </w:p>
          <w:p>
            <w:pPr>
              <w:spacing w:after="60"/>
            </w:pPr>
            <w:r>
              <w:rPr>
                <w:rFonts w:ascii="Arial" w:cs="Arial" w:eastAsia="Arial" w:hAnsi="Arial"/>
                <w:b/>
                <w:bCs/>
                <w:color w:val="2E75B6"/>
                <w:sz w:val="20"/>
                <w:szCs w:val="20"/>
              </w:rPr>
              <w:t xml:space="preserve">Output file: </w:t>
            </w:r>
            <w:r>
              <w:rPr>
                <w:rFonts w:ascii="Arial" w:cs="Arial" w:eastAsia="Arial" w:hAnsi="Arial"/>
                <w:color w:val="000000"/>
                <w:sz w:val="20"/>
                <w:szCs w:val="20"/>
              </w:rPr>
              <w:t xml:space="preserve">anomalies.csv</w:t>
            </w:r>
          </w:p>
        </w:tc>
      </w:tr>
    </w:tbl>
    <w:p>
      <w:pPr>
        <w:spacing w:after="120"/>
      </w:pPr>
    </w:p>
    <w:p>
      <w:pPr>
        <w:pStyle w:val="Heading2"/>
        <w:spacing w:after="120" w:before="280"/>
      </w:pPr>
      <w:r>
        <w:rPr>
          <w:rFonts w:ascii="Arial" w:cs="Arial" w:eastAsia="Arial" w:hAnsi="Arial"/>
          <w:b/>
          <w:bCs/>
          <w:color w:val="2E75B6"/>
          <w:sz w:val="28"/>
          <w:szCs w:val="28"/>
        </w:rPr>
        <w:t xml:space="preserve">Key findings — Sales</w:t>
      </w:r>
    </w:p>
    <w:p>
      <w:pPr>
        <w:pStyle w:val="ListParagraph"/>
        <w:numPr>
          <w:ilvl w:val="0"/>
          <w:numId w:val="2"/>
        </w:numPr>
        <w:spacing w:after="80"/>
      </w:pPr>
      <w:r>
        <w:rPr>
          <w:rFonts w:ascii="Arial" w:cs="Arial" w:eastAsia="Arial" w:hAnsi="Arial"/>
          <w:sz w:val="22"/>
          <w:szCs w:val="22"/>
        </w:rPr>
        <w:t xml:space="preserve">Sundram Fasteners — 8 large consolidated invoices flagged (₹1.1L to ₹2.3L). These are legitimate bulk orders, not errors. Useful to track for cash flow planning.</w:t>
      </w:r>
    </w:p>
    <w:p>
      <w:pPr>
        <w:pStyle w:val="ListParagraph"/>
        <w:numPr>
          <w:ilvl w:val="0"/>
          <w:numId w:val="2"/>
        </w:numPr>
        <w:spacing w:after="80"/>
      </w:pPr>
      <w:r>
        <w:rPr>
          <w:rFonts w:ascii="Arial" w:cs="Arial" w:eastAsia="Arial" w:hAnsi="Arial"/>
          <w:sz w:val="22"/>
          <w:szCs w:val="22"/>
        </w:rPr>
        <w:t xml:space="preserve">ATPS Engineering ₹56K in Dec 2025 — 263% above their mean of ₹15K. Genuinely unusual for a small customer. Worth verifying.</w:t>
      </w:r>
    </w:p>
    <w:p>
      <w:pPr>
        <w:pStyle w:val="ListParagraph"/>
        <w:numPr>
          <w:ilvl w:val="0"/>
          <w:numId w:val="2"/>
        </w:numPr>
        <w:spacing w:after="80"/>
      </w:pPr>
      <w:r>
        <w:rPr>
          <w:rFonts w:ascii="Arial" w:cs="Arial" w:eastAsia="Arial" w:hAnsi="Arial"/>
          <w:sz w:val="22"/>
          <w:szCs w:val="22"/>
        </w:rPr>
        <w:t xml:space="preserve">J.C Packaging — many flags are a gradual price increase (₹3-8K to ₹11-17K over 2 years). This is normal business growth, not an anomaly. Bhuvanesh to confirm if prices were revised.</w:t>
      </w:r>
    </w:p>
    <w:p>
      <w:pPr>
        <w:pStyle w:val="Heading2"/>
        <w:spacing w:after="120" w:before="280"/>
      </w:pPr>
      <w:r>
        <w:rPr>
          <w:rFonts w:ascii="Arial" w:cs="Arial" w:eastAsia="Arial" w:hAnsi="Arial"/>
          <w:b/>
          <w:bCs/>
          <w:color w:val="2E75B6"/>
          <w:sz w:val="28"/>
          <w:szCs w:val="28"/>
        </w:rPr>
        <w:t xml:space="preserve">Key findings — Purchases</w:t>
      </w:r>
    </w:p>
    <w:p>
      <w:pPr>
        <w:pStyle w:val="ListParagraph"/>
        <w:numPr>
          <w:ilvl w:val="0"/>
          <w:numId w:val="2"/>
        </w:numPr>
        <w:spacing w:after="80"/>
      </w:pPr>
      <w:r>
        <w:rPr>
          <w:rFonts w:ascii="Arial" w:cs="Arial" w:eastAsia="Arial" w:hAnsi="Arial"/>
          <w:sz w:val="22"/>
          <w:szCs w:val="22"/>
        </w:rPr>
        <w:t xml:space="preserve">Trade Watch ₹13.98L in Jan 2026 — 438% above their average of ₹2.6L. This single transaction directly caused the -15.8% margin in Jan 2026. Was this a planned bulk purchase?</w:t>
      </w:r>
    </w:p>
    <w:p>
      <w:pPr>
        <w:pStyle w:val="ListParagraph"/>
        <w:numPr>
          <w:ilvl w:val="0"/>
          <w:numId w:val="2"/>
        </w:numPr>
        <w:spacing w:after="80"/>
      </w:pPr>
      <w:r>
        <w:rPr>
          <w:rFonts w:ascii="Arial" w:cs="Arial" w:eastAsia="Arial" w:hAnsi="Arial"/>
          <w:sz w:val="22"/>
          <w:szCs w:val="22"/>
        </w:rPr>
        <w:t xml:space="preserve">A J Packers ₹75K and ₹1.09L in Apr-May 2024 — 300-500% above normal. Possibly onboarding orders or bulk discount purchase.</w:t>
      </w:r>
    </w:p>
    <w:p>
      <w:pPr>
        <w:pStyle w:val="ListParagraph"/>
        <w:numPr>
          <w:ilvl w:val="0"/>
          <w:numId w:val="2"/>
        </w:numPr>
        <w:spacing w:after="80"/>
      </w:pPr>
      <w:r>
        <w:rPr>
          <w:rFonts w:ascii="Arial" w:cs="Arial" w:eastAsia="Arial" w:hAnsi="Arial"/>
          <w:sz w:val="22"/>
          <w:szCs w:val="22"/>
        </w:rPr>
        <w:t xml:space="preserve">Sambhav Paper Source — three large consecutive purchases in Oct-Dec 2025. Likely pre-stocking ahead of a raw material price rise.</w:t>
      </w:r>
    </w:p>
    <w:p>
      <w:r>
        <w:br w:type="page"/>
      </w:r>
    </w:p>
    <w:p>
      <w:pPr>
        <w:pStyle w:val="Heading1"/>
        <w:spacing w:after="180" w:before="360"/>
      </w:pPr>
      <w:r>
        <w:rPr>
          <w:rFonts w:ascii="Arial" w:cs="Arial" w:eastAsia="Arial" w:hAnsi="Arial"/>
          <w:b/>
          <w:bCs/>
          <w:color w:val="1B3A5C"/>
          <w:sz w:val="36"/>
          <w:szCs w:val="36"/>
        </w:rPr>
        <w:t xml:space="preserve">Model 04 — Gross Margin Prediction</w:t>
      </w:r>
    </w:p>
    <w:p>
      <w:pPr>
        <w:pStyle w:val="Heading2"/>
        <w:spacing w:after="120" w:before="280"/>
      </w:pPr>
      <w:r>
        <w:rPr>
          <w:rFonts w:ascii="Arial" w:cs="Arial" w:eastAsia="Arial" w:hAnsi="Arial"/>
          <w:b/>
          <w:bCs/>
          <w:color w:val="2E75B6"/>
          <w:sz w:val="28"/>
          <w:szCs w:val="28"/>
        </w:rPr>
        <w:t xml:space="preserve">Business question</w:t>
      </w:r>
    </w:p>
    <w:p>
      <w:pPr>
        <w:spacing w:after="120"/>
      </w:pPr>
      <w:r>
        <w:rPr>
          <w:rFonts w:ascii="Arial" w:cs="Arial" w:eastAsia="Arial" w:hAnsi="Arial"/>
          <w:sz w:val="22"/>
          <w:szCs w:val="22"/>
        </w:rPr>
        <w:t xml:space="preserve">What will this month's gross margin percentage be? And more importantly — what is the maximum Bhuvanesh can spend on purchases this month while still achieving his target margin?</w:t>
      </w:r>
    </w:p>
    <w:p>
      <w:pPr>
        <w:pStyle w:val="Heading2"/>
        <w:spacing w:after="120" w:before="280"/>
      </w:pPr>
      <w:r>
        <w:rPr>
          <w:rFonts w:ascii="Arial" w:cs="Arial" w:eastAsia="Arial" w:hAnsi="Arial"/>
          <w:b/>
          <w:bCs/>
          <w:color w:val="2E75B6"/>
          <w:sz w:val="28"/>
          <w:szCs w:val="28"/>
        </w:rPr>
        <w:t xml:space="preserve">Key insight from data exploration</w:t>
      </w:r>
    </w:p>
    <w:p>
      <w:pPr>
        <w:spacing w:after="120"/>
      </w:pPr>
      <w:r>
        <w:rPr>
          <w:rFonts w:ascii="Arial" w:cs="Arial" w:eastAsia="Arial" w:hAnsi="Arial"/>
          <w:sz w:val="22"/>
          <w:szCs w:val="22"/>
        </w:rPr>
        <w:t xml:space="preserve">Purchase cost is the primary driver of gross margin, not revenue. The correlation between monthly purchase amount and margin% is -0.694, meaning when purchases spike, margin collapses. The correlation between sales and margin is only +0.326. This means CPI's margin is controlled by purchase decisions, not by selling more.</w:t>
      </w:r>
    </w:p>
    <w:p>
      <w:pPr>
        <w:pStyle w:val="Heading2"/>
        <w:spacing w:after="120" w:before="280"/>
      </w:pPr>
      <w:r>
        <w:rPr>
          <w:rFonts w:ascii="Arial" w:cs="Arial" w:eastAsia="Arial" w:hAnsi="Arial"/>
          <w:b/>
          <w:bCs/>
          <w:color w:val="2E75B6"/>
          <w:sz w:val="28"/>
          <w:szCs w:val="28"/>
        </w:rPr>
        <w:t xml:space="preserve">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pPr>
            <w:r>
              <w:rPr>
                <w:rFonts w:ascii="Arial" w:cs="Arial" w:eastAsia="Arial" w:hAnsi="Arial"/>
                <w:b/>
                <w:bCs/>
                <w:color w:val="2E75B6"/>
                <w:sz w:val="20"/>
                <w:szCs w:val="20"/>
              </w:rPr>
              <w:t xml:space="preserve">Model: </w:t>
            </w:r>
            <w:r>
              <w:rPr>
                <w:rFonts w:ascii="Arial" w:cs="Arial" w:eastAsia="Arial" w:hAnsi="Arial"/>
                <w:color w:val="000000"/>
                <w:sz w:val="20"/>
                <w:szCs w:val="20"/>
              </w:rPr>
              <w:t xml:space="preserve">Ridge Regression (alpha=1.0)</w:t>
            </w:r>
          </w:p>
          <w:p>
            <w:pPr>
              <w:spacing w:after="60"/>
            </w:pPr>
            <w:r>
              <w:rPr>
                <w:rFonts w:ascii="Arial" w:cs="Arial" w:eastAsia="Arial" w:hAnsi="Arial"/>
                <w:b/>
                <w:bCs/>
                <w:color w:val="2E75B6"/>
                <w:sz w:val="20"/>
                <w:szCs w:val="20"/>
              </w:rPr>
              <w:t xml:space="preserve">Features: </w:t>
            </w:r>
            <w:r>
              <w:rPr>
                <w:rFonts w:ascii="Arial" w:cs="Arial" w:eastAsia="Arial" w:hAnsi="Arial"/>
                <w:color w:val="000000"/>
                <w:sz w:val="20"/>
                <w:szCs w:val="20"/>
              </w:rPr>
              <w:t xml:space="preserve">Monthly Sales amount + Monthly Purchase amount</w:t>
            </w:r>
          </w:p>
          <w:p>
            <w:pPr>
              <w:spacing w:after="60"/>
            </w:pPr>
            <w:r>
              <w:rPr>
                <w:rFonts w:ascii="Arial" w:cs="Arial" w:eastAsia="Arial" w:hAnsi="Arial"/>
                <w:b/>
                <w:bCs/>
                <w:color w:val="2E75B6"/>
                <w:sz w:val="20"/>
                <w:szCs w:val="20"/>
              </w:rPr>
              <w:t xml:space="preserve">R²: </w:t>
            </w:r>
            <w:r>
              <w:rPr>
                <w:rFonts w:ascii="Arial" w:cs="Arial" w:eastAsia="Arial" w:hAnsi="Arial"/>
                <w:color w:val="000000"/>
                <w:sz w:val="20"/>
                <w:szCs w:val="20"/>
              </w:rPr>
              <w:t xml:space="preserve">0.972 — excellent fit</w:t>
            </w:r>
          </w:p>
          <w:p>
            <w:pPr>
              <w:spacing w:after="60"/>
            </w:pPr>
            <w:r>
              <w:rPr>
                <w:rFonts w:ascii="Arial" w:cs="Arial" w:eastAsia="Arial" w:hAnsi="Arial"/>
                <w:b/>
                <w:bCs/>
                <w:color w:val="2E75B6"/>
                <w:sz w:val="20"/>
                <w:szCs w:val="20"/>
              </w:rPr>
              <w:t xml:space="preserve">MAE: </w:t>
            </w:r>
            <w:r>
              <w:rPr>
                <w:rFonts w:ascii="Arial" w:cs="Arial" w:eastAsia="Arial" w:hAnsi="Arial"/>
                <w:color w:val="000000"/>
                <w:sz w:val="20"/>
                <w:szCs w:val="20"/>
              </w:rPr>
              <w:t xml:space="preserve">2.07% (average prediction error)</w:t>
            </w:r>
          </w:p>
          <w:p>
            <w:pPr>
              <w:spacing w:after="60"/>
            </w:pPr>
            <w:r>
              <w:rPr>
                <w:rFonts w:ascii="Arial" w:cs="Arial" w:eastAsia="Arial" w:hAnsi="Arial"/>
                <w:b/>
                <w:bCs/>
                <w:color w:val="2E75B6"/>
                <w:sz w:val="20"/>
                <w:szCs w:val="20"/>
              </w:rPr>
              <w:t xml:space="preserve">Business translation: </w:t>
            </w:r>
            <w:r>
              <w:rPr>
                <w:rFonts w:ascii="Arial" w:cs="Arial" w:eastAsia="Arial" w:hAnsi="Arial"/>
                <w:color w:val="000000"/>
                <w:sz w:val="20"/>
                <w:szCs w:val="20"/>
              </w:rPr>
              <w:t xml:space="preserve">Every ₹1L increase in purchases reduces margin by 3.65%</w:t>
            </w:r>
          </w:p>
          <w:p>
            <w:pPr>
              <w:spacing w:after="60"/>
            </w:pPr>
            <w:r>
              <w:rPr>
                <w:rFonts w:ascii="Arial" w:cs="Arial" w:eastAsia="Arial" w:hAnsi="Arial"/>
                <w:b/>
                <w:bCs/>
                <w:color w:val="2E75B6"/>
                <w:sz w:val="20"/>
                <w:szCs w:val="20"/>
              </w:rPr>
              <w:t xml:space="preserve">Output file: </w:t>
            </w:r>
            <w:r>
              <w:rPr>
                <w:rFonts w:ascii="Arial" w:cs="Arial" w:eastAsia="Arial" w:hAnsi="Arial"/>
                <w:color w:val="000000"/>
                <w:sz w:val="20"/>
                <w:szCs w:val="20"/>
              </w:rPr>
              <w:t xml:space="preserve">margin_predictions.csv</w:t>
            </w:r>
          </w:p>
        </w:tc>
      </w:tr>
    </w:tbl>
    <w:p>
      <w:pPr>
        <w:spacing w:after="120"/>
      </w:pPr>
    </w:p>
    <w:p>
      <w:pPr>
        <w:pStyle w:val="Heading2"/>
        <w:spacing w:after="120" w:before="280"/>
      </w:pPr>
      <w:r>
        <w:rPr>
          <w:rFonts w:ascii="Arial" w:cs="Arial" w:eastAsia="Arial" w:hAnsi="Arial"/>
          <w:b/>
          <w:bCs/>
          <w:color w:val="2E75B6"/>
          <w:sz w:val="28"/>
          <w:szCs w:val="28"/>
        </w:rPr>
        <w:t xml:space="preserve">What-if analysis — purchase targets for margin goals</w:t>
      </w:r>
    </w:p>
    <w:p>
      <w:pPr>
        <w:spacing w:after="120"/>
      </w:pPr>
      <w:r>
        <w:rPr>
          <w:rFonts w:ascii="Arial" w:cs="Arial" w:eastAsia="Arial" w:hAnsi="Arial"/>
          <w:sz w:val="22"/>
          <w:szCs w:val="22"/>
        </w:rPr>
        <w:t xml:space="preserve">At average monthly sales of ₹29.2L, the following purchase limits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margin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Max monthly purchase allowed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 ratio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D9E75"/>
                <w:sz w:val="20"/>
                <w:szCs w:val="20"/>
              </w:rPr>
              <w:t xml:space="preserve">40%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₹17.4L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59.7%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D9E75"/>
                <w:sz w:val="20"/>
                <w:szCs w:val="20"/>
              </w:rPr>
              <w:t xml:space="preserve">35%</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₹18.8L</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64.4%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₹20.2L (current avg)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69.1%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BA7517"/>
                <w:sz w:val="20"/>
                <w:szCs w:val="20"/>
              </w:rPr>
              <w:t xml:space="preserve">25%</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₹21.6L</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73.7%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D85A30"/>
                <w:sz w:val="20"/>
                <w:szCs w:val="20"/>
              </w:rPr>
              <w:t xml:space="preserve">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₹22.9L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78.4%</w:t>
            </w:r>
          </w:p>
        </w:tc>
      </w:tr>
    </w:tbl>
    <w:p>
      <w:pPr>
        <w:spacing w:after="120"/>
      </w:pPr>
    </w:p>
    <w:p>
      <w:pPr>
        <w:pStyle w:val="Heading2"/>
        <w:spacing w:after="120" w:before="280"/>
      </w:pPr>
      <w:r>
        <w:rPr>
          <w:rFonts w:ascii="Arial" w:cs="Arial" w:eastAsia="Arial" w:hAnsi="Arial"/>
          <w:b/>
          <w:bCs/>
          <w:color w:val="2E75B6"/>
          <w:sz w:val="28"/>
          <w:szCs w:val="28"/>
        </w:rPr>
        <w:t xml:space="preserve">Health status —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Threshold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Months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of total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D9E75"/>
                <w:sz w:val="20"/>
                <w:szCs w:val="20"/>
              </w:rPr>
              <w:t xml:space="preserve">Healthy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BA7517"/>
                <w:sz w:val="20"/>
                <w:szCs w:val="20"/>
              </w:rPr>
              <w:t xml:space="preserve">Warning</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20 - 35%</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85A30"/>
                <w:sz w:val="20"/>
                <w:szCs w:val="20"/>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A32D2D"/>
                <w:sz w:val="20"/>
                <w:szCs w:val="20"/>
              </w:rPr>
              <w:t xml:space="preserve">Loss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r>
    </w:tbl>
    <w:p>
      <w:r>
        <w:br w:type="page"/>
      </w:r>
    </w:p>
    <w:p>
      <w:pPr>
        <w:pStyle w:val="Heading1"/>
        <w:spacing w:after="180" w:before="360"/>
      </w:pPr>
      <w:r>
        <w:rPr>
          <w:rFonts w:ascii="Arial" w:cs="Arial" w:eastAsia="Arial" w:hAnsi="Arial"/>
          <w:b/>
          <w:bCs/>
          <w:color w:val="1B3A5C"/>
          <w:sz w:val="36"/>
          <w:szCs w:val="36"/>
        </w:rPr>
        <w:t xml:space="preserve">Model 05 — Payment Risk Analysis</w:t>
      </w:r>
    </w:p>
    <w:p>
      <w:pPr>
        <w:pStyle w:val="Heading2"/>
        <w:spacing w:after="120" w:before="280"/>
      </w:pPr>
      <w:r>
        <w:rPr>
          <w:rFonts w:ascii="Arial" w:cs="Arial" w:eastAsia="Arial" w:hAnsi="Arial"/>
          <w:b/>
          <w:bCs/>
          <w:color w:val="2E75B6"/>
          <w:sz w:val="28"/>
          <w:szCs w:val="28"/>
        </w:rPr>
        <w:t xml:space="preserve">Business question</w:t>
      </w:r>
    </w:p>
    <w:p>
      <w:pPr>
        <w:spacing w:after="120"/>
      </w:pPr>
      <w:r>
        <w:rPr>
          <w:rFonts w:ascii="Arial" w:cs="Arial" w:eastAsia="Arial" w:hAnsi="Arial"/>
          <w:sz w:val="22"/>
          <w:szCs w:val="22"/>
        </w:rPr>
        <w:t xml:space="preserve">Which customers are paying reliably and which ones are slow or non-payers? What is the total outstanding amount and which customers need a follow-up call?</w:t>
      </w:r>
    </w:p>
    <w:p>
      <w:pPr>
        <w:pStyle w:val="Heading2"/>
        <w:spacing w:after="120" w:before="280"/>
      </w:pPr>
      <w:r>
        <w:rPr>
          <w:rFonts w:ascii="Arial" w:cs="Arial" w:eastAsia="Arial" w:hAnsi="Arial"/>
          <w:b/>
          <w:bCs/>
          <w:color w:val="2E75B6"/>
          <w:sz w:val="28"/>
          <w:szCs w:val="28"/>
        </w:rPr>
        <w:t xml:space="preserve">Method</w:t>
      </w:r>
    </w:p>
    <w:p>
      <w:pPr>
        <w:spacing w:after="120"/>
      </w:pPr>
      <w:r>
        <w:rPr>
          <w:rFonts w:ascii="Arial" w:cs="Arial" w:eastAsia="Arial" w:hAnsi="Arial"/>
          <w:sz w:val="22"/>
          <w:szCs w:val="22"/>
        </w:rPr>
        <w:t xml:space="preserve">Total invoiced amount per customer (from Sales transactions) is compared to total received amount (from Receipt transactions). Customer receipts are isolated from non-customer entries such as salary payments, GST, and loan repayments. The collection rate determines the risk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pPr>
            <w:r>
              <w:rPr>
                <w:rFonts w:ascii="Arial" w:cs="Arial" w:eastAsia="Arial" w:hAnsi="Arial"/>
                <w:b/>
                <w:bCs/>
                <w:color w:val="2E75B6"/>
                <w:sz w:val="20"/>
                <w:szCs w:val="20"/>
              </w:rPr>
              <w:t xml:space="preserve">Total invoiced (all customers): </w:t>
            </w:r>
            <w:r>
              <w:rPr>
                <w:rFonts w:ascii="Arial" w:cs="Arial" w:eastAsia="Arial" w:hAnsi="Arial"/>
                <w:color w:val="000000"/>
                <w:sz w:val="20"/>
                <w:szCs w:val="20"/>
              </w:rPr>
              <w:t xml:space="preserve">₹7.0 Crore</w:t>
            </w:r>
          </w:p>
          <w:p>
            <w:pPr>
              <w:spacing w:after="60"/>
            </w:pPr>
            <w:r>
              <w:rPr>
                <w:rFonts w:ascii="Arial" w:cs="Arial" w:eastAsia="Arial" w:hAnsi="Arial"/>
                <w:b/>
                <w:bCs/>
                <w:color w:val="2E75B6"/>
                <w:sz w:val="20"/>
                <w:szCs w:val="20"/>
              </w:rPr>
              <w:t xml:space="preserve">Total received: </w:t>
            </w:r>
            <w:r>
              <w:rPr>
                <w:rFonts w:ascii="Arial" w:cs="Arial" w:eastAsia="Arial" w:hAnsi="Arial"/>
                <w:color w:val="000000"/>
                <w:sz w:val="20"/>
                <w:szCs w:val="20"/>
              </w:rPr>
              <w:t xml:space="preserve">₹6.97 Crore</w:t>
            </w:r>
          </w:p>
          <w:p>
            <w:pPr>
              <w:spacing w:after="60"/>
            </w:pPr>
            <w:r>
              <w:rPr>
                <w:rFonts w:ascii="Arial" w:cs="Arial" w:eastAsia="Arial" w:hAnsi="Arial"/>
                <w:b/>
                <w:bCs/>
                <w:color w:val="2E75B6"/>
                <w:sz w:val="20"/>
                <w:szCs w:val="20"/>
              </w:rPr>
              <w:t xml:space="preserve">Total outstanding: </w:t>
            </w:r>
            <w:r>
              <w:rPr>
                <w:rFonts w:ascii="Arial" w:cs="Arial" w:eastAsia="Arial" w:hAnsi="Arial"/>
                <w:color w:val="000000"/>
                <w:sz w:val="20"/>
                <w:szCs w:val="20"/>
              </w:rPr>
              <w:t xml:space="preserve">₹4.3L</w:t>
            </w:r>
          </w:p>
          <w:p>
            <w:pPr>
              <w:spacing w:after="60"/>
            </w:pPr>
            <w:r>
              <w:rPr>
                <w:rFonts w:ascii="Arial" w:cs="Arial" w:eastAsia="Arial" w:hAnsi="Arial"/>
                <w:b/>
                <w:bCs/>
                <w:color w:val="2E75B6"/>
                <w:sz w:val="20"/>
                <w:szCs w:val="20"/>
              </w:rPr>
              <w:t xml:space="preserve">Overall collection rate: </w:t>
            </w:r>
            <w:r>
              <w:rPr>
                <w:rFonts w:ascii="Arial" w:cs="Arial" w:eastAsia="Arial" w:hAnsi="Arial"/>
                <w:color w:val="000000"/>
                <w:sz w:val="20"/>
                <w:szCs w:val="20"/>
              </w:rPr>
              <w:t xml:space="preserve">99.4% — excellent</w:t>
            </w:r>
          </w:p>
          <w:p>
            <w:pPr>
              <w:spacing w:after="60"/>
            </w:pPr>
            <w:r>
              <w:rPr>
                <w:rFonts w:ascii="Arial" w:cs="Arial" w:eastAsia="Arial" w:hAnsi="Arial"/>
                <w:b/>
                <w:bCs/>
                <w:color w:val="2E75B6"/>
                <w:sz w:val="20"/>
                <w:szCs w:val="20"/>
              </w:rPr>
              <w:t xml:space="preserve">Output file: </w:t>
            </w:r>
            <w:r>
              <w:rPr>
                <w:rFonts w:ascii="Arial" w:cs="Arial" w:eastAsia="Arial" w:hAnsi="Arial"/>
                <w:color w:val="000000"/>
                <w:sz w:val="20"/>
                <w:szCs w:val="20"/>
              </w:rPr>
              <w:t xml:space="preserve">payment_risk.csv</w:t>
            </w:r>
          </w:p>
        </w:tc>
      </w:tr>
    </w:tbl>
    <w:p>
      <w:pPr>
        <w:spacing w:after="120"/>
      </w:pPr>
    </w:p>
    <w:p>
      <w:pPr>
        <w:pStyle w:val="Heading2"/>
        <w:spacing w:after="120" w:before="280"/>
      </w:pPr>
      <w:r>
        <w:rPr>
          <w:rFonts w:ascii="Arial" w:cs="Arial" w:eastAsia="Arial" w:hAnsi="Arial"/>
          <w:b/>
          <w:bCs/>
          <w:color w:val="2E75B6"/>
          <w:sz w:val="28"/>
          <w:szCs w:val="28"/>
        </w:rPr>
        <w:t xml:space="preserve">Risk tier thresholds</w:t>
      </w:r>
    </w:p>
    <w:p>
      <w:pPr>
        <w:pStyle w:val="ListParagraph"/>
        <w:numPr>
          <w:ilvl w:val="0"/>
          <w:numId w:val="2"/>
        </w:numPr>
        <w:spacing w:after="80"/>
      </w:pPr>
      <w:r>
        <w:rPr>
          <w:rFonts w:ascii="Arial" w:cs="Arial" w:eastAsia="Arial" w:hAnsi="Arial"/>
          <w:sz w:val="22"/>
          <w:szCs w:val="22"/>
        </w:rPr>
        <w:t xml:space="preserve">Advance Payer: Collection rate &gt; 100% (paid more than invoiced — pre-payment or prior credit balance)</w:t>
      </w:r>
    </w:p>
    <w:p>
      <w:pPr>
        <w:pStyle w:val="ListParagraph"/>
        <w:numPr>
          <w:ilvl w:val="0"/>
          <w:numId w:val="2"/>
        </w:numPr>
        <w:spacing w:after="80"/>
      </w:pPr>
      <w:r>
        <w:rPr>
          <w:rFonts w:ascii="Arial" w:cs="Arial" w:eastAsia="Arial" w:hAnsi="Arial"/>
          <w:sz w:val="22"/>
          <w:szCs w:val="22"/>
        </w:rPr>
        <w:t xml:space="preserve">Excellent: 95% or above</w:t>
      </w:r>
    </w:p>
    <w:p>
      <w:pPr>
        <w:pStyle w:val="ListParagraph"/>
        <w:numPr>
          <w:ilvl w:val="0"/>
          <w:numId w:val="2"/>
        </w:numPr>
        <w:spacing w:after="80"/>
      </w:pPr>
      <w:r>
        <w:rPr>
          <w:rFonts w:ascii="Arial" w:cs="Arial" w:eastAsia="Arial" w:hAnsi="Arial"/>
          <w:sz w:val="22"/>
          <w:szCs w:val="22"/>
        </w:rPr>
        <w:t xml:space="preserve">Good: 85% to 95%</w:t>
      </w:r>
    </w:p>
    <w:p>
      <w:pPr>
        <w:pStyle w:val="ListParagraph"/>
        <w:numPr>
          <w:ilvl w:val="0"/>
          <w:numId w:val="2"/>
        </w:numPr>
        <w:spacing w:after="80"/>
      </w:pPr>
      <w:r>
        <w:rPr>
          <w:rFonts w:ascii="Arial" w:cs="Arial" w:eastAsia="Arial" w:hAnsi="Arial"/>
          <w:sz w:val="22"/>
          <w:szCs w:val="22"/>
        </w:rPr>
        <w:t xml:space="preserve">Moderate Risk: 70% to 85%</w:t>
      </w:r>
    </w:p>
    <w:p>
      <w:pPr>
        <w:pStyle w:val="ListParagraph"/>
        <w:numPr>
          <w:ilvl w:val="0"/>
          <w:numId w:val="2"/>
        </w:numPr>
        <w:spacing w:after="80"/>
      </w:pPr>
      <w:r>
        <w:rPr>
          <w:rFonts w:ascii="Arial" w:cs="Arial" w:eastAsia="Arial" w:hAnsi="Arial"/>
          <w:sz w:val="22"/>
          <w:szCs w:val="22"/>
        </w:rPr>
        <w:t xml:space="preserve">High Risk: below 70% or zero payments received</w:t>
      </w:r>
    </w:p>
    <w:p>
      <w:pPr>
        <w:pStyle w:val="Heading2"/>
        <w:spacing w:after="120" w:before="280"/>
      </w:pPr>
      <w:r>
        <w:rPr>
          <w:rFonts w:ascii="Arial" w:cs="Arial" w:eastAsia="Arial" w:hAnsi="Arial"/>
          <w:b/>
          <w:bCs/>
          <w:color w:val="2E75B6"/>
          <w:sz w:val="28"/>
          <w:szCs w:val="28"/>
        </w:rPr>
        <w:t xml:space="preserve">Key findings</w:t>
      </w:r>
    </w:p>
    <w:p>
      <w:pPr>
        <w:pStyle w:val="ListParagraph"/>
        <w:numPr>
          <w:ilvl w:val="0"/>
          <w:numId w:val="2"/>
        </w:numPr>
        <w:spacing w:after="80"/>
      </w:pPr>
      <w:r>
        <w:rPr>
          <w:rFonts w:ascii="Arial" w:cs="Arial" w:eastAsia="Arial" w:hAnsi="Arial"/>
          <w:sz w:val="22"/>
          <w:szCs w:val="22"/>
        </w:rPr>
        <w:t xml:space="preserve">10 customers are Advance Payers — Sundram (+₹4.4L credit), Rane Engine Valve (+₹1.9L), Red Star Plastick (+₹3.5L) among them. These are CPI's most financially reliable customers.</w:t>
      </w:r>
    </w:p>
    <w:p>
      <w:pPr>
        <w:pStyle w:val="ListParagraph"/>
        <w:numPr>
          <w:ilvl w:val="0"/>
          <w:numId w:val="2"/>
        </w:numPr>
        <w:spacing w:after="80"/>
      </w:pPr>
      <w:r>
        <w:rPr>
          <w:rFonts w:ascii="Arial" w:cs="Arial" w:eastAsia="Arial" w:hAnsi="Arial"/>
          <w:sz w:val="22"/>
          <w:szCs w:val="22"/>
        </w:rPr>
        <w:t xml:space="preserve">KMD Precision Products — ₹7.7L outstanding at 69.1% collection rate. Largest outstanding balance. Last payment was Mar 2026 so they are active but slow. Bhuvanesh should set a formal payment schedule.</w:t>
      </w:r>
    </w:p>
    <w:p>
      <w:pPr>
        <w:pStyle w:val="ListParagraph"/>
        <w:numPr>
          <w:ilvl w:val="0"/>
          <w:numId w:val="2"/>
        </w:numPr>
        <w:spacing w:after="80"/>
      </w:pPr>
      <w:r>
        <w:rPr>
          <w:rFonts w:ascii="Arial" w:cs="Arial" w:eastAsia="Arial" w:hAnsi="Arial"/>
          <w:sz w:val="22"/>
          <w:szCs w:val="22"/>
        </w:rPr>
        <w:t xml:space="preserve">Outlook Impex and Heravi Pink Store — 0% collected, no payment ever received. Small amounts (₹0.6L and ₹0.3L) but should be followed up or written off.</w:t>
      </w:r>
    </w:p>
    <w:p>
      <w:pPr>
        <w:pStyle w:val="ListParagraph"/>
        <w:numPr>
          <w:ilvl w:val="0"/>
          <w:numId w:val="2"/>
        </w:numPr>
        <w:spacing w:after="80"/>
      </w:pPr>
      <w:r>
        <w:rPr>
          <w:rFonts w:ascii="Arial" w:cs="Arial" w:eastAsia="Arial" w:hAnsi="Arial"/>
          <w:sz w:val="22"/>
          <w:szCs w:val="22"/>
        </w:rPr>
        <w:t xml:space="preserve">Sudarsan Madras Engineering — 36.7% collection rate, ₹0.7L outstanding.</w:t>
      </w:r>
    </w:p>
    <w:p>
      <w:pPr>
        <w:pStyle w:val="ListParagraph"/>
        <w:numPr>
          <w:ilvl w:val="0"/>
          <w:numId w:val="2"/>
        </w:numPr>
        <w:spacing w:after="80"/>
      </w:pPr>
      <w:r>
        <w:rPr>
          <w:rFonts w:ascii="Arial" w:cs="Arial" w:eastAsia="Arial" w:hAnsi="Arial"/>
          <w:sz w:val="22"/>
          <w:szCs w:val="22"/>
        </w:rPr>
        <w:t xml:space="preserve">Overall 99.4% collection rate is outstanding for a small manufacturing business — most businesses operate at 85-90%.</w:t>
      </w:r>
    </w:p>
    <w:p>
      <w:r>
        <w:br w:type="page"/>
      </w:r>
    </w:p>
    <w:p>
      <w:pPr>
        <w:pStyle w:val="Heading1"/>
        <w:spacing w:after="180" w:before="360"/>
      </w:pPr>
      <w:r>
        <w:rPr>
          <w:rFonts w:ascii="Arial" w:cs="Arial" w:eastAsia="Arial" w:hAnsi="Arial"/>
          <w:b/>
          <w:bCs/>
          <w:color w:val="1B3A5C"/>
          <w:sz w:val="36"/>
          <w:szCs w:val="36"/>
        </w:rPr>
        <w:t xml:space="preserve">Model 06 — Churn Risk Analysis</w:t>
      </w:r>
    </w:p>
    <w:p>
      <w:pPr>
        <w:pStyle w:val="Heading2"/>
        <w:spacing w:after="120" w:before="280"/>
      </w:pPr>
      <w:r>
        <w:rPr>
          <w:rFonts w:ascii="Arial" w:cs="Arial" w:eastAsia="Arial" w:hAnsi="Arial"/>
          <w:b/>
          <w:bCs/>
          <w:color w:val="2E75B6"/>
          <w:sz w:val="28"/>
          <w:szCs w:val="28"/>
        </w:rPr>
        <w:t xml:space="preserve">Business question</w:t>
      </w:r>
    </w:p>
    <w:p>
      <w:pPr>
        <w:spacing w:after="120"/>
      </w:pPr>
      <w:r>
        <w:rPr>
          <w:rFonts w:ascii="Arial" w:cs="Arial" w:eastAsia="Arial" w:hAnsi="Arial"/>
          <w:sz w:val="22"/>
          <w:szCs w:val="22"/>
        </w:rPr>
        <w:t xml:space="preserve">Which customers have gone quiet or stopped ordering altogether? Which are new customers that need to be nurtured? And what is the net revenue impact of customer gains vs losses?</w:t>
      </w:r>
    </w:p>
    <w:p>
      <w:pPr>
        <w:pStyle w:val="Heading2"/>
        <w:spacing w:after="120" w:before="280"/>
      </w:pPr>
      <w:r>
        <w:rPr>
          <w:rFonts w:ascii="Arial" w:cs="Arial" w:eastAsia="Arial" w:hAnsi="Arial"/>
          <w:b/>
          <w:bCs/>
          <w:color w:val="2E75B6"/>
          <w:sz w:val="28"/>
          <w:szCs w:val="28"/>
        </w:rPr>
        <w:t xml:space="preserve">Method</w:t>
      </w:r>
    </w:p>
    <w:p>
      <w:pPr>
        <w:spacing w:after="120"/>
      </w:pPr>
      <w:r>
        <w:rPr>
          <w:rFonts w:ascii="Arial" w:cs="Arial" w:eastAsia="Arial" w:hAnsi="Arial"/>
          <w:sz w:val="22"/>
          <w:szCs w:val="22"/>
        </w:rPr>
        <w:t xml:space="preserve">Churn is determined by two signals: recency (days since last order as of 31-Mar-2026) and FY activity pattern (whether the customer was active in 24-25 and/or 25-26). No machine learning model is used — this is deliberate. With 38 customers, a simple rules-based classification is more accurate and 100% explainable to Bhuvanesh.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60"/>
            </w:pPr>
            <w:r>
              <w:rPr>
                <w:rFonts w:ascii="Arial" w:cs="Arial" w:eastAsia="Arial" w:hAnsi="Arial"/>
                <w:b/>
                <w:bCs/>
                <w:color w:val="2E75B6"/>
                <w:sz w:val="20"/>
                <w:szCs w:val="20"/>
              </w:rPr>
              <w:t xml:space="preserve">Reference date: </w:t>
            </w:r>
            <w:r>
              <w:rPr>
                <w:rFonts w:ascii="Arial" w:cs="Arial" w:eastAsia="Arial" w:hAnsi="Arial"/>
                <w:color w:val="000000"/>
                <w:sz w:val="20"/>
                <w:szCs w:val="20"/>
              </w:rPr>
              <w:t xml:space="preserve">31 March 2026</w:t>
            </w:r>
          </w:p>
          <w:p>
            <w:pPr>
              <w:spacing w:after="60"/>
            </w:pPr>
            <w:r>
              <w:rPr>
                <w:rFonts w:ascii="Arial" w:cs="Arial" w:eastAsia="Arial" w:hAnsi="Arial"/>
                <w:b/>
                <w:bCs/>
                <w:color w:val="2E75B6"/>
                <w:sz w:val="20"/>
                <w:szCs w:val="20"/>
              </w:rPr>
              <w:t xml:space="preserve">Total customers analysed: </w:t>
            </w:r>
            <w:r>
              <w:rPr>
                <w:rFonts w:ascii="Arial" w:cs="Arial" w:eastAsia="Arial" w:hAnsi="Arial"/>
                <w:color w:val="000000"/>
                <w:sz w:val="20"/>
                <w:szCs w:val="20"/>
              </w:rPr>
              <w:t xml:space="preserve">38</w:t>
            </w:r>
          </w:p>
          <w:p>
            <w:pPr>
              <w:spacing w:after="60"/>
            </w:pPr>
            <w:r>
              <w:rPr>
                <w:rFonts w:ascii="Arial" w:cs="Arial" w:eastAsia="Arial" w:hAnsi="Arial"/>
                <w:b/>
                <w:bCs/>
                <w:color w:val="2E75B6"/>
                <w:sz w:val="20"/>
                <w:szCs w:val="20"/>
              </w:rPr>
              <w:t xml:space="preserve">Churned (active in 24-25, zero orders in 25-26): </w:t>
            </w:r>
            <w:r>
              <w:rPr>
                <w:rFonts w:ascii="Arial" w:cs="Arial" w:eastAsia="Arial" w:hAnsi="Arial"/>
                <w:color w:val="000000"/>
                <w:sz w:val="20"/>
                <w:szCs w:val="20"/>
              </w:rPr>
              <w:t xml:space="preserve">9</w:t>
            </w:r>
          </w:p>
          <w:p>
            <w:pPr>
              <w:spacing w:after="60"/>
            </w:pPr>
            <w:r>
              <w:rPr>
                <w:rFonts w:ascii="Arial" w:cs="Arial" w:eastAsia="Arial" w:hAnsi="Arial"/>
                <w:b/>
                <w:bCs/>
                <w:color w:val="2E75B6"/>
                <w:sz w:val="20"/>
                <w:szCs w:val="20"/>
              </w:rPr>
              <w:t xml:space="preserve">New customers acquired in 25-26: </w:t>
            </w:r>
            <w:r>
              <w:rPr>
                <w:rFonts w:ascii="Arial" w:cs="Arial" w:eastAsia="Arial" w:hAnsi="Arial"/>
                <w:color w:val="000000"/>
                <w:sz w:val="20"/>
                <w:szCs w:val="20"/>
              </w:rPr>
              <w:t xml:space="preserve">13</w:t>
            </w:r>
          </w:p>
          <w:p>
            <w:pPr>
              <w:spacing w:after="60"/>
            </w:pPr>
            <w:r>
              <w:rPr>
                <w:rFonts w:ascii="Arial" w:cs="Arial" w:eastAsia="Arial" w:hAnsi="Arial"/>
                <w:b/>
                <w:bCs/>
                <w:color w:val="2E75B6"/>
                <w:sz w:val="20"/>
                <w:szCs w:val="20"/>
              </w:rPr>
              <w:t xml:space="preserve">Net revenue impact: </w:t>
            </w:r>
            <w:r>
              <w:rPr>
                <w:rFonts w:ascii="Arial" w:cs="Arial" w:eastAsia="Arial" w:hAnsi="Arial"/>
                <w:color w:val="000000"/>
                <w:sz w:val="20"/>
                <w:szCs w:val="20"/>
              </w:rPr>
              <w:t xml:space="preserve">+₹16.4L (new revenue exceeds lost revenue)</w:t>
            </w:r>
          </w:p>
          <w:p>
            <w:pPr>
              <w:spacing w:after="60"/>
            </w:pPr>
            <w:r>
              <w:rPr>
                <w:rFonts w:ascii="Arial" w:cs="Arial" w:eastAsia="Arial" w:hAnsi="Arial"/>
                <w:b/>
                <w:bCs/>
                <w:color w:val="2E75B6"/>
                <w:sz w:val="20"/>
                <w:szCs w:val="20"/>
              </w:rPr>
              <w:t xml:space="preserve">Output file: </w:t>
            </w:r>
            <w:r>
              <w:rPr>
                <w:rFonts w:ascii="Arial" w:cs="Arial" w:eastAsia="Arial" w:hAnsi="Arial"/>
                <w:color w:val="000000"/>
                <w:sz w:val="20"/>
                <w:szCs w:val="20"/>
              </w:rPr>
              <w:t xml:space="preserve">churn_risk.csv</w:t>
            </w:r>
          </w:p>
        </w:tc>
      </w:tr>
    </w:tbl>
    <w:p>
      <w:pPr>
        <w:spacing w:after="120"/>
      </w:pPr>
    </w:p>
    <w:p>
      <w:pPr>
        <w:pStyle w:val="Heading2"/>
        <w:spacing w:after="120" w:before="280"/>
      </w:pPr>
      <w:r>
        <w:rPr>
          <w:rFonts w:ascii="Arial" w:cs="Arial" w:eastAsia="Arial" w:hAnsi="Arial"/>
          <w:b/>
          <w:bCs/>
          <w:color w:val="2E75B6"/>
          <w:sz w:val="28"/>
          <w:szCs w:val="28"/>
        </w:rPr>
        <w:t xml:space="preserve">Churn status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800"/>
        <w:gridCol w:w="1800"/>
        <w:gridCol w:w="186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Customers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 risk</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Threshold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A32D2D"/>
                <w:sz w:val="20"/>
                <w:szCs w:val="20"/>
              </w:rPr>
              <w:t xml:space="preserve">Churned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₹23.1L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A32D2D"/>
                <w:sz w:val="20"/>
                <w:szCs w:val="20"/>
              </w:rPr>
              <w:t xml:space="preserve">₹23.1L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Zero orders in 25-26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D85A30"/>
                <w:sz w:val="20"/>
                <w:szCs w:val="20"/>
              </w:rPr>
              <w:t xml:space="preserve">High Risk</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₹12.4L</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D85A30"/>
                <w:sz w:val="20"/>
                <w:szCs w:val="20"/>
              </w:rPr>
              <w:t xml:space="preserve">₹12.4L</w:t>
            </w:r>
          </w:p>
        </w:tc>
        <w:tc>
          <w:tcPr>
            <w:tcW w:type="dxa" w:w="1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&gt; 180 days silent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BA7517"/>
                <w:sz w:val="20"/>
                <w:szCs w:val="20"/>
              </w:rPr>
              <w:t xml:space="preserve">Medium Risk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₹14.7L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BA7517"/>
                <w:sz w:val="20"/>
                <w:szCs w:val="20"/>
              </w:rPr>
              <w:t xml:space="preserve">₹14.7L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90-180 days silent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Low Risk</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₹35.2L</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tcW w:type="dxa" w:w="1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30-90 days silent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D9E75"/>
                <w:sz w:val="20"/>
                <w:szCs w:val="20"/>
              </w:rPr>
              <w:t xml:space="preserve">Active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₹576.8L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30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534AB7"/>
                <w:sz w:val="20"/>
                <w:szCs w:val="20"/>
              </w:rPr>
              <w:t xml:space="preserve">New Customer</w:t>
            </w:r>
          </w:p>
        </w:tc>
        <w:tc>
          <w:tcPr>
            <w:tcW w:type="dxa" w:w="1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₹39.4L</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c>
          <w:tcPr>
            <w:tcW w:type="dxa" w:w="1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 order in 25-26</w:t>
            </w:r>
          </w:p>
        </w:tc>
      </w:tr>
    </w:tbl>
    <w:p>
      <w:pPr>
        <w:spacing w:after="120"/>
      </w:pPr>
    </w:p>
    <w:p>
      <w:pPr>
        <w:pStyle w:val="Heading2"/>
        <w:spacing w:after="120" w:before="280"/>
      </w:pPr>
      <w:r>
        <w:rPr>
          <w:rFonts w:ascii="Arial" w:cs="Arial" w:eastAsia="Arial" w:hAnsi="Arial"/>
          <w:b/>
          <w:bCs/>
          <w:color w:val="2E75B6"/>
          <w:sz w:val="28"/>
          <w:szCs w:val="28"/>
        </w:rPr>
        <w:t xml:space="preserve">Key findings</w:t>
      </w:r>
    </w:p>
    <w:p>
      <w:pPr>
        <w:pStyle w:val="ListParagraph"/>
        <w:numPr>
          <w:ilvl w:val="0"/>
          <w:numId w:val="2"/>
        </w:numPr>
        <w:spacing w:after="80"/>
      </w:pPr>
      <w:r>
        <w:rPr>
          <w:rFonts w:ascii="Arial" w:cs="Arial" w:eastAsia="Arial" w:hAnsi="Arial"/>
          <w:sz w:val="22"/>
          <w:szCs w:val="22"/>
        </w:rPr>
        <w:t xml:space="preserve">9 churned customers lost ₹23.1L of 24-25 revenue. Biggest losses: Daeseung Autoparts (₹8.8L, 551 days silent), Red Star Plastick (₹4.7L, 595 days silent), Talon Tack (₹4.5L, 476 days silent).</w:t>
      </w:r>
    </w:p>
    <w:p>
      <w:pPr>
        <w:pStyle w:val="ListParagraph"/>
        <w:numPr>
          <w:ilvl w:val="0"/>
          <w:numId w:val="2"/>
        </w:numPr>
        <w:spacing w:after="80"/>
      </w:pPr>
      <w:r>
        <w:rPr>
          <w:rFonts w:ascii="Arial" w:cs="Arial" w:eastAsia="Arial" w:hAnsi="Arial"/>
          <w:sz w:val="22"/>
          <w:szCs w:val="22"/>
        </w:rPr>
        <w:t xml:space="preserve">13 new customers generated ₹39.4L in 25-26 — more than offsetting the churn. Net gain of ₹16.4L. CPI is growing its customer base.</w:t>
      </w:r>
    </w:p>
    <w:p>
      <w:pPr>
        <w:pStyle w:val="ListParagraph"/>
        <w:numPr>
          <w:ilvl w:val="0"/>
          <w:numId w:val="2"/>
        </w:numPr>
        <w:spacing w:after="80"/>
      </w:pPr>
      <w:r>
        <w:rPr>
          <w:rFonts w:ascii="Arial" w:cs="Arial" w:eastAsia="Arial" w:hAnsi="Arial"/>
          <w:sz w:val="22"/>
          <w:szCs w:val="22"/>
        </w:rPr>
        <w:t xml:space="preserve">KMD Precision Products is the standout new customer — ₹24.8L in their first year with 10 orders. Already a Champion-level customer.</w:t>
      </w:r>
    </w:p>
    <w:p>
      <w:pPr>
        <w:pStyle w:val="ListParagraph"/>
        <w:numPr>
          <w:ilvl w:val="0"/>
          <w:numId w:val="2"/>
        </w:numPr>
        <w:spacing w:after="80"/>
      </w:pPr>
      <w:r>
        <w:rPr>
          <w:rFonts w:ascii="Arial" w:cs="Arial" w:eastAsia="Arial" w:hAnsi="Arial"/>
          <w:sz w:val="22"/>
          <w:szCs w:val="22"/>
        </w:rPr>
        <w:t xml:space="preserve">Genuine Biosystem dropped 62.4% year-on-year (₹8.5L to ₹3.2L) — not churned yet but trending that way. Bhuvanesh should investigate.</w:t>
      </w:r>
    </w:p>
    <w:p>
      <w:pPr>
        <w:pStyle w:val="ListParagraph"/>
        <w:numPr>
          <w:ilvl w:val="0"/>
          <w:numId w:val="2"/>
        </w:numPr>
        <w:spacing w:after="80"/>
      </w:pPr>
      <w:r>
        <w:rPr>
          <w:rFonts w:ascii="Arial" w:cs="Arial" w:eastAsia="Arial" w:hAnsi="Arial"/>
          <w:sz w:val="22"/>
          <w:szCs w:val="22"/>
        </w:rPr>
        <w:t xml:space="preserve">Regenix Drugs Group down 49% — significant group-level drop worth a direct conversation.</w:t>
      </w:r>
    </w:p>
    <w:p>
      <w:pPr>
        <w:spacing w:after="120"/>
      </w:pPr>
    </w:p>
    <w:p>
      <w:pPr>
        <w:pStyle w:val="Heading2"/>
        <w:spacing w:after="120" w:before="280"/>
      </w:pPr>
      <w:r>
        <w:rPr>
          <w:rFonts w:ascii="Arial" w:cs="Arial" w:eastAsia="Arial" w:hAnsi="Arial"/>
          <w:b/>
          <w:bCs/>
          <w:color w:val="2E75B6"/>
          <w:sz w:val="28"/>
          <w:szCs w:val="28"/>
        </w:rPr>
        <w:t xml:space="preserve">Priority action list for Bhuvanesh</w:t>
      </w:r>
    </w:p>
    <w:p>
      <w:pPr>
        <w:pStyle w:val="ListParagraph"/>
        <w:numPr>
          <w:ilvl w:val="0"/>
          <w:numId w:val="3"/>
        </w:numPr>
        <w:spacing w:after="80"/>
      </w:pPr>
      <w:r>
        <w:rPr>
          <w:rFonts w:ascii="Arial" w:cs="Arial" w:eastAsia="Arial" w:hAnsi="Arial"/>
          <w:sz w:val="22"/>
          <w:szCs w:val="22"/>
        </w:rPr>
        <w:t xml:space="preserve">Call Daeseung Autoparts and Red Star Plastick — largest churned customers, understand why they left</w:t>
      </w:r>
    </w:p>
    <w:p>
      <w:pPr>
        <w:pStyle w:val="ListParagraph"/>
        <w:numPr>
          <w:ilvl w:val="0"/>
          <w:numId w:val="3"/>
        </w:numPr>
        <w:spacing w:after="80"/>
      </w:pPr>
      <w:r>
        <w:rPr>
          <w:rFonts w:ascii="Arial" w:cs="Arial" w:eastAsia="Arial" w:hAnsi="Arial"/>
          <w:sz w:val="22"/>
          <w:szCs w:val="22"/>
        </w:rPr>
        <w:t xml:space="preserve">Investigate Genuine Biosystem — 18 orders in 24-25, only 5 in 25-26, still ordering but volume declining sharply</w:t>
      </w:r>
    </w:p>
    <w:p>
      <w:pPr>
        <w:pStyle w:val="ListParagraph"/>
        <w:numPr>
          <w:ilvl w:val="0"/>
          <w:numId w:val="3"/>
        </w:numPr>
        <w:spacing w:after="80"/>
      </w:pPr>
      <w:r>
        <w:rPr>
          <w:rFonts w:ascii="Arial" w:cs="Arial" w:eastAsia="Arial" w:hAnsi="Arial"/>
          <w:sz w:val="22"/>
          <w:szCs w:val="22"/>
        </w:rPr>
        <w:t xml:space="preserve">Follow up with Rane Engine Valve — 243 days silent, ₹8.4L revenue, needs re-engagement</w:t>
      </w:r>
    </w:p>
    <w:p>
      <w:pPr>
        <w:pStyle w:val="ListParagraph"/>
        <w:numPr>
          <w:ilvl w:val="0"/>
          <w:numId w:val="3"/>
        </w:numPr>
        <w:spacing w:after="80"/>
      </w:pPr>
      <w:r>
        <w:rPr>
          <w:rFonts w:ascii="Arial" w:cs="Arial" w:eastAsia="Arial" w:hAnsi="Arial"/>
          <w:sz w:val="22"/>
          <w:szCs w:val="22"/>
        </w:rPr>
        <w:t xml:space="preserve">Nurture KMD Precision Products — new champion, ensure they stay</w:t>
      </w:r>
    </w:p>
    <w:p>
      <w:pPr>
        <w:pStyle w:val="ListParagraph"/>
        <w:numPr>
          <w:ilvl w:val="0"/>
          <w:numId w:val="3"/>
        </w:numPr>
        <w:spacing w:after="80"/>
      </w:pPr>
      <w:r>
        <w:rPr>
          <w:rFonts w:ascii="Arial" w:cs="Arial" w:eastAsia="Arial" w:hAnsi="Arial"/>
          <w:sz w:val="22"/>
          <w:szCs w:val="22"/>
        </w:rPr>
        <w:t xml:space="preserve">Place one follow-up call to each of the 13 new 25-26 customers to confirm satisfaction</w:t>
      </w:r>
    </w:p>
    <w:p>
      <w:r>
        <w:br w:type="page"/>
      </w:r>
    </w:p>
    <w:p>
      <w:pPr>
        <w:pStyle w:val="Heading1"/>
        <w:spacing w:after="180" w:before="360"/>
      </w:pPr>
      <w:r>
        <w:rPr>
          <w:rFonts w:ascii="Arial" w:cs="Arial" w:eastAsia="Arial" w:hAnsi="Arial"/>
          <w:b/>
          <w:bCs/>
          <w:color w:val="1B3A5C"/>
          <w:sz w:val="36"/>
          <w:szCs w:val="36"/>
        </w:rPr>
        <w:t xml:space="preserve">Technical Setup</w:t>
      </w:r>
    </w:p>
    <w:p>
      <w:pPr>
        <w:pStyle w:val="Heading2"/>
        <w:spacing w:after="120" w:before="280"/>
      </w:pPr>
      <w:r>
        <w:rPr>
          <w:rFonts w:ascii="Arial" w:cs="Arial" w:eastAsia="Arial" w:hAnsi="Arial"/>
          <w:b/>
          <w:bCs/>
          <w:color w:val="2E75B6"/>
          <w:sz w:val="28"/>
          <w:szCs w:val="28"/>
        </w:rPr>
        <w:t xml:space="preserve">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 / Folder</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data/day_book_final.csv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cleaned source — all models read from this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ml/01_rfm_segmentation.py</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RFM model — reads CSV, writes rfm_scores.csv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ml/02_revenue_forecast.py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Forecast model — writes forecast.csv</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ml/03_anomaly_detection.py</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Anomaly detection — writes anomalies.csv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ml/04_gross_margin_prediction.py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Margin model — writes margin_predictions.csv</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ml/05_payment_risk.py</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Payment risk — writes payment_risk.csv</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ml/06_churn_risk.py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Churn risk — writes churn_risk.csv</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outputs/*.csv</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6 CSV outputs imported into Power BI</w:t>
            </w:r>
          </w:p>
        </w:tc>
      </w:tr>
    </w:tbl>
    <w:p>
      <w:pPr>
        <w:spacing w:after="120"/>
      </w:pPr>
    </w:p>
    <w:p>
      <w:pPr>
        <w:pStyle w:val="Heading2"/>
        <w:spacing w:after="120" w:before="280"/>
      </w:pPr>
      <w:r>
        <w:rPr>
          <w:rFonts w:ascii="Arial" w:cs="Arial" w:eastAsia="Arial" w:hAnsi="Arial"/>
          <w:b/>
          <w:bCs/>
          <w:color w:val="2E75B6"/>
          <w:sz w:val="28"/>
          <w:szCs w:val="28"/>
        </w:rPr>
        <w:t xml:space="preserve">Python environment setup</w:t>
      </w:r>
    </w:p>
    <w:p>
      <w:pPr>
        <w:spacing w:after="120"/>
      </w:pPr>
      <w:r>
        <w:rPr>
          <w:rFonts w:ascii="Arial" w:cs="Arial" w:eastAsia="Arial" w:hAnsi="Arial"/>
          <w:sz w:val="22"/>
          <w:szCs w:val="22"/>
        </w:rPr>
        <w:t xml:space="preserve">All scripts run in the challenge-packaging-analysis virtual environment. Required packages:</w:t>
      </w:r>
    </w:p>
    <w:p>
      <w:pPr>
        <w:pStyle w:val="ListParagraph"/>
        <w:numPr>
          <w:ilvl w:val="0"/>
          <w:numId w:val="2"/>
        </w:numPr>
        <w:spacing w:after="80"/>
      </w:pPr>
      <w:r>
        <w:rPr>
          <w:rFonts w:ascii="Arial" w:cs="Arial" w:eastAsia="Arial" w:hAnsi="Arial"/>
          <w:sz w:val="22"/>
          <w:szCs w:val="22"/>
        </w:rPr>
        <w:t xml:space="preserve">pandas — data loading and manipulation</w:t>
      </w:r>
    </w:p>
    <w:p>
      <w:pPr>
        <w:pStyle w:val="ListParagraph"/>
        <w:numPr>
          <w:ilvl w:val="0"/>
          <w:numId w:val="2"/>
        </w:numPr>
        <w:spacing w:after="80"/>
      </w:pPr>
      <w:r>
        <w:rPr>
          <w:rFonts w:ascii="Arial" w:cs="Arial" w:eastAsia="Arial" w:hAnsi="Arial"/>
          <w:sz w:val="22"/>
          <w:szCs w:val="22"/>
        </w:rPr>
        <w:t xml:space="preserve">numpy — numerical calculations</w:t>
      </w:r>
    </w:p>
    <w:p>
      <w:pPr>
        <w:pStyle w:val="ListParagraph"/>
        <w:numPr>
          <w:ilvl w:val="0"/>
          <w:numId w:val="2"/>
        </w:numPr>
        <w:spacing w:after="80"/>
      </w:pPr>
      <w:r>
        <w:rPr>
          <w:rFonts w:ascii="Arial" w:cs="Arial" w:eastAsia="Arial" w:hAnsi="Arial"/>
          <w:sz w:val="22"/>
          <w:szCs w:val="22"/>
        </w:rPr>
        <w:t xml:space="preserve">matplotlib + seaborn — chart generation</w:t>
      </w:r>
    </w:p>
    <w:p>
      <w:pPr>
        <w:pStyle w:val="ListParagraph"/>
        <w:numPr>
          <w:ilvl w:val="0"/>
          <w:numId w:val="2"/>
        </w:numPr>
        <w:spacing w:after="80"/>
      </w:pPr>
      <w:r>
        <w:rPr>
          <w:rFonts w:ascii="Arial" w:cs="Arial" w:eastAsia="Arial" w:hAnsi="Arial"/>
          <w:sz w:val="22"/>
          <w:szCs w:val="22"/>
        </w:rPr>
        <w:t xml:space="preserve">scikit-learn — Ridge Regression, Linear Regression, IsolationForest, Bootstrap</w:t>
      </w:r>
    </w:p>
    <w:p>
      <w:pPr>
        <w:spacing w:after="80" w:before="120"/>
      </w:pPr>
      <w:r>
        <w:rPr>
          <w:rFonts w:ascii="Arial" w:cs="Arial" w:eastAsia="Arial" w:hAnsi="Arial"/>
          <w:b/>
          <w:bCs/>
          <w:sz w:val="22"/>
          <w:szCs w:val="22"/>
        </w:rPr>
        <w:t xml:space="preserve">Install command:</w:t>
      </w:r>
    </w:p>
    <w:p>
      <w:pPr>
        <w:shd w:fill="F0F0F0" w:val="clear"/>
        <w:spacing w:after="120"/>
      </w:pPr>
      <w:r>
        <w:rPr>
          <w:rFonts w:ascii="Courier New" w:cs="Courier New" w:eastAsia="Courier New" w:hAnsi="Courier New"/>
          <w:color w:val="1B3A5C"/>
          <w:sz w:val="20"/>
          <w:szCs w:val="20"/>
        </w:rPr>
        <w:t xml:space="preserve">pip install pandas numpy matplotlib seaborn scikit-learn openpyxl</w:t>
      </w:r>
    </w:p>
    <w:p>
      <w:pPr>
        <w:pStyle w:val="Heading2"/>
        <w:spacing w:after="120" w:before="280"/>
      </w:pPr>
      <w:r>
        <w:rPr>
          <w:rFonts w:ascii="Arial" w:cs="Arial" w:eastAsia="Arial" w:hAnsi="Arial"/>
          <w:b/>
          <w:bCs/>
          <w:color w:val="2E75B6"/>
          <w:sz w:val="28"/>
          <w:szCs w:val="28"/>
        </w:rPr>
        <w:t xml:space="preserve">Running the models</w:t>
      </w:r>
    </w:p>
    <w:p>
      <w:pPr>
        <w:pStyle w:val="ListParagraph"/>
        <w:numPr>
          <w:ilvl w:val="0"/>
          <w:numId w:val="3"/>
        </w:numPr>
        <w:spacing w:after="80"/>
      </w:pPr>
      <w:r>
        <w:rPr>
          <w:rFonts w:ascii="Arial" w:cs="Arial" w:eastAsia="Arial" w:hAnsi="Arial"/>
          <w:sz w:val="22"/>
          <w:szCs w:val="22"/>
        </w:rPr>
        <w:t xml:space="preserve">Activate the venv: .\venv\Scripts\Activate.ps1</w:t>
      </w:r>
    </w:p>
    <w:p>
      <w:pPr>
        <w:pStyle w:val="ListParagraph"/>
        <w:numPr>
          <w:ilvl w:val="0"/>
          <w:numId w:val="3"/>
        </w:numPr>
        <w:spacing w:after="80"/>
      </w:pPr>
      <w:r>
        <w:rPr>
          <w:rFonts w:ascii="Arial" w:cs="Arial" w:eastAsia="Arial" w:hAnsi="Arial"/>
          <w:sz w:val="22"/>
          <w:szCs w:val="22"/>
        </w:rPr>
        <w:t xml:space="preserve">Update day_book_final.csv from the cleaning notebook</w:t>
      </w:r>
    </w:p>
    <w:p>
      <w:pPr>
        <w:pStyle w:val="ListParagraph"/>
        <w:numPr>
          <w:ilvl w:val="0"/>
          <w:numId w:val="3"/>
        </w:numPr>
        <w:spacing w:after="80"/>
      </w:pPr>
      <w:r>
        <w:rPr>
          <w:rFonts w:ascii="Arial" w:cs="Arial" w:eastAsia="Arial" w:hAnsi="Arial"/>
          <w:sz w:val="22"/>
          <w:szCs w:val="22"/>
        </w:rPr>
        <w:t xml:space="preserve">Run each script: python ml\01_rfm_segmentation.py</w:t>
      </w:r>
    </w:p>
    <w:p>
      <w:pPr>
        <w:pStyle w:val="ListParagraph"/>
        <w:numPr>
          <w:ilvl w:val="0"/>
          <w:numId w:val="3"/>
        </w:numPr>
        <w:spacing w:after="80"/>
      </w:pPr>
      <w:r>
        <w:rPr>
          <w:rFonts w:ascii="Arial" w:cs="Arial" w:eastAsia="Arial" w:hAnsi="Arial"/>
          <w:sz w:val="22"/>
          <w:szCs w:val="22"/>
        </w:rPr>
        <w:t xml:space="preserve">All CSVs are saved to the outputs\ folder</w:t>
      </w:r>
    </w:p>
    <w:p>
      <w:pPr>
        <w:pStyle w:val="ListParagraph"/>
        <w:numPr>
          <w:ilvl w:val="0"/>
          <w:numId w:val="3"/>
        </w:numPr>
        <w:spacing w:after="80"/>
      </w:pPr>
      <w:r>
        <w:rPr>
          <w:rFonts w:ascii="Arial" w:cs="Arial" w:eastAsia="Arial" w:hAnsi="Arial"/>
          <w:sz w:val="22"/>
          <w:szCs w:val="22"/>
        </w:rPr>
        <w:t xml:space="preserve">Refresh the Power BI dataset to pull in the new CSVs</w:t>
      </w:r>
    </w:p>
    <w:p>
      <w:pPr>
        <w:pStyle w:val="Heading2"/>
        <w:spacing w:after="120" w:before="280"/>
      </w:pPr>
      <w:r>
        <w:rPr>
          <w:rFonts w:ascii="Arial" w:cs="Arial" w:eastAsia="Arial" w:hAnsi="Arial"/>
          <w:b/>
          <w:bCs/>
          <w:color w:val="2E75B6"/>
          <w:sz w:val="28"/>
          <w:szCs w:val="28"/>
        </w:rPr>
        <w:t xml:space="preserve">How often to rerun</w:t>
      </w:r>
    </w:p>
    <w:p>
      <w:pPr>
        <w:pStyle w:val="ListParagraph"/>
        <w:numPr>
          <w:ilvl w:val="0"/>
          <w:numId w:val="2"/>
        </w:numPr>
        <w:spacing w:after="80"/>
      </w:pPr>
      <w:r>
        <w:rPr>
          <w:rFonts w:ascii="Arial" w:cs="Arial" w:eastAsia="Arial" w:hAnsi="Arial"/>
          <w:sz w:val="22"/>
          <w:szCs w:val="22"/>
        </w:rPr>
        <w:t xml:space="preserve">Monthly — after closing each month's Tally data</w:t>
      </w:r>
    </w:p>
    <w:p>
      <w:pPr>
        <w:pStyle w:val="ListParagraph"/>
        <w:numPr>
          <w:ilvl w:val="0"/>
          <w:numId w:val="2"/>
        </w:numPr>
        <w:spacing w:after="80"/>
      </w:pPr>
      <w:r>
        <w:rPr>
          <w:rFonts w:ascii="Arial" w:cs="Arial" w:eastAsia="Arial" w:hAnsi="Arial"/>
          <w:sz w:val="22"/>
          <w:szCs w:val="22"/>
        </w:rPr>
        <w:t xml:space="preserve">Forecasting accuracy improves with every new month added</w:t>
      </w:r>
    </w:p>
    <w:p>
      <w:pPr>
        <w:pStyle w:val="ListParagraph"/>
        <w:numPr>
          <w:ilvl w:val="0"/>
          <w:numId w:val="2"/>
        </w:numPr>
        <w:spacing w:after="80"/>
      </w:pPr>
      <w:r>
        <w:rPr>
          <w:rFonts w:ascii="Arial" w:cs="Arial" w:eastAsia="Arial" w:hAnsi="Arial"/>
          <w:sz w:val="22"/>
          <w:szCs w:val="22"/>
        </w:rPr>
        <w:t xml:space="preserve">RFM segments and churn status will shift as customer behaviour evolves</w:t>
      </w:r>
    </w:p>
    <w:p>
      <w:pPr>
        <w:pBdr>
          <w:bottom w:val="single" w:color="CCCCCC" w:sz="4" w:space="1"/>
        </w:pBdr>
        <w:spacing w:after="160" w:before="160"/>
      </w:pPr>
    </w:p>
    <w:p>
      <w:pPr>
        <w:spacing w:after="80"/>
        <w:jc w:val="center"/>
      </w:pPr>
      <w:r>
        <w:rPr>
          <w:rFonts w:ascii="Arial" w:cs="Arial" w:eastAsia="Arial" w:hAnsi="Arial"/>
          <w:i/>
          <w:iCs/>
          <w:color w:val="5F5E5A"/>
          <w:sz w:val="18"/>
          <w:szCs w:val="18"/>
        </w:rPr>
        <w:t xml:space="preserve">End of document — Challenge Packaging Industries ML Models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F5E5A"/>
        <w:sz w:val="16"/>
        <w:szCs w:val="16"/>
      </w:rPr>
      <w:t xml:space="preserve">Confidential — CPI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F5E5A"/>
        <w:sz w:val="18"/>
        <w:szCs w:val="18"/>
      </w:rPr>
      <w:t xml:space="preserve">Challenge Packaging Industries — ML Models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2026-04-13T14:03:29.448Z</dcterms:created>
  <dcterms:modified xsi:type="dcterms:W3CDTF">2026-04-13T14:03:29.449Z</dcterms:modified>
</cp:coreProperties>
</file>

<file path=docProps/custom.xml><?xml version="1.0" encoding="utf-8"?>
<Properties xmlns="http://schemas.openxmlformats.org/officeDocument/2006/custom-properties" xmlns:vt="http://schemas.openxmlformats.org/officeDocument/2006/docPropsVTypes"/>
</file>