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Challenge Packaging Industries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5A623"/>
          <w:sz w:val="26"/>
          <w:szCs w:val="26"/>
        </w:rPr>
        <w:t xml:space="preserve">Final Business Intelligence Report — Complete Financial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Analyst: Divya Bhuvaneshwaran  |  FY 2024-25  |  Tools: Python, SQL, Power BI, DAX</w:t>
      </w:r>
    </w:p>
    <w:p>
      <w:pPr>
        <w:pBdr>
          <w:bottom w:val="single" w:color="F5A623" w:sz="12" w:space="1"/>
        </w:pBdr>
        <w:spacing w:after="240" w:before="12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Challenge Packaging Industries is a carton box manufacturer based in Vanagaram, Chennai. This report presents a complete financial analysis of FY 2024-25 based on Tally day book data. The analysis was conducted in close collaboration with the business owner to ensure accuracy of financial categorisation — including the discovery that Journal entries represent real operating expenses and that owner capital drawings account for the primary cash outflow.</w:t>
      </w:r>
    </w:p>
    <w:p>
      <w:pPr>
        <w:spacing w:after="80"/>
      </w:pPr>
    </w:p>
    <w:p>
      <w:pPr>
        <w:pBdr>
          <w:left w:val="single" w:color="2E7D32" w:sz="12"/>
        </w:pBdr>
        <w:shd w:fill="E8F5E9" w:val="clear"/>
        <w:spacing w:after="80" w:before="80"/>
        <w:ind w:left="12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KEY FINDING: The business is operationally profitable with a 32% gross margin and 31% net profit margin. Negative cash flow is primarily driven by ₹45L owner capital drawings — a healthy and normal characteristic of a profitable proprietorship.</w:t>
      </w:r>
    </w:p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Final Financial Summary — FY 2024-25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4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(Cr)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3.75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Strong revenue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Purchase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2.54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67.9%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Managed well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1.20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32.1%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Excellent margin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0.36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9.7%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Lean operations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Profit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1.17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31.1%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Very profitable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Cash 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3.90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Collections strong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Cash Out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4.40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Includes drawings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Drawings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11.9% of sales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★ Key cash driver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 Payments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0.17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4.4%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 Manageable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Cash Flow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-0.07 Cr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</w:t>
            </w:r>
          </w:p>
        </w:tc>
        <w:tc>
          <w:tcPr>
            <w:tcW w:type="dxa" w:w="2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Driven by drawings</w:t>
            </w:r>
          </w:p>
        </w:tc>
      </w:tr>
    </w:tbl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Profit &amp; Loss Breakdown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 Item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(Cr)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Sales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Sales Revenue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3.75 Cr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Less: Raw Material Cost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-2.54 Cr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-67.9%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Gross Margin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1.20 Cr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32.1%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Less: Operating Expenses (Journal)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-0.36 Cr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-9.7%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= Net Profit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1.17 Cr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31.1%</w:t>
            </w:r>
          </w:p>
        </w:tc>
      </w:tr>
    </w:tbl>
    <w:p>
      <w:pPr>
        <w:spacing w:after="80"/>
      </w:pPr>
    </w:p>
    <w:p>
      <w:pPr>
        <w:pBdr>
          <w:left w:val="single" w:color="F5A623" w:sz="12"/>
        </w:pBdr>
        <w:shd w:fill="FFF8E1" w:val="clear"/>
        <w:spacing w:after="80" w:before="80"/>
        <w:ind w:left="12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  For every ₹100 of sales: ₹67.90 goes to raw materials, ₹9.70 to operations (electricity, rent, petty cash), and ₹31.10 is kept as net profit. This is an excellent margin for a manufacturing business.</w:t>
      </w:r>
    </w:p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Cash Flow Analysis — The Complete Story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Cash Flow Item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(Cr)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 Receipts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+3.90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 cash received from customers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Supplier Payments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-3.93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Paid to raw material suppliers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-0.36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Electricity, rent, petty cash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 Repayments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-0.17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DBS Bank, SSK Jewellery, Dost, Abirami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Drawings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-0.45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Veeravel &amp; Bhuvaneshwaran capital withdrawals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Cash Flow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-0.07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Negative — primarily due to owner drawings</w:t>
            </w:r>
          </w:p>
        </w:tc>
      </w:tr>
    </w:tbl>
    <w:p>
      <w:pPr>
        <w:spacing w:after="80"/>
      </w:pPr>
    </w:p>
    <w:p>
      <w:pPr>
        <w:pBdr>
          <w:left w:val="single" w:color="2E7D32" w:sz="12"/>
        </w:pBdr>
        <w:shd w:fill="E8F5E9" w:val="clear"/>
        <w:spacing w:after="80" w:before="80"/>
        <w:ind w:left="12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  Despite negative net cash flow, business operations are healthy. Customer payment terms (60 days) and supplier payment terms (70-80 days) are well managed — CPI actually collects before paying suppliers!</w:t>
      </w:r>
    </w:p>
    <w:p>
      <w:pPr>
        <w:pBdr>
          <w:left w:val="single" w:color="C62828" w:sz="12"/>
        </w:pBdr>
        <w:shd w:fill="FFEBEE" w:val="clear"/>
        <w:spacing w:after="80" w:before="80"/>
        <w:ind w:left="12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  The ₹45L owner drawings represent 64% of the cash deficit. This is the primary driver of negative cash flow — not operational inefficiency.</w:t>
      </w:r>
    </w:p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★ Owner Drawings — Key Strategic Insight</w:t>
      </w:r>
    </w:p>
    <w:p>
      <w:pPr>
        <w:spacing w:after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Owner capital drawings of ₹45L (Veeravel Capital + Bhuvaneshwaran Capital) represent the single largest cash outflow category after supplier payments. While these are legitimate profit withdrawals by the business owners, strategic reinvestment of a portion of these drawings could significantly accelerate business growth.</w:t>
      </w:r>
    </w:p>
    <w:p>
      <w:pPr>
        <w:spacing w:after="80"/>
      </w:pP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What Reinvestment Could Achieve: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Reinvestment Scenario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Potential Impact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Reinvest 50% of drawings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0.22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Fund new machinery or large orders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Additional sales at 32% margin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0.66 Cr extra revenue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0.14 Cr additional gross profit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R&amp;D for new product lines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0.10-0.15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Diversify beyond carton boxes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vehicle for delivery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0.08-0.12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transport outsourcing costs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Working capital buffer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0.20 Cr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 OD dependency</w:t>
            </w:r>
          </w:p>
        </w:tc>
      </w:tr>
    </w:tbl>
    <w:p>
      <w:pPr>
        <w:spacing w:after="80"/>
      </w:pPr>
    </w:p>
    <w:p>
      <w:pPr>
        <w:pBdr>
          <w:left w:val="single" w:color="1B3A6B" w:sz="12"/>
        </w:pBdr>
        <w:shd w:fill="E8F0FB" w:val="clear"/>
        <w:spacing w:after="80" w:before="80"/>
        <w:ind w:left="120"/>
      </w:pPr>
      <w:r>
        <w:rPr>
          <w:rFonts w:ascii="Arial" w:cs="Arial" w:eastAsia="Arial" w:hAnsi="Arial"/>
          <w:color w:val="1B3A6B"/>
          <w:sz w:val="20"/>
          <w:szCs w:val="20"/>
        </w:rPr>
        <w:t xml:space="preserve">  ★ STRATEGIC RECOMMENDATION: Reducing owner drawings from ₹45L to ₹25L annually and reinvesting the ₹20L difference could generate an additional ₹14L+ in gross profit — a 70% return on the reinvested amount at current margins.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1: Use reinvested funds to accept larger orders from Sundram — currently limited by working capital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2: Invest in semi-automatic machinery to reduce labour costs and increase production capacity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3: Build a 3-month cash buffer to eliminate OD dependency — saving ₹5-7L/year in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4: R&amp;D into adjacent product lines — corrugated packaging, specialty boxes for e-commerce</w:t>
      </w:r>
    </w:p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Customer Concentration Risk</w:t>
      </w:r>
    </w:p>
    <w:p>
      <w:pPr>
        <w:spacing w:after="80"/>
      </w:pPr>
    </w:p>
    <w:p>
      <w:pPr>
        <w:pBdr>
          <w:left w:val="single" w:color="C62828" w:sz="12"/>
        </w:pBdr>
        <w:shd w:fill="FFEBEE" w:val="clear"/>
        <w:spacing w:after="80" w:before="80"/>
        <w:ind w:left="120"/>
      </w:pPr>
      <w:r>
        <w:rPr>
          <w:rFonts w:ascii="Arial" w:cs="Arial" w:eastAsia="Arial" w:hAnsi="Arial"/>
          <w:color w:val="C62828"/>
          <w:sz w:val="20"/>
          <w:szCs w:val="20"/>
        </w:rPr>
        <w:t xml:space="preserve">  CRITICAL RISK: Sundram Fasteners Limited accounts for 64.4% of total revenue. Any disruption to this relationship — contract termination, payment delay, or volume reduction — would severely impact business viability.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Share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Sundram Fasteners Ltd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64.4%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Diversify urgently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Star Polymers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5.4%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Grow this relationship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J.C Packaging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Expand order volume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Daeseung Auto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2.7%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Stable — maintain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Genuine Biotech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2.6%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Stable — maintain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others combined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21.2%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Identify top 3 to grow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Target: Reduce Sundram dependency to below 40% within 2 years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Strategy: Actively pitch to 10 new manufacturing companies in Chennai industrial belt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Quick win: Red Star Polymers at 5.4% — strong candidate for volume increase</w:t>
      </w:r>
    </w:p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Debt &amp; Loan Analysis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Recorded Payments FY24-25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DBS Bank Loan Interest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₹12,95,876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Largest recorded debt obligation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SF (Dost Loan)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₹1,98,480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EMI ~₹24,810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SSK Jewellery Loan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₹1,25,000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Monthly EMI ~₹25,000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Abirami Loan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₹35,000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Smaller obligation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Recorded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₹16,54,356 (0.17 Cr)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Tally Payment category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 Unrecorded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₹30-40L estimated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Vehicle EMI, auto-debits not in Tally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OD Outstanding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₹90L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 — recommend prioritising closure</w:t>
            </w:r>
          </w:p>
        </w:tc>
      </w:tr>
    </w:tbl>
    <w:p>
      <w:pPr>
        <w:spacing w:after="80"/>
      </w:pPr>
    </w:p>
    <w:p>
      <w:pPr>
        <w:pBdr>
          <w:left w:val="single" w:color="F5A623" w:sz="12"/>
        </w:pBdr>
        <w:shd w:fill="FFF8E1" w:val="clear"/>
        <w:spacing w:after="80" w:before="80"/>
        <w:ind w:left="120"/>
      </w:pPr>
      <w:r>
        <w:rPr>
          <w:rFonts w:ascii="Arial" w:cs="Arial" w:eastAsia="Arial" w:hAnsi="Arial"/>
          <w:color w:val="633806"/>
          <w:sz w:val="20"/>
          <w:szCs w:val="20"/>
        </w:rPr>
        <w:t xml:space="preserve">  RECOMMENDATION: Prioritise closing gold loans first (18-24% interest) before OD (6-8% interest). Every rupee used to close gold loans saves 3x more interest than closing OD.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Immediate action: Ensure all loan EMIs are recorded in Tally for complete financial picture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Medium term: Use part of owner drawings reduction to accelerate OD repayment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Long term: Target debt-free operations within 3-4 years to maximise net profit</w:t>
      </w:r>
    </w:p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Data Quality &amp; Methodology Notes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Journal = Operating expenses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Corrected Cash Out calculation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 consistent Tally entry practice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GST Sales New 25-26 under Other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Corrected Total Sales upward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consistent voucher type names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Orders in Purchase category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Excluded — not confirmed purchases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 separate category for orders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~30-40L EMIs not in Tally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Cash flow understated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 all auto-debits as Payment vouchers monthly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drawings identified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cash flow insight discovered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 separately for management reporting</w:t>
            </w:r>
          </w:p>
        </w:tc>
      </w:tr>
    </w:tbl>
    <w:p>
      <w:pPr>
        <w:spacing w:after="160"/>
      </w:pPr>
    </w:p>
    <w:p>
      <w:pPr>
        <w:shd w:fill="1B3A6B" w:val="clear"/>
        <w:spacing w:after="120" w:before="240"/>
        <w:ind w:left="120" w:right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Final DAX Measures Used in Power BI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Summary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Sales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GST Sales + GST Sales New 25-26 + Debit Note - Credit Note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3.75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Purchase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Purchase Credit (excluding Purchase Orders)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2.54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Sales - Total Purchase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1.20 Cr (32.1%)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Operating Expenses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Debit where Txn_Category = Journal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0.36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Profit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Gross Margin - Operating Expenses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1.17 Cr (31.1%)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Cash In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Credit where Txn_Category = Receipt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3.90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Cash Out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Debit where Txn_Category IN Payment, Journal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4.40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Net Cash Flow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Cash In - Total Cash Out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-0.07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 Payments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Debit where Particulars contains "loan"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0.17 Cr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Owner Drawings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Veeravel Capital + Bhuvaneshwaran Capital payments</w:t>
            </w:r>
          </w:p>
        </w:tc>
        <w:tc>
          <w:tcPr>
            <w:tcW w:type="dxa" w:w="2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0.45 Cr</w:t>
            </w:r>
          </w:p>
        </w:tc>
      </w:tr>
    </w:tbl>
    <w:p>
      <w:pPr>
        <w:spacing w:after="160"/>
      </w:pPr>
    </w:p>
    <w:p>
      <w:pPr>
        <w:pBdr>
          <w:bottom w:val="single" w:color="F5A623" w:sz="12" w:space="1"/>
        </w:pBdr>
        <w:spacing w:after="12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Takeaways &amp; Recommendations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Impact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— URGENT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Diversify customer base — reduce Sundram to &lt;40%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 existential risk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 — HIGH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Reduce owner drawings by ₹20L, reinvest in business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₹14L+ additional annual profit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 — HIGH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 gold loans before OD — highest interest first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 ₹3-5L/year in interest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 — MEDIUM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Record all loan EMIs in Tally monthly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financial picture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— MEDIUM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3-month cash buffer using reinvested drawings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Eliminate OD dependency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 — LOW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Explore adjacent product lines (corrugated, e-commerce packaging)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 revenue streams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Analyst: Divya Bhuvaneshwaran  |  github.com/divyabhuvaneshwaran/challenge-packaging-analysis  |  FY 2024-25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2026-04-12T17:46:37.018Z</dcterms:created>
  <dcterms:modified xsi:type="dcterms:W3CDTF">2026-04-12T17:46:37.019Z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