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lineRule="auto" w:line="360" w:before="140" w:after="120"/>
        <w:ind w:hanging="0" w:left="0"/>
        <w:jc w:val="center"/>
        <w:rPr>
          <w:rFonts w:ascii="Times New Roman" w:hAnsi="Times New Roman"/>
          <w:sz w:val="36"/>
          <w:szCs w:val="36"/>
        </w:rPr>
      </w:pPr>
      <w:r>
        <w:rPr>
          <w:rFonts w:ascii="Times New Roman" w:hAnsi="Times New Roman"/>
          <w:sz w:val="36"/>
          <w:szCs w:val="36"/>
        </w:rPr>
        <w:t>Segmentaion of arecanut bunches using deep learning</w:t>
      </w:r>
    </w:p>
    <w:p>
      <w:pPr>
        <w:pStyle w:val="BodyText"/>
        <w:bidi w:val="0"/>
        <w:spacing w:lineRule="auto" w:line="360"/>
        <w:jc w:val="center"/>
        <w:rPr>
          <w:rFonts w:ascii="Times New Roman" w:hAnsi="Times New Roman"/>
          <w:sz w:val="32"/>
          <w:szCs w:val="32"/>
        </w:rPr>
      </w:pPr>
      <w:r>
        <w:rPr>
          <w:rFonts w:ascii="Times New Roman" w:hAnsi="Times New Roman"/>
          <w:sz w:val="32"/>
          <w:szCs w:val="32"/>
        </w:rPr>
        <mc:AlternateContent>
          <mc:Choice Requires="wps">
            <w:drawing>
              <wp:anchor behindDoc="0" distT="0" distB="0" distL="0" distR="0" simplePos="0" locked="0" layoutInCell="1" allowOverlap="1" relativeHeight="2">
                <wp:simplePos x="0" y="0"/>
                <wp:positionH relativeFrom="column">
                  <wp:posOffset>4618990</wp:posOffset>
                </wp:positionH>
                <wp:positionV relativeFrom="paragraph">
                  <wp:posOffset>67310</wp:posOffset>
                </wp:positionV>
                <wp:extent cx="1117600" cy="477520"/>
                <wp:effectExtent l="0" t="0" r="0" b="0"/>
                <wp:wrapNone/>
                <wp:docPr id="1" name="Text Frame 1"/>
                <a:graphic xmlns:a="http://schemas.openxmlformats.org/drawingml/2006/main">
                  <a:graphicData uri="http://schemas.microsoft.com/office/word/2010/wordprocessingShape">
                    <wps:wsp>
                      <wps:cNvSpPr txBox="1"/>
                      <wps:spPr>
                        <a:xfrm>
                          <a:off x="0" y="0"/>
                          <a:ext cx="1117440" cy="477360"/>
                        </a:xfrm>
                        <a:prstGeom prst="rect">
                          <a:avLst/>
                        </a:prstGeom>
                        <a:noFill/>
                        <a:ln w="0">
                          <a:noFill/>
                        </a:ln>
                      </wps:spPr>
                      <wps:txbx>
                        <w:txbxContent>
                          <w:p>
                            <w:pPr>
                              <w:overflowPunct w:val="false"/>
                              <w:bidi w:val="0"/>
                              <w:jc w:val="center"/>
                              <w:rPr/>
                            </w:pPr>
                            <w:r>
                              <w:rPr/>
                              <w:t>Sanjana</w:t>
                            </w:r>
                          </w:p>
                          <w:p>
                            <w:pPr>
                              <w:overflowPunct w:val="false"/>
                              <w:bidi w:val="0"/>
                              <w:jc w:val="center"/>
                              <w:rPr/>
                            </w:pPr>
                            <w:r>
                              <w:rPr/>
                              <w:t>139CS23050</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363.7pt;margin-top:5.3pt;width:87.95pt;height:37.55pt;mso-wrap-style:square;v-text-anchor:top" type="_x0000_t202">
                <v:textbox>
                  <w:txbxContent>
                    <w:p>
                      <w:pPr>
                        <w:overflowPunct w:val="false"/>
                        <w:bidi w:val="0"/>
                        <w:jc w:val="center"/>
                        <w:rPr/>
                      </w:pPr>
                      <w:r>
                        <w:rPr/>
                        <w:t>Sanjana</w:t>
                      </w:r>
                    </w:p>
                    <w:p>
                      <w:pPr>
                        <w:overflowPunct w:val="false"/>
                        <w:bidi w:val="0"/>
                        <w:jc w:val="center"/>
                        <w:rPr/>
                      </w:pPr>
                      <w:r>
                        <w:rPr/>
                        <w:t>139CS23050</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3">
                <wp:simplePos x="0" y="0"/>
                <wp:positionH relativeFrom="column">
                  <wp:posOffset>2424430</wp:posOffset>
                </wp:positionH>
                <wp:positionV relativeFrom="paragraph">
                  <wp:posOffset>77470</wp:posOffset>
                </wp:positionV>
                <wp:extent cx="1717040" cy="526415"/>
                <wp:effectExtent l="0" t="0" r="0" b="0"/>
                <wp:wrapNone/>
                <wp:docPr id="2" name="Text Frame 2"/>
                <a:graphic xmlns:a="http://schemas.openxmlformats.org/drawingml/2006/main">
                  <a:graphicData uri="http://schemas.microsoft.com/office/word/2010/wordprocessingShape">
                    <wps:wsp>
                      <wps:cNvSpPr txBox="1"/>
                      <wps:spPr>
                        <a:xfrm>
                          <a:off x="0" y="0"/>
                          <a:ext cx="1717200" cy="526320"/>
                        </a:xfrm>
                        <a:prstGeom prst="rect">
                          <a:avLst/>
                        </a:prstGeom>
                        <a:noFill/>
                        <a:ln w="0">
                          <a:noFill/>
                        </a:ln>
                      </wps:spPr>
                      <wps:txbx>
                        <w:txbxContent>
                          <w:p>
                            <w:pPr>
                              <w:overflowPunct w:val="false"/>
                              <w:bidi w:val="0"/>
                              <w:jc w:val="center"/>
                              <w:rPr/>
                            </w:pPr>
                            <w:r>
                              <w:rPr/>
                              <w:t>Divya shivayogi chouter</w:t>
                            </w:r>
                          </w:p>
                          <w:p>
                            <w:pPr>
                              <w:overflowPunct w:val="false"/>
                              <w:bidi w:val="0"/>
                              <w:jc w:val="center"/>
                              <w:rPr/>
                            </w:pPr>
                            <w:r>
                              <w:rPr/>
                              <w:t>139CS23016</w:t>
                            </w:r>
                          </w:p>
                        </w:txbxContent>
                      </wps:txbx>
                      <wps:bodyPr wrap="square" lIns="0" rIns="0" tIns="0" bIns="0" anchor="t">
                        <a:noAutofit/>
                      </wps:bodyPr>
                    </wps:wsp>
                  </a:graphicData>
                </a:graphic>
              </wp:anchor>
            </w:drawing>
          </mc:Choice>
          <mc:Fallback>
            <w:pict>
              <v:shape id="shape_0" ID="Text Frame 2" stroked="f" o:allowincell="f" style="position:absolute;margin-left:190.9pt;margin-top:6.1pt;width:135.15pt;height:41.4pt;mso-wrap-style:square;v-text-anchor:top" type="_x0000_t202">
                <v:textbox>
                  <w:txbxContent>
                    <w:p>
                      <w:pPr>
                        <w:overflowPunct w:val="false"/>
                        <w:bidi w:val="0"/>
                        <w:jc w:val="center"/>
                        <w:rPr/>
                      </w:pPr>
                      <w:r>
                        <w:rPr/>
                        <w:t>Divya shivayogi chouter</w:t>
                      </w:r>
                    </w:p>
                    <w:p>
                      <w:pPr>
                        <w:overflowPunct w:val="false"/>
                        <w:bidi w:val="0"/>
                        <w:jc w:val="center"/>
                        <w:rPr/>
                      </w:pPr>
                      <w:r>
                        <w:rPr/>
                        <w:t>139CS23016</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4">
                <wp:simplePos x="0" y="0"/>
                <wp:positionH relativeFrom="column">
                  <wp:posOffset>808990</wp:posOffset>
                </wp:positionH>
                <wp:positionV relativeFrom="paragraph">
                  <wp:posOffset>57150</wp:posOffset>
                </wp:positionV>
                <wp:extent cx="1117600" cy="477520"/>
                <wp:effectExtent l="0" t="0" r="0" b="0"/>
                <wp:wrapNone/>
                <wp:docPr id="3" name="Text Frame 3"/>
                <a:graphic xmlns:a="http://schemas.openxmlformats.org/drawingml/2006/main">
                  <a:graphicData uri="http://schemas.microsoft.com/office/word/2010/wordprocessingShape">
                    <wps:wsp>
                      <wps:cNvSpPr txBox="1"/>
                      <wps:spPr>
                        <a:xfrm>
                          <a:off x="0" y="0"/>
                          <a:ext cx="1117440" cy="477360"/>
                        </a:xfrm>
                        <a:prstGeom prst="rect">
                          <a:avLst/>
                        </a:prstGeom>
                        <a:noFill/>
                        <a:ln w="0">
                          <a:noFill/>
                        </a:ln>
                      </wps:spPr>
                      <wps:txbx>
                        <w:txbxContent>
                          <w:p>
                            <w:pPr>
                              <w:overflowPunct w:val="false"/>
                              <w:bidi w:val="0"/>
                              <w:jc w:val="center"/>
                              <w:rPr/>
                            </w:pPr>
                            <w:r>
                              <w:rPr/>
                              <w:t xml:space="preserve">Bhoomika </w:t>
                            </w:r>
                          </w:p>
                          <w:p>
                            <w:pPr>
                              <w:overflowPunct w:val="false"/>
                              <w:bidi w:val="0"/>
                              <w:jc w:val="center"/>
                              <w:rPr/>
                            </w:pPr>
                            <w:r>
                              <w:rPr/>
                              <w:t>139CS23010</w:t>
                            </w:r>
                          </w:p>
                        </w:txbxContent>
                      </wps:txbx>
                      <wps:bodyPr wrap="square" lIns="0" rIns="0" tIns="0" bIns="0" anchor="t">
                        <a:noAutofit/>
                      </wps:bodyPr>
                    </wps:wsp>
                  </a:graphicData>
                </a:graphic>
              </wp:anchor>
            </w:drawing>
          </mc:Choice>
          <mc:Fallback>
            <w:pict>
              <v:shape id="shape_0" ID="Text Frame 3" stroked="f" o:allowincell="f" style="position:absolute;margin-left:63.7pt;margin-top:4.5pt;width:87.95pt;height:37.55pt;mso-wrap-style:square;v-text-anchor:top" type="_x0000_t202">
                <v:textbox>
                  <w:txbxContent>
                    <w:p>
                      <w:pPr>
                        <w:overflowPunct w:val="false"/>
                        <w:bidi w:val="0"/>
                        <w:jc w:val="center"/>
                        <w:rPr/>
                      </w:pPr>
                      <w:r>
                        <w:rPr/>
                        <w:t xml:space="preserve">Bhoomika </w:t>
                      </w:r>
                    </w:p>
                    <w:p>
                      <w:pPr>
                        <w:overflowPunct w:val="false"/>
                        <w:bidi w:val="0"/>
                        <w:jc w:val="center"/>
                        <w:rPr/>
                      </w:pPr>
                      <w:r>
                        <w:rPr/>
                        <w:t>139CS23010</w:t>
                      </w:r>
                    </w:p>
                  </w:txbxContent>
                </v:textbox>
                <v:fill o:detectmouseclick="t" on="false"/>
                <v:stroke color="black" joinstyle="round" endcap="flat"/>
                <w10:wrap type="none"/>
              </v:shape>
            </w:pict>
          </mc:Fallback>
        </mc:AlternateContent>
      </w:r>
    </w:p>
    <w:p>
      <w:pPr>
        <w:pStyle w:val="BodyText"/>
        <w:bidi w:val="0"/>
        <w:spacing w:lineRule="auto" w:line="360"/>
        <w:jc w:val="center"/>
        <w:rPr>
          <w:rFonts w:ascii="Times New Roman" w:hAnsi="Times New Roman"/>
          <w:sz w:val="32"/>
          <w:szCs w:val="32"/>
        </w:rPr>
      </w:pPr>
      <w:r>
        <w:rPr>
          <w:rFonts w:ascii="Times New Roman" w:hAnsi="Times New Roman"/>
          <w:sz w:val="32"/>
          <w:szCs w:val="32"/>
        </w:rPr>
      </w:r>
    </w:p>
    <w:p>
      <w:pPr>
        <w:pStyle w:val="BodyText"/>
        <w:bidi w:val="0"/>
        <w:spacing w:lineRule="auto" w:line="360"/>
        <w:ind w:hanging="0" w:left="0" w:right="0"/>
        <w:jc w:val="both"/>
        <w:rPr/>
      </w:pPr>
      <w:r>
        <w:rPr>
          <w:sz w:val="24"/>
          <w:szCs w:val="24"/>
        </w:rPr>
        <w:t xml:space="preserve">Arecanut (Areca catechu L.), commonly known as betel nut, is a major commercial plantation crop in South India and Southeast Asia. Accurate segmentation of arecanut bunches from in-field tree images is vital for precision agriculture applications, including automated maturity assessment, yield prediction, disease detection, and robotic harvesting </w:t>
      </w:r>
      <w:r>
        <w:rPr>
          <w:rStyle w:val="Strong"/>
          <w:sz w:val="24"/>
          <w:szCs w:val="24"/>
        </w:rPr>
        <w:t>[1]</w:t>
      </w:r>
      <w:r>
        <w:rPr>
          <w:sz w:val="24"/>
          <w:szCs w:val="24"/>
        </w:rPr>
        <w:t xml:space="preserve">, </w:t>
      </w:r>
      <w:r>
        <w:rPr>
          <w:rStyle w:val="Strong"/>
          <w:sz w:val="24"/>
          <w:szCs w:val="24"/>
        </w:rPr>
        <w:t>[2]</w:t>
      </w:r>
      <w:r>
        <w:rPr>
          <w:sz w:val="24"/>
          <w:szCs w:val="24"/>
        </w:rPr>
        <w:t xml:space="preserve">. Traditional methods relying on hand-crafted features and color thresholding (e.g., HSV, YCgCr, YCbCr) often underperform due to challenges such as variable lighting, leaf occlusions, and complex backgrounds </w:t>
      </w:r>
      <w:r>
        <w:rPr>
          <w:rStyle w:val="Strong"/>
          <w:sz w:val="24"/>
          <w:szCs w:val="24"/>
        </w:rPr>
        <w:t>[3]</w:t>
      </w:r>
      <w:r>
        <w:rPr>
          <w:sz w:val="24"/>
          <w:szCs w:val="24"/>
        </w:rPr>
        <w:t xml:space="preserve">, </w:t>
      </w:r>
      <w:r>
        <w:rPr>
          <w:rStyle w:val="Strong"/>
          <w:sz w:val="24"/>
          <w:szCs w:val="24"/>
        </w:rPr>
        <w:t>[4]</w:t>
      </w:r>
      <w:r>
        <w:rPr>
          <w:sz w:val="24"/>
          <w:szCs w:val="24"/>
        </w:rPr>
        <w:t xml:space="preserve">. Deep learning approaches, particularly CNN-based semantic and instance segmentation models, have addressed these issues by learning robust hierarchical features directly from raw images, resulting in significantly improved accuracy and generalization </w:t>
      </w:r>
      <w:r>
        <w:rPr>
          <w:rStyle w:val="Strong"/>
          <w:sz w:val="24"/>
          <w:szCs w:val="24"/>
        </w:rPr>
        <w:t>[1]</w:t>
      </w:r>
      <w:r>
        <w:rPr>
          <w:sz w:val="24"/>
          <w:szCs w:val="24"/>
        </w:rPr>
        <w:t xml:space="preserve">, </w:t>
      </w:r>
      <w:r>
        <w:rPr>
          <w:rStyle w:val="Strong"/>
          <w:sz w:val="24"/>
          <w:szCs w:val="24"/>
        </w:rPr>
        <w:t>[5]</w:t>
      </w:r>
      <w:r>
        <w:rPr>
          <w:sz w:val="24"/>
          <w:szCs w:val="24"/>
        </w:rPr>
        <w:t>.</w:t>
      </w:r>
    </w:p>
    <w:p>
      <w:pPr>
        <w:pStyle w:val="Heading4"/>
        <w:bidi w:val="0"/>
        <w:spacing w:lineRule="auto" w:line="360"/>
        <w:jc w:val="both"/>
        <w:rPr>
          <w:sz w:val="24"/>
          <w:szCs w:val="24"/>
        </w:rPr>
      </w:pPr>
      <w:r>
        <w:rPr>
          <w:sz w:val="24"/>
          <w:szCs w:val="24"/>
        </w:rPr>
        <w:t>Early Deep Learning Approaches (2022)</w:t>
      </w:r>
    </w:p>
    <w:p>
      <w:pPr>
        <w:pStyle w:val="BodyText"/>
        <w:bidi w:val="0"/>
        <w:spacing w:lineRule="auto" w:line="360"/>
        <w:ind w:hanging="0" w:left="0" w:right="0"/>
        <w:jc w:val="both"/>
        <w:rPr/>
      </w:pPr>
      <w:r>
        <w:rPr>
          <w:sz w:val="24"/>
          <w:szCs w:val="24"/>
        </w:rPr>
        <w:t xml:space="preserve">The first dedicated deep learning efforts for arecanut bunch segmentation were introduced by Anitha et al. </w:t>
      </w:r>
      <w:r>
        <w:rPr>
          <w:rStyle w:val="Strong"/>
          <w:sz w:val="24"/>
          <w:szCs w:val="24"/>
        </w:rPr>
        <w:t>[1]</w:t>
      </w:r>
      <w:r>
        <w:rPr>
          <w:sz w:val="24"/>
          <w:szCs w:val="24"/>
        </w:rPr>
        <w:t xml:space="preserve">, who applied </w:t>
      </w:r>
      <w:r>
        <w:rPr>
          <w:rStyle w:val="Strong"/>
          <w:sz w:val="24"/>
          <w:szCs w:val="24"/>
        </w:rPr>
        <w:t>U-Net</w:t>
      </w:r>
      <w:r>
        <w:rPr>
          <w:sz w:val="24"/>
          <w:szCs w:val="24"/>
        </w:rPr>
        <w:t xml:space="preserve"> for semantic segmentation and </w:t>
      </w:r>
      <w:r>
        <w:rPr>
          <w:rStyle w:val="Strong"/>
          <w:sz w:val="24"/>
          <w:szCs w:val="24"/>
        </w:rPr>
        <w:t>Mask R-CNN</w:t>
      </w:r>
      <w:r>
        <w:rPr>
          <w:sz w:val="24"/>
          <w:szCs w:val="24"/>
        </w:rPr>
        <w:t xml:space="preserve"> for instance segmentation directly to unprocessed tree images. U-Net utilizes an encoder-decoder architecture with skip connections to achieve precise pixel-wise classification and boundary preservation, while Mask R-CNN extends Faster R-CNN by incorporating a mask prediction branch for instance-aware segmentation (bounding boxes, class labels, and pixel masks). On a custom dataset of arecanut tree images, Mask R-CNN demonstrated superior performance in handling overlaps and occlusions, with Dice coefficients typically ranging from 61–66% across maturity stages, compared to 58–77% for U-Net </w:t>
      </w:r>
      <w:r>
        <w:rPr>
          <w:rStyle w:val="Strong"/>
          <w:sz w:val="24"/>
          <w:szCs w:val="24"/>
        </w:rPr>
        <w:t>[1]</w:t>
      </w:r>
      <w:r>
        <w:rPr>
          <w:sz w:val="24"/>
          <w:szCs w:val="24"/>
        </w:rPr>
        <w:t>. The study highlighted the lack of standardized arecanut-specific benchmarks and positioned deep learning results as markedly better than color-based methods applied to similar crops.</w:t>
      </w:r>
    </w:p>
    <w:p>
      <w:pPr>
        <w:pStyle w:val="Heading4"/>
        <w:bidi w:val="0"/>
        <w:spacing w:lineRule="auto" w:line="360"/>
        <w:jc w:val="both"/>
        <w:rPr>
          <w:sz w:val="24"/>
          <w:szCs w:val="24"/>
        </w:rPr>
      </w:pPr>
      <w:r>
        <w:rPr>
          <w:sz w:val="24"/>
          <w:szCs w:val="24"/>
        </w:rPr>
        <w:t>Enhanced Architectures and Integration with Yield Estimation (2023–2024)</w:t>
      </w:r>
    </w:p>
    <w:p>
      <w:pPr>
        <w:pStyle w:val="BodyText"/>
        <w:bidi w:val="0"/>
        <w:spacing w:lineRule="auto" w:line="360"/>
        <w:ind w:hanging="0" w:left="0" w:right="0"/>
        <w:jc w:val="both"/>
        <w:rPr/>
      </w:pPr>
      <w:r>
        <w:rPr>
          <w:sz w:val="24"/>
          <w:szCs w:val="24"/>
        </w:rPr>
        <w:t xml:space="preserve">Subsequent works refined segmentation models and linked them to practical downstream tasks. Chikkalingaiah et al. proposed </w:t>
      </w:r>
      <w:r>
        <w:rPr>
          <w:rStyle w:val="Strong"/>
          <w:sz w:val="24"/>
          <w:szCs w:val="24"/>
        </w:rPr>
        <w:t>U-Net squared</w:t>
      </w:r>
      <w:r>
        <w:rPr>
          <w:sz w:val="24"/>
          <w:szCs w:val="24"/>
        </w:rPr>
        <w:t xml:space="preserve">, an enhanced U-Net variant incorporating modified feature map processing (e.g., squared depth or expanded layers) to improve boundary detection in semantic segmentation </w:t>
      </w:r>
      <w:r>
        <w:rPr>
          <w:rStyle w:val="Strong"/>
          <w:sz w:val="24"/>
          <w:szCs w:val="24"/>
        </w:rPr>
        <w:t>[2]</w:t>
      </w:r>
      <w:r>
        <w:rPr>
          <w:sz w:val="24"/>
          <w:szCs w:val="24"/>
        </w:rPr>
        <w:t xml:space="preserve">. When integrated with YOLOv4 for nut counting and yield estimation, the pipeline achieved 88% training accuracy and 85% validation accuracy for segmentation, with YOLOv4 reaching 94.7% accuracy on segmented outputs—outperforming reported benchmarks for analogous fruit and nut crops </w:t>
      </w:r>
      <w:r>
        <w:rPr>
          <w:rStyle w:val="Strong"/>
          <w:sz w:val="24"/>
          <w:szCs w:val="24"/>
        </w:rPr>
        <w:t>[2]</w:t>
      </w:r>
      <w:r>
        <w:rPr>
          <w:sz w:val="24"/>
          <w:szCs w:val="24"/>
        </w:rPr>
        <w:t>. This underscored segmentation's value as an essential preprocessing step for real-world farm monitoring.</w:t>
      </w:r>
    </w:p>
    <w:p>
      <w:pPr>
        <w:pStyle w:val="BodyText"/>
        <w:bidi w:val="0"/>
        <w:spacing w:lineRule="auto" w:line="360"/>
        <w:ind w:hanging="0" w:left="0" w:right="0"/>
        <w:jc w:val="both"/>
        <w:rPr/>
      </w:pPr>
      <w:r>
        <w:rPr>
          <w:sz w:val="24"/>
          <w:szCs w:val="24"/>
        </w:rPr>
        <w:t xml:space="preserve">Dhanesha et al. advanced maturity determination by combining an optimized U-Net for segmentation with transfer learning-based CNN classification (mature vs. immature) </w:t>
      </w:r>
      <w:r>
        <w:rPr>
          <w:rStyle w:val="Strong"/>
          <w:sz w:val="24"/>
          <w:szCs w:val="24"/>
        </w:rPr>
        <w:t>[6]</w:t>
      </w:r>
      <w:r>
        <w:rPr>
          <w:sz w:val="24"/>
          <w:szCs w:val="24"/>
        </w:rPr>
        <w:t xml:space="preserve">. Optimizations included reduced network depth (3 levels), batch normalization, Dice loss function, and Adam optimizer. RGB color inputs consistently outperformed alternative spaces (e.g., HSV saturation or grayscale) in both segmentation and classification, emphasizing the preservation of color cues critical for ripeness differentiation </w:t>
      </w:r>
      <w:r>
        <w:rPr>
          <w:rStyle w:val="Strong"/>
          <w:sz w:val="24"/>
          <w:szCs w:val="24"/>
        </w:rPr>
        <w:t>[6]</w:t>
      </w:r>
      <w:r>
        <w:rPr>
          <w:sz w:val="24"/>
          <w:szCs w:val="24"/>
        </w:rPr>
        <w:t xml:space="preserve">, </w:t>
      </w:r>
      <w:r>
        <w:rPr>
          <w:rStyle w:val="Strong"/>
          <w:sz w:val="24"/>
          <w:szCs w:val="24"/>
        </w:rPr>
        <w:t>[7]</w:t>
      </w:r>
      <w:r>
        <w:rPr>
          <w:sz w:val="24"/>
          <w:szCs w:val="24"/>
        </w:rPr>
        <w:t>.</w:t>
      </w:r>
    </w:p>
    <w:p>
      <w:pPr>
        <w:pStyle w:val="Heading4"/>
        <w:bidi w:val="0"/>
        <w:spacing w:lineRule="auto" w:line="360"/>
        <w:jc w:val="both"/>
        <w:rPr>
          <w:sz w:val="24"/>
          <w:szCs w:val="24"/>
        </w:rPr>
      </w:pPr>
      <w:r>
        <w:rPr>
          <w:sz w:val="24"/>
          <w:szCs w:val="24"/>
        </w:rPr>
        <w:t>Color Space Comparisons and Optimized Models (2023–2025)</w:t>
      </w:r>
    </w:p>
    <w:p>
      <w:pPr>
        <w:pStyle w:val="BodyText"/>
        <w:bidi w:val="0"/>
        <w:spacing w:lineRule="auto" w:line="360"/>
        <w:ind w:hanging="0" w:left="0" w:right="0"/>
        <w:jc w:val="both"/>
        <w:rPr/>
      </w:pPr>
      <w:r>
        <w:rPr>
          <w:sz w:val="24"/>
          <w:szCs w:val="24"/>
        </w:rPr>
        <w:t xml:space="preserve">A focused series of studies by Dhanesha et al. evaluated color space impacts using optimized U-Net architectures </w:t>
      </w:r>
      <w:r>
        <w:rPr>
          <w:rStyle w:val="Strong"/>
          <w:sz w:val="24"/>
          <w:szCs w:val="24"/>
        </w:rPr>
        <w:t>[5]</w:t>
      </w:r>
      <w:r>
        <w:rPr>
          <w:sz w:val="24"/>
          <w:szCs w:val="24"/>
        </w:rPr>
        <w:t xml:space="preserve">, </w:t>
      </w:r>
      <w:r>
        <w:rPr>
          <w:rStyle w:val="Strong"/>
          <w:sz w:val="24"/>
          <w:szCs w:val="24"/>
        </w:rPr>
        <w:t>[7]</w:t>
      </w:r>
      <w:r>
        <w:rPr>
          <w:sz w:val="24"/>
          <w:szCs w:val="24"/>
        </w:rPr>
        <w:t xml:space="preserve">, </w:t>
      </w:r>
      <w:r>
        <w:rPr>
          <w:rStyle w:val="Strong"/>
          <w:sz w:val="24"/>
          <w:szCs w:val="24"/>
        </w:rPr>
        <w:t>[8]</w:t>
      </w:r>
      <w:r>
        <w:rPr>
          <w:sz w:val="24"/>
          <w:szCs w:val="24"/>
        </w:rPr>
        <w:t xml:space="preserve">. In a key experiment, a dataset of 1,017 images (629 unripe, 388 ripe), resized to 224×224 pixels, was processed with a 3-level U-Net (batch normalization, padding, Dice loss, learning rate 0.006). RGB inputs delivered the highest performance: Dice coefficient 91.15%, precision 93.30%, recall 76.50%. HSV saturation (S-channel) achieved 90.30% Dice, and grayscale 89.64% Dice—surpassing earlier color thresholding baselines (e.g., YCgCr ~87.69% Dice) and prior U-Net/Mask R-CNN results (58–77% Dice) </w:t>
      </w:r>
      <w:r>
        <w:rPr>
          <w:rStyle w:val="Strong"/>
          <w:sz w:val="24"/>
          <w:szCs w:val="24"/>
        </w:rPr>
        <w:t>[5]</w:t>
      </w:r>
      <w:r>
        <w:rPr>
          <w:sz w:val="24"/>
          <w:szCs w:val="24"/>
        </w:rPr>
        <w:t xml:space="preserve">, </w:t>
      </w:r>
      <w:r>
        <w:rPr>
          <w:rStyle w:val="Strong"/>
          <w:sz w:val="24"/>
          <w:szCs w:val="24"/>
        </w:rPr>
        <w:t>[8]</w:t>
      </w:r>
      <w:r>
        <w:rPr>
          <w:sz w:val="24"/>
          <w:szCs w:val="24"/>
        </w:rPr>
        <w:t>. These outcomes reinforced RGB's superiority for capturing nuanced field-condition color variations essential for accurate bunch isolation.</w:t>
      </w:r>
    </w:p>
    <w:p>
      <w:pPr>
        <w:pStyle w:val="Heading4"/>
        <w:bidi w:val="0"/>
        <w:spacing w:lineRule="auto" w:line="360"/>
        <w:jc w:val="both"/>
        <w:rPr>
          <w:sz w:val="24"/>
          <w:szCs w:val="24"/>
        </w:rPr>
      </w:pPr>
      <w:r>
        <w:rPr>
          <w:sz w:val="24"/>
          <w:szCs w:val="24"/>
        </w:rPr>
        <w:t>Instance Segmentation and Hybrid Extensions (2025)</w:t>
      </w:r>
    </w:p>
    <w:p>
      <w:pPr>
        <w:pStyle w:val="BodyText"/>
        <w:bidi w:val="0"/>
        <w:spacing w:lineRule="auto" w:line="360"/>
        <w:ind w:hanging="0" w:left="0" w:right="0"/>
        <w:jc w:val="both"/>
        <w:rPr/>
      </w:pPr>
      <w:r>
        <w:rPr>
          <w:sz w:val="24"/>
          <w:szCs w:val="24"/>
        </w:rPr>
        <w:t xml:space="preserve">Recent advancements extended instance segmentation for yield counting. Anitha et al. employed </w:t>
      </w:r>
      <w:r>
        <w:rPr>
          <w:rStyle w:val="Strong"/>
          <w:sz w:val="24"/>
          <w:szCs w:val="24"/>
        </w:rPr>
        <w:t>Detectron2</w:t>
      </w:r>
      <w:r>
        <w:rPr>
          <w:sz w:val="24"/>
          <w:szCs w:val="24"/>
        </w:rPr>
        <w:t xml:space="preserve"> (a PyTorch-based framework) to implement Mask R-CNN variants, enabling precise bunch isolation and nut enumeration while effectively managing overlaps </w:t>
      </w:r>
      <w:r>
        <w:rPr>
          <w:rStyle w:val="Strong"/>
          <w:sz w:val="24"/>
          <w:szCs w:val="24"/>
        </w:rPr>
        <w:t>[9]</w:t>
      </w:r>
      <w:r>
        <w:rPr>
          <w:sz w:val="24"/>
          <w:szCs w:val="24"/>
        </w:rPr>
        <w:t xml:space="preserve">. This scalable approach supports growth monitoring and builds directly on foundational Mask R-CNN work </w:t>
      </w:r>
      <w:r>
        <w:rPr>
          <w:rStyle w:val="Strong"/>
          <w:sz w:val="24"/>
          <w:szCs w:val="24"/>
        </w:rPr>
        <w:t>[1]</w:t>
      </w:r>
      <w:r>
        <w:rPr>
          <w:sz w:val="24"/>
          <w:szCs w:val="24"/>
        </w:rPr>
        <w:t>.</w:t>
      </w:r>
    </w:p>
    <w:p>
      <w:pPr>
        <w:pStyle w:val="BodyText"/>
        <w:bidi w:val="0"/>
        <w:spacing w:lineRule="auto" w:line="360"/>
        <w:ind w:hanging="0" w:left="0" w:right="0"/>
        <w:jc w:val="both"/>
        <w:rPr/>
      </w:pPr>
      <w:r>
        <w:rPr>
          <w:sz w:val="24"/>
          <w:szCs w:val="24"/>
        </w:rPr>
        <w:t xml:space="preserve">Hybrid applications integrate segmentation with disease detection and management. For instance, systems combining YOLOv8 with unsupervised clustering (e.g., k-Means) achieve high disease detection accuracy (e.g., 96.2%) and enable cluster-based automated pesticide spraying, reducing chemical usage </w:t>
      </w:r>
      <w:r>
        <w:rPr>
          <w:rStyle w:val="Strong"/>
          <w:sz w:val="24"/>
          <w:szCs w:val="24"/>
        </w:rPr>
        <w:t>[related extensions in disease literature]</w:t>
      </w:r>
      <w:r>
        <w:rPr>
          <w:sz w:val="24"/>
          <w:szCs w:val="24"/>
        </w:rPr>
        <w:t>. These illustrate segmentation's broader role in sustainable arecanut cultivation.</w:t>
      </w:r>
    </w:p>
    <w:p>
      <w:pPr>
        <w:pStyle w:val="Heading4"/>
        <w:bidi w:val="0"/>
        <w:spacing w:lineRule="auto" w:line="360"/>
        <w:jc w:val="both"/>
        <w:rPr>
          <w:sz w:val="24"/>
          <w:szCs w:val="24"/>
        </w:rPr>
      </w:pPr>
      <w:r>
        <w:rPr>
          <w:sz w:val="24"/>
          <w:szCs w:val="24"/>
        </w:rPr>
        <w:t>Comparative Context and Emerging Trends</w:t>
      </w:r>
    </w:p>
    <w:p>
      <w:pPr>
        <w:pStyle w:val="BodyText"/>
        <w:bidi w:val="0"/>
        <w:spacing w:lineRule="auto" w:line="360"/>
        <w:ind w:hanging="0" w:left="0" w:right="0"/>
        <w:jc w:val="both"/>
        <w:rPr/>
      </w:pPr>
      <w:r>
        <w:rPr>
          <w:sz w:val="24"/>
          <w:szCs w:val="24"/>
        </w:rPr>
        <w:t xml:space="preserve">Supporting works include color-based baselines (e.g., HSV S-channel, YCbCr Cr-channel) achieving ~87.8% maturity classification accuracy with random forest classifiers </w:t>
      </w:r>
      <w:r>
        <w:rPr>
          <w:rStyle w:val="Strong"/>
          <w:sz w:val="24"/>
          <w:szCs w:val="24"/>
        </w:rPr>
        <w:t>[4]</w:t>
      </w:r>
      <w:r>
        <w:rPr>
          <w:sz w:val="24"/>
          <w:szCs w:val="24"/>
        </w:rPr>
        <w:t xml:space="preserve">, </w:t>
      </w:r>
      <w:r>
        <w:rPr>
          <w:rStyle w:val="Strong"/>
          <w:sz w:val="24"/>
          <w:szCs w:val="24"/>
        </w:rPr>
        <w:t>[10]</w:t>
      </w:r>
      <w:r>
        <w:rPr>
          <w:sz w:val="24"/>
          <w:szCs w:val="24"/>
        </w:rPr>
        <w:t xml:space="preserve">, and non-deep alternatives such as graph-cut and watershed algorithms for yield estimation (e.g., 85.78% IoU, 93.15% Dice in select cases) </w:t>
      </w:r>
      <w:r>
        <w:rPr>
          <w:rStyle w:val="Strong"/>
          <w:sz w:val="24"/>
          <w:szCs w:val="24"/>
        </w:rPr>
        <w:t>[11]</w:t>
      </w:r>
      <w:r>
        <w:rPr>
          <w:sz w:val="24"/>
          <w:szCs w:val="24"/>
        </w:rPr>
        <w:t xml:space="preserve">. Broader reviews note deep learning's increasing dominance in arecanut grading and disease identification </w:t>
      </w:r>
      <w:r>
        <w:rPr>
          <w:rStyle w:val="Strong"/>
          <w:sz w:val="24"/>
          <w:szCs w:val="24"/>
        </w:rPr>
        <w:t>[12]</w:t>
      </w:r>
      <w:r>
        <w:rPr>
          <w:sz w:val="24"/>
          <w:szCs w:val="24"/>
        </w:rPr>
        <w:t>.</w:t>
      </w:r>
    </w:p>
    <w:p>
      <w:pPr>
        <w:pStyle w:val="BodyText"/>
        <w:bidi w:val="0"/>
        <w:spacing w:lineRule="auto" w:line="360"/>
        <w:ind w:hanging="0" w:left="0" w:right="0"/>
        <w:jc w:val="both"/>
        <w:rPr>
          <w:sz w:val="24"/>
          <w:szCs w:val="24"/>
        </w:rPr>
      </w:pPr>
      <w:r>
        <w:rPr>
          <w:sz w:val="24"/>
          <w:szCs w:val="24"/>
        </w:rPr>
        <w:t>Trends show a preference for U-Net derivatives for efficient semantic segmentation (Dice/IoU up to 91%) and Mask R-CNN/Detectron2 for precise instance-level tasks. Datasets remain custom-collected from Indian plantations (typically hundreds to ~1,000 images), with RGB inputs favored. Persistent gaps include the scarcity of large public annotated datasets, challenges in real-time inference on edge devices, limited robustness to diverse environmental conditions, and underexplored advanced architectures (e.g., transformer-based models like SegFormer or attention-augmented U-Net variants).</w:t>
      </w:r>
    </w:p>
    <w:p>
      <w:pPr>
        <w:pStyle w:val="BodyText"/>
        <w:bidi w:val="0"/>
        <w:spacing w:lineRule="auto" w:line="360"/>
        <w:ind w:hanging="0" w:left="0" w:right="0"/>
        <w:jc w:val="both"/>
        <w:rPr>
          <w:sz w:val="24"/>
          <w:szCs w:val="24"/>
        </w:rPr>
      </w:pPr>
      <w:r>
        <w:rPr>
          <w:sz w:val="24"/>
          <w:szCs w:val="24"/>
        </w:rPr>
        <w:t>Future research could prioritize larger-scale datasets (via augmentation or crowdsourcing), multimodal data fusion (e.g., drone imagery + multispectral sensors), and attention mechanisms to further enhance generalization and deployment in arecanut precision agriculture.</w:t>
      </w:r>
    </w:p>
    <w:p>
      <w:pPr>
        <w:pStyle w:val="Heading4"/>
        <w:bidi w:val="0"/>
        <w:spacing w:lineRule="auto" w:line="360"/>
        <w:jc w:val="both"/>
        <w:rPr>
          <w:sz w:val="24"/>
          <w:szCs w:val="24"/>
        </w:rPr>
      </w:pPr>
      <w:r>
        <w:rPr>
          <w:sz w:val="24"/>
          <w:szCs w:val="24"/>
        </w:rPr>
        <w:t>References</w:t>
      </w:r>
    </w:p>
    <w:p>
      <w:pPr>
        <w:pStyle w:val="BodyText"/>
        <w:bidi w:val="0"/>
        <w:spacing w:lineRule="auto" w:line="360"/>
        <w:ind w:hanging="0" w:left="0" w:right="0"/>
        <w:jc w:val="both"/>
        <w:rPr/>
      </w:pPr>
      <w:r>
        <w:rPr>
          <w:sz w:val="24"/>
          <w:szCs w:val="24"/>
        </w:rPr>
        <w:t xml:space="preserve">[1] A. C. Anitha, R. Dhanesha, C. L. Shrinivasa Naika, A. N. Krishna, S. K. Parinith, and P. P. Sharma, “Arecanut bunch segmentation using deep learning techniques,” </w:t>
      </w:r>
      <w:r>
        <w:rPr>
          <w:rStyle w:val="Emphasis"/>
          <w:sz w:val="24"/>
          <w:szCs w:val="24"/>
        </w:rPr>
        <w:t>International Journal of Circuits, Systems and Signal Processing</w:t>
      </w:r>
      <w:r>
        <w:rPr>
          <w:sz w:val="24"/>
          <w:szCs w:val="24"/>
        </w:rPr>
        <w:t xml:space="preserve">, vol. 16, pp. 1064–1073, 2022. Available: </w:t>
      </w:r>
      <w:hyperlink r:id="rId2" w:tgtFrame="_blank">
        <w:r>
          <w:rPr>
            <w:rStyle w:val="Hyperlink"/>
            <w:sz w:val="24"/>
            <w:szCs w:val="24"/>
          </w:rPr>
          <w:t>https://npublications.com/journals/circuitssystemssignal/2022/c622005-129(2022).pdf</w:t>
        </w:r>
      </w:hyperlink>
    </w:p>
    <w:p>
      <w:pPr>
        <w:pStyle w:val="BodyText"/>
        <w:bidi w:val="0"/>
        <w:spacing w:lineRule="auto" w:line="360"/>
        <w:ind w:hanging="0" w:left="0" w:right="0"/>
        <w:jc w:val="both"/>
        <w:rPr/>
      </w:pPr>
      <w:r>
        <w:rPr>
          <w:sz w:val="24"/>
          <w:szCs w:val="24"/>
        </w:rPr>
        <w:t xml:space="preserve">[2] A. A. Chikkalingaiah, R. Dhanesha, C. L. Shrinivasa Naika, K. A. N. Laxmana, A. M. Puttaswamy, and P. Ayengar, “Segmentation and yield count of an arecanut bunch using deep learning techniques,” </w:t>
      </w:r>
      <w:r>
        <w:rPr>
          <w:rStyle w:val="Emphasis"/>
          <w:sz w:val="24"/>
          <w:szCs w:val="24"/>
        </w:rPr>
        <w:t>IAES International Journal of Artificial Intelligence (IJ-AI)</w:t>
      </w:r>
      <w:r>
        <w:rPr>
          <w:sz w:val="24"/>
          <w:szCs w:val="24"/>
        </w:rPr>
        <w:t xml:space="preserve">, vol. 13, no. 2, pp. 543–552, 2024. Available: </w:t>
      </w:r>
      <w:hyperlink r:id="rId3" w:tgtFrame="_blank">
        <w:r>
          <w:rPr>
            <w:rStyle w:val="Hyperlink"/>
            <w:sz w:val="24"/>
            <w:szCs w:val="24"/>
          </w:rPr>
          <w:t>https://ijai.iaescore.com/index.php/IJAI/article/view/22180</w:t>
        </w:r>
      </w:hyperlink>
    </w:p>
    <w:p>
      <w:pPr>
        <w:pStyle w:val="BodyText"/>
        <w:bidi w:val="0"/>
        <w:spacing w:lineRule="auto" w:line="360"/>
        <w:ind w:hanging="0" w:left="0" w:right="0"/>
        <w:jc w:val="both"/>
        <w:rPr/>
      </w:pPr>
      <w:r>
        <w:rPr>
          <w:sz w:val="24"/>
          <w:szCs w:val="24"/>
        </w:rPr>
        <w:t xml:space="preserve">[3] R. Dhanesha and C. L. Shrinivasa Naika, “Segmentation of arecanut bunches using YCgCr color model,” in </w:t>
      </w:r>
      <w:r>
        <w:rPr>
          <w:rStyle w:val="Emphasis"/>
          <w:sz w:val="24"/>
          <w:szCs w:val="24"/>
        </w:rPr>
        <w:t>Proc. 1st IEEE Int. Conf. Advances in Information Technology (ICAIT)</w:t>
      </w:r>
      <w:r>
        <w:rPr>
          <w:sz w:val="24"/>
          <w:szCs w:val="24"/>
        </w:rPr>
        <w:t>, 2019, pp. 50–53.</w:t>
      </w:r>
    </w:p>
    <w:p>
      <w:pPr>
        <w:pStyle w:val="BodyText"/>
        <w:bidi w:val="0"/>
        <w:spacing w:lineRule="auto" w:line="360"/>
        <w:ind w:hanging="0" w:left="0" w:right="0"/>
        <w:jc w:val="both"/>
        <w:rPr/>
      </w:pPr>
      <w:r>
        <w:rPr>
          <w:sz w:val="24"/>
          <w:szCs w:val="24"/>
        </w:rPr>
        <w:t xml:space="preserve">[4] R. Dhanesha, D. K. Umesha, A. C. Anitha, and C. L. Shrinivasa Naika, “Segmentation and classification of arecanut bunches before harvesting,” </w:t>
      </w:r>
      <w:r>
        <w:rPr>
          <w:rStyle w:val="Emphasis"/>
          <w:sz w:val="24"/>
          <w:szCs w:val="24"/>
        </w:rPr>
        <w:t>International Journal on Recent and Innovation Trends in Computing and Communication</w:t>
      </w:r>
      <w:r>
        <w:rPr>
          <w:sz w:val="24"/>
          <w:szCs w:val="24"/>
        </w:rPr>
        <w:t xml:space="preserve">, vol. 11, no. 9, pp. 3953–3962, 2023. Available: </w:t>
      </w:r>
      <w:hyperlink r:id="rId4" w:tgtFrame="_blank">
        <w:r>
          <w:rPr>
            <w:rStyle w:val="Hyperlink"/>
            <w:sz w:val="24"/>
            <w:szCs w:val="24"/>
          </w:rPr>
          <w:t>https://ijritcc.org/index.php/ijritcc/article/view/9736</w:t>
        </w:r>
      </w:hyperlink>
    </w:p>
    <w:p>
      <w:pPr>
        <w:pStyle w:val="BodyText"/>
        <w:bidi w:val="0"/>
        <w:spacing w:lineRule="auto" w:line="360"/>
        <w:ind w:hanging="0" w:left="0" w:right="0"/>
        <w:jc w:val="both"/>
        <w:rPr/>
      </w:pPr>
      <w:r>
        <w:rPr>
          <w:sz w:val="24"/>
          <w:szCs w:val="24"/>
        </w:rPr>
        <w:t xml:space="preserve">[5] R. Dhanesha et al., “Segmentation of arecanut bunches using deep learning technique,” </w:t>
      </w:r>
      <w:r>
        <w:rPr>
          <w:rStyle w:val="Emphasis"/>
          <w:sz w:val="24"/>
          <w:szCs w:val="24"/>
        </w:rPr>
        <w:t>Journal of Electrical Systems</w:t>
      </w:r>
      <w:r>
        <w:rPr>
          <w:sz w:val="24"/>
          <w:szCs w:val="24"/>
        </w:rPr>
        <w:t xml:space="preserve">, 2024/2025. Available: </w:t>
      </w:r>
      <w:hyperlink r:id="rId5" w:tgtFrame="_blank">
        <w:r>
          <w:rPr>
            <w:rStyle w:val="Hyperlink"/>
            <w:sz w:val="24"/>
            <w:szCs w:val="24"/>
          </w:rPr>
          <w:t>https://journal.esrgroups.org/jes/article/view/8640</w:t>
        </w:r>
      </w:hyperlink>
    </w:p>
    <w:p>
      <w:pPr>
        <w:pStyle w:val="BodyText"/>
        <w:bidi w:val="0"/>
        <w:spacing w:lineRule="auto" w:line="360"/>
        <w:ind w:hanging="0" w:left="0" w:right="0"/>
        <w:jc w:val="both"/>
        <w:rPr/>
      </w:pPr>
      <w:r>
        <w:rPr>
          <w:sz w:val="24"/>
          <w:szCs w:val="24"/>
        </w:rPr>
        <w:t xml:space="preserve">[6] R. Dhanesha, D. K. Umesha, G. S. Hiremath, G. N. Girish, and C. L. Shrinivasa Naika, “Segmentation and classification of unharvested arecanut bunches using deep learning,” in </w:t>
      </w:r>
      <w:r>
        <w:rPr>
          <w:rStyle w:val="Emphasis"/>
          <w:sz w:val="24"/>
          <w:szCs w:val="24"/>
        </w:rPr>
        <w:t>Proc. Int. Conf. Intelligent Systems in Computing and Communications</w:t>
      </w:r>
      <w:r>
        <w:rPr>
          <w:sz w:val="24"/>
          <w:szCs w:val="24"/>
        </w:rPr>
        <w:t xml:space="preserve">, Springer, 2023. Available: </w:t>
      </w:r>
      <w:hyperlink r:id="rId6" w:tgtFrame="_blank">
        <w:r>
          <w:rPr>
            <w:rStyle w:val="Hyperlink"/>
            <w:sz w:val="24"/>
            <w:szCs w:val="24"/>
          </w:rPr>
          <w:t>https://link.springer.com/chapter/10.1007/978-3-031-75605-4_11</w:t>
        </w:r>
      </w:hyperlink>
    </w:p>
    <w:p>
      <w:pPr>
        <w:pStyle w:val="BodyText"/>
        <w:bidi w:val="0"/>
        <w:spacing w:lineRule="auto" w:line="360"/>
        <w:ind w:hanging="0" w:left="0" w:right="0"/>
        <w:jc w:val="both"/>
        <w:rPr/>
      </w:pPr>
      <w:r>
        <w:rPr>
          <w:sz w:val="24"/>
          <w:szCs w:val="24"/>
        </w:rPr>
        <w:t xml:space="preserve">[7] R. Dhanesha et al., “Determination of maturity level in arecanut bunches using deep learning: A comparative study of different CNN models,” </w:t>
      </w:r>
      <w:r>
        <w:rPr>
          <w:rStyle w:val="Emphasis"/>
          <w:sz w:val="24"/>
          <w:szCs w:val="24"/>
        </w:rPr>
        <w:t>International Journal of Intelligent Systems and Applications in Engineering</w:t>
      </w:r>
      <w:r>
        <w:rPr>
          <w:sz w:val="24"/>
          <w:szCs w:val="24"/>
        </w:rPr>
        <w:t xml:space="preserve">, 2024. Available: </w:t>
      </w:r>
      <w:hyperlink r:id="rId7" w:tgtFrame="_blank">
        <w:r>
          <w:rPr>
            <w:rStyle w:val="Hyperlink"/>
            <w:sz w:val="24"/>
            <w:szCs w:val="24"/>
          </w:rPr>
          <w:t>https://www.ijisae.org/index.php/IJISAE/article/view/7457</w:t>
        </w:r>
      </w:hyperlink>
    </w:p>
    <w:p>
      <w:pPr>
        <w:pStyle w:val="BodyText"/>
        <w:bidi w:val="0"/>
        <w:spacing w:lineRule="auto" w:line="360"/>
        <w:ind w:hanging="0" w:left="0" w:right="0"/>
        <w:jc w:val="both"/>
        <w:rPr/>
      </w:pPr>
      <w:r>
        <w:rPr>
          <w:sz w:val="24"/>
          <w:szCs w:val="24"/>
        </w:rPr>
        <w:t xml:space="preserve">[8] R. Dhanesha et al., “Deep learning for arecanut maturity assessment: A comparative analysis of fine-tuned CNN models in RGB, saturation, and grayscale domains,” </w:t>
      </w:r>
      <w:r>
        <w:rPr>
          <w:rStyle w:val="Emphasis"/>
          <w:sz w:val="24"/>
          <w:szCs w:val="24"/>
        </w:rPr>
        <w:t>International Journal of Intelligent Systems and Applications in Engineering</w:t>
      </w:r>
      <w:r>
        <w:rPr>
          <w:sz w:val="24"/>
          <w:szCs w:val="24"/>
        </w:rPr>
        <w:t>, 2024 (extended).</w:t>
      </w:r>
    </w:p>
    <w:p>
      <w:pPr>
        <w:pStyle w:val="BodyText"/>
        <w:bidi w:val="0"/>
        <w:spacing w:lineRule="auto" w:line="360"/>
        <w:ind w:hanging="0" w:left="0" w:right="0"/>
        <w:jc w:val="both"/>
        <w:rPr/>
      </w:pPr>
      <w:r>
        <w:rPr>
          <w:sz w:val="24"/>
          <w:szCs w:val="24"/>
        </w:rPr>
        <w:t xml:space="preserve">[9] A. C. Anitha, C. L. Shrinivasa Naika, A. N. Krishna, and K. S. Hanush Gowrav Gowda, “Detection of arecanut bunch yield count using Detectron2,” </w:t>
      </w:r>
      <w:r>
        <w:rPr>
          <w:rStyle w:val="Emphasis"/>
          <w:sz w:val="24"/>
          <w:szCs w:val="24"/>
        </w:rPr>
        <w:t>IAENG International Journal of Computer Science</w:t>
      </w:r>
      <w:r>
        <w:rPr>
          <w:sz w:val="24"/>
          <w:szCs w:val="24"/>
        </w:rPr>
        <w:t xml:space="preserve">, vol. 52, no. 10, pp. 3632–3639, 2025. Available: </w:t>
      </w:r>
      <w:hyperlink r:id="rId8" w:tgtFrame="_blank">
        <w:r>
          <w:rPr>
            <w:rStyle w:val="Hyperlink"/>
            <w:sz w:val="24"/>
            <w:szCs w:val="24"/>
          </w:rPr>
          <w:t>https://www.iaeng.org/IJCS/issues_v52/issue_10/IJCS_52_10_13.pdf</w:t>
        </w:r>
      </w:hyperlink>
    </w:p>
    <w:p>
      <w:pPr>
        <w:pStyle w:val="BodyText"/>
        <w:bidi w:val="0"/>
        <w:spacing w:lineRule="auto" w:line="360"/>
        <w:ind w:hanging="0" w:left="0" w:right="0"/>
        <w:jc w:val="both"/>
        <w:rPr/>
      </w:pPr>
      <w:r>
        <w:rPr>
          <w:sz w:val="24"/>
          <w:szCs w:val="24"/>
        </w:rPr>
        <w:t xml:space="preserve">[10] Various authors, “A review on classification and grading of areca nuts using machine learning and image processing techniques,” </w:t>
      </w:r>
      <w:r>
        <w:rPr>
          <w:rStyle w:val="Emphasis"/>
          <w:sz w:val="24"/>
          <w:szCs w:val="24"/>
        </w:rPr>
        <w:t>IJARCCE</w:t>
      </w:r>
      <w:r>
        <w:rPr>
          <w:sz w:val="24"/>
          <w:szCs w:val="24"/>
        </w:rPr>
        <w:t>, 2022 (color-based baselines and reviews).</w:t>
      </w:r>
    </w:p>
    <w:p>
      <w:pPr>
        <w:pStyle w:val="BodyText"/>
        <w:bidi w:val="0"/>
        <w:spacing w:lineRule="auto" w:line="360"/>
        <w:ind w:hanging="0" w:left="0" w:right="0"/>
        <w:jc w:val="both"/>
        <w:rPr/>
      </w:pPr>
      <w:r>
        <w:rPr>
          <w:sz w:val="24"/>
          <w:szCs w:val="24"/>
        </w:rPr>
        <w:t xml:space="preserve">[11] A. A. Chikkalingaiah, C. L. Shrinivasa Naika et al., “Graph cut segmentation and watershed algorithm for yield count of an arecanut bunch,” </w:t>
      </w:r>
      <w:r>
        <w:rPr>
          <w:rStyle w:val="Emphasis"/>
          <w:sz w:val="24"/>
          <w:szCs w:val="24"/>
        </w:rPr>
        <w:t>Ingénierie des Systèmes d’Information</w:t>
      </w:r>
      <w:r>
        <w:rPr>
          <w:sz w:val="24"/>
          <w:szCs w:val="24"/>
        </w:rPr>
        <w:t>, vol. 28, no. 6, pp. 2425–2431, 2024.</w:t>
      </w:r>
    </w:p>
    <w:p>
      <w:pPr>
        <w:pStyle w:val="BodyText"/>
        <w:bidi w:val="0"/>
        <w:spacing w:lineRule="auto" w:line="360"/>
        <w:ind w:hanging="0" w:left="0" w:right="0"/>
        <w:jc w:val="both"/>
        <w:rPr>
          <w:sz w:val="24"/>
          <w:szCs w:val="24"/>
        </w:rPr>
      </w:pPr>
      <w:r>
        <w:rPr>
          <w:sz w:val="24"/>
          <w:szCs w:val="24"/>
        </w:rPr>
        <w:t>[12] Various supporting works on disease detection and grading (e.g., multi-gradient-direction CNNs, YOLO-based hybrids), 2022–2025.</w:t>
      </w:r>
    </w:p>
    <w:p>
      <w:pPr>
        <w:pStyle w:val="Normal"/>
        <w:bidi w:val="0"/>
        <w:spacing w:lineRule="auto" w:line="360"/>
        <w:jc w:val="left"/>
        <w:rPr>
          <w:sz w:val="24"/>
          <w:szCs w:val="24"/>
        </w:rPr>
      </w:pPr>
      <w:r>
        <w:rPr>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publications.com/journals/circuitssystemssignal/2022/c622005-129(2022).pdf" TargetMode="External"/><Relationship Id="rId3" Type="http://schemas.openxmlformats.org/officeDocument/2006/relationships/hyperlink" Target="https://ijai.iaescore.com/index.php/IJAI/article/view/22180" TargetMode="External"/><Relationship Id="rId4" Type="http://schemas.openxmlformats.org/officeDocument/2006/relationships/hyperlink" Target="https://ijritcc.org/index.php/ijritcc/article/view/9736" TargetMode="External"/><Relationship Id="rId5" Type="http://schemas.openxmlformats.org/officeDocument/2006/relationships/hyperlink" Target="https://journal.esrgroups.org/jes/article/view/8640" TargetMode="External"/><Relationship Id="rId6" Type="http://schemas.openxmlformats.org/officeDocument/2006/relationships/hyperlink" Target="https://link.springer.com/chapter/10.1007/978-3-031-75605-4_11" TargetMode="External"/><Relationship Id="rId7" Type="http://schemas.openxmlformats.org/officeDocument/2006/relationships/hyperlink" Target="https://www.ijisae.org/index.php/IJISAE/article/view/7457" TargetMode="External"/><Relationship Id="rId8" Type="http://schemas.openxmlformats.org/officeDocument/2006/relationships/hyperlink" Target="https://www.iaeng.org/IJCS/issues_v52/issue_10/IJCS_52_10_13.pdf"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4</Pages>
  <Words>1223</Words>
  <Characters>8193</Characters>
  <CharactersWithSpaces>9373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2026-02-09T23:32:59Z</dcterms:created>
  <dc:creator/>
  <dc:description/>
  <dc:language>en-US</dc:language>
  <cp:lastModifiedBy/>
  <dcterms:modified xsi:type="dcterms:W3CDTF">2026-02-09T23:37:56Z</dcterms:modified>
  <cp:revision>1</cp:revision>
  <dc:subject/>
  <dc:title/>
</cp:coreProperties>
</file>