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44"/>
          <w:szCs w:val="44"/>
        </w:rPr>
        <w:t xml:space="preserve">Water-Risk Score: Definition and Rationale</w:t>
      </w:r>
    </w:p>
    <w:p>
      <w:pPr>
        <w:pBdr>
          <w:bottom w:val="single" w:color="1F4E79" w:sz="8" w:space="6"/>
        </w:pBdr>
        <w:spacing w:after="80"/>
      </w:pPr>
      <w:r>
        <w:rPr>
          <w:rFonts w:ascii="Arial" w:cs="Arial" w:eastAsia="Arial" w:hAnsi="Arial"/>
          <w:color w:val="555555"/>
          <w:sz w:val="26"/>
          <w:szCs w:val="26"/>
        </w:rPr>
        <w:t xml:space="preserve">Written by Member 1 (Data and EDA lead). The whole project rests on this score.</w:t>
      </w:r>
    </w:p>
    <w:p>
      <w:pPr>
        <w:spacing w:after="120" w:line="288"/>
      </w:pPr>
      <w:r>
        <w:rPr>
          <w:rFonts w:ascii="Arial" w:cs="Arial" w:eastAsia="Arial" w:hAnsi="Arial"/>
          <w:color w:val="666666"/>
          <w:sz w:val="19"/>
          <w:szCs w:val="19"/>
        </w:rPr>
        <w:t xml:space="preserve">AquaTrace | Visualization of Data, Understanding and Interpretation (VDUI) mini project | Member 1: Data and EDA lead | 29 October 2026</w:t>
      </w:r>
    </w:p>
    <w:p>
      <w:pPr>
        <w:spacing w:after="200" w:line="288"/>
      </w:pPr>
      <w:r>
        <w:rPr>
          <w:rFonts w:ascii="Arial" w:cs="Arial" w:eastAsia="Arial" w:hAnsi="Arial"/>
          <w:color w:val="666666"/>
          <w:sz w:val="19"/>
          <w:szCs w:val="19"/>
        </w:rPr>
        <w:t xml:space="preserve">Data note: all operational figures are </w:t>
      </w:r>
      <w:r>
        <w:rPr>
          <w:rFonts w:ascii="Arial" w:cs="Arial" w:eastAsia="Arial" w:hAnsi="Arial"/>
          <w:b/>
          <w:bCs/>
          <w:color w:val="666666"/>
          <w:sz w:val="19"/>
          <w:szCs w:val="19"/>
        </w:rPr>
        <w:t xml:space="preserve">modelled estimates</w:t>
      </w:r>
      <w:r>
        <w:rPr>
          <w:rFonts w:ascii="Arial" w:cs="Arial" w:eastAsia="Arial" w:hAnsi="Arial"/>
          <w:color w:val="666666"/>
          <w:sz w:val="19"/>
          <w:szCs w:val="19"/>
        </w:rPr>
        <w:t xml:space="preserve">. Locations, climate and water-stress exposure are real; cooling system, capacity, PUE, WUE and water use are modelled.</w:t>
      </w:r>
    </w:p>
    <w:p>
      <w:pPr>
        <w:pStyle w:val="Heading1"/>
        <w:spacing w:after="160" w:before="320"/>
      </w:pPr>
      <w:r>
        <w:rPr>
          <w:rFonts w:ascii="Arial" w:cs="Arial" w:eastAsia="Arial" w:hAnsi="Arial"/>
          <w:b/>
          <w:bCs/>
          <w:color w:val="1F4E79"/>
          <w:sz w:val="32"/>
          <w:szCs w:val="32"/>
        </w:rPr>
        <w:t xml:space="preserve">1. The formula</w:t>
      </w:r>
    </w:p>
    <w:p>
      <w:pPr>
        <w:spacing w:after="120" w:line="288"/>
      </w:pPr>
      <w:r>
        <w:rPr>
          <w:rFonts w:ascii="Arial" w:cs="Arial" w:eastAsia="Arial" w:hAnsi="Arial"/>
          <w:sz w:val="22"/>
          <w:szCs w:val="22"/>
        </w:rPr>
        <w:t xml:space="preserve">Every facility-year receives one score from 0 to 100. Higher means higher water risk.</w:t>
      </w:r>
    </w:p>
    <w:p>
      <w:pPr>
        <w:pBdr>
          <w:left w:val="single" w:color="E0A800" w:sz="18" w:space="6"/>
        </w:pBdr>
        <w:shd w:fill="FFF4D6" w:val="clear"/>
        <w:spacing w:after="140" w:before="60"/>
        <w:ind w:left="120"/>
      </w:pPr>
      <w:r>
        <w:rPr>
          <w:rFonts w:ascii="Arial" w:cs="Arial" w:eastAsia="Arial" w:hAnsi="Arial"/>
          <w:color w:val="444444"/>
          <w:sz w:val="20"/>
          <w:szCs w:val="20"/>
        </w:rPr>
        <w:t xml:space="preserve">Water_Risk_Score = 100 x (0.25 + 0.75 x Stress_Weight) x (0.5 x WUE_Percentile + 0.5 x Volume_Percentile)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5206"/>
        <w:gridCol w:w="2500"/>
      </w:tblGrid>
      <w:tr>
        <w:trPr>
          <w:tblHeader/>
        </w:trPr>
        <w:tc>
          <w:tcPr>
            <w:tcW w:type="dxa" w:w="22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Part</w:t>
            </w:r>
          </w:p>
        </w:tc>
        <w:tc>
          <w:tcPr>
            <w:tcW w:type="dxa" w:w="52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Meaning</w:t>
            </w:r>
          </w:p>
        </w:tc>
        <w:tc>
          <w:tcPr>
            <w:tcW w:type="dxa" w:w="25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Source column</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Stress_Weight</w:t>
            </w:r>
          </w:p>
        </w:tc>
        <w:tc>
          <w:tcPr>
            <w:tcW w:type="dxa" w:w="5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How scarce water is where the facility sits. Low = 0, Moderate = 0.35, High = 0.70, Extreme = 1.00.</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Stress_Tier_Baseline</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WUE_Percentile</w:t>
            </w:r>
          </w:p>
        </w:tc>
        <w:tc>
          <w:tcPr>
            <w:tcW w:type="dxa" w:w="5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Rank (0 to 1) of the facility-year's WUE (litres per kWh of IT energy) among all 6,512 rows.</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WUE_L_per_kWh</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Volume_Percentile</w:t>
            </w:r>
          </w:p>
        </w:tc>
        <w:tc>
          <w:tcPr>
            <w:tcW w:type="dxa" w:w="5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Rank (0 to 1) of daily water use in m3 among all 6,512 rows.</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Daily_Water_Use_m3</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0.25 + 0.75 x Stress_Weight</w:t>
            </w:r>
          </w:p>
        </w:tc>
        <w:tc>
          <w:tcPr>
            <w:tcW w:type="dxa" w:w="5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stress multiplier. It runs from 0.25 (no stress) to 1.00 (extreme stress).</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Derived</w:t>
            </w:r>
          </w:p>
        </w:tc>
      </w:tr>
    </w:tbl>
    <w:p>
      <w:pPr>
        <w:spacing w:after="100"/>
      </w:pPr>
    </w:p>
    <w:p>
      <w:pPr>
        <w:pStyle w:val="Heading1"/>
        <w:spacing w:after="160" w:before="320"/>
      </w:pPr>
      <w:r>
        <w:rPr>
          <w:rFonts w:ascii="Arial" w:cs="Arial" w:eastAsia="Arial" w:hAnsi="Arial"/>
          <w:b/>
          <w:bCs/>
          <w:color w:val="1F4E79"/>
          <w:sz w:val="32"/>
          <w:szCs w:val="32"/>
        </w:rPr>
        <w:t xml:space="preserve">2. Why it is built this way</w:t>
      </w:r>
    </w:p>
    <w:p>
      <w:pPr>
        <w:pStyle w:val="ListParagraph"/>
        <w:numPr>
          <w:ilvl w:val="0"/>
          <w:numId w:val="2"/>
        </w:numPr>
        <w:spacing w:after="60" w:line="276"/>
      </w:pPr>
      <w:r>
        <w:rPr>
          <w:rFonts w:ascii="Arial" w:cs="Arial" w:eastAsia="Arial" w:hAnsi="Arial"/>
          <w:b/>
          <w:bCs/>
          <w:sz w:val="22"/>
          <w:szCs w:val="22"/>
        </w:rPr>
        <w:t xml:space="preserve">High water use is not the same as high water risk.</w:t>
      </w:r>
      <w:r>
        <w:rPr>
          <w:rFonts w:ascii="Arial" w:cs="Arial" w:eastAsia="Arial" w:hAnsi="Arial"/>
          <w:sz w:val="22"/>
          <w:szCs w:val="22"/>
        </w:rPr>
        <w:t xml:space="preserve"> A litre taken in a water-scarce region matters more than a litre taken in a wet one. This is why stress scales the score. It is the central idea of the project: we report water risk, not only water use.</w:t>
      </w:r>
    </w:p>
    <w:p>
      <w:pPr>
        <w:pStyle w:val="ListParagraph"/>
        <w:numPr>
          <w:ilvl w:val="0"/>
          <w:numId w:val="2"/>
        </w:numPr>
        <w:spacing w:after="60" w:line="276"/>
      </w:pPr>
      <w:r>
        <w:rPr>
          <w:rFonts w:ascii="Arial" w:cs="Arial" w:eastAsia="Arial" w:hAnsi="Arial"/>
          <w:b/>
          <w:bCs/>
          <w:sz w:val="22"/>
          <w:szCs w:val="22"/>
        </w:rPr>
        <w:t xml:space="preserve">Two water measures, equal weight.</w:t>
      </w:r>
      <w:r>
        <w:rPr>
          <w:rFonts w:ascii="Arial" w:cs="Arial" w:eastAsia="Arial" w:hAnsi="Arial"/>
          <w:sz w:val="22"/>
          <w:szCs w:val="22"/>
        </w:rPr>
        <w:t xml:space="preserve"> WUE measures efficiency (litres per unit of work). Daily volume measures the absolute amount taken from the local supply. A small but very inefficient site and a large but efficient site can both matter, so each gets half the blend.</w:t>
      </w:r>
    </w:p>
    <w:p>
      <w:pPr>
        <w:pStyle w:val="ListParagraph"/>
        <w:numPr>
          <w:ilvl w:val="0"/>
          <w:numId w:val="2"/>
        </w:numPr>
        <w:spacing w:after="60" w:line="276"/>
      </w:pPr>
      <w:r>
        <w:rPr>
          <w:rFonts w:ascii="Arial" w:cs="Arial" w:eastAsia="Arial" w:hAnsi="Arial"/>
          <w:b/>
          <w:bCs/>
          <w:sz w:val="22"/>
          <w:szCs w:val="22"/>
        </w:rPr>
        <w:t xml:space="preserve">Percentiles, not raw values.</w:t>
      </w:r>
      <w:r>
        <w:rPr>
          <w:rFonts w:ascii="Arial" w:cs="Arial" w:eastAsia="Arial" w:hAnsi="Arial"/>
          <w:sz w:val="22"/>
          <w:szCs w:val="22"/>
        </w:rPr>
        <w:t xml:space="preserve"> WUE (about 0.1 to 4) and daily water (a few m3 to thousands of m3) are on very different scales. Percentile ranks put both on 0 to 1 and stop a few extreme values from dominating.</w:t>
      </w:r>
    </w:p>
    <w:p>
      <w:pPr>
        <w:pStyle w:val="ListParagraph"/>
        <w:numPr>
          <w:ilvl w:val="0"/>
          <w:numId w:val="2"/>
        </w:numPr>
        <w:spacing w:after="60" w:line="276"/>
      </w:pPr>
      <w:r>
        <w:rPr>
          <w:rFonts w:ascii="Arial" w:cs="Arial" w:eastAsia="Arial" w:hAnsi="Arial"/>
          <w:b/>
          <w:bCs/>
          <w:sz w:val="22"/>
          <w:szCs w:val="22"/>
        </w:rPr>
        <w:t xml:space="preserve">The 0.25 floor.</w:t>
      </w:r>
      <w:r>
        <w:rPr>
          <w:rFonts w:ascii="Arial" w:cs="Arial" w:eastAsia="Arial" w:hAnsi="Arial"/>
          <w:sz w:val="22"/>
          <w:szCs w:val="22"/>
        </w:rPr>
        <w:t xml:space="preserve"> Without it, a facility in an unstressed place scores zero whatever it does, and the score tracks stress almost perfectly (Spearman correlation 0.99 with the stress weight). Cooling type and capacity would then look irrelevant. With the floor the correlation is 0.54, so cooling, capacity and stress all matter.</w:t>
      </w:r>
    </w:p>
    <w:p>
      <w:pPr>
        <w:pStyle w:val="ListParagraph"/>
        <w:numPr>
          <w:ilvl w:val="0"/>
          <w:numId w:val="2"/>
        </w:numPr>
        <w:spacing w:after="60" w:line="276"/>
      </w:pPr>
      <w:r>
        <w:rPr>
          <w:rFonts w:ascii="Arial" w:cs="Arial" w:eastAsia="Arial" w:hAnsi="Arial"/>
          <w:b/>
          <w:bCs/>
          <w:sz w:val="22"/>
          <w:szCs w:val="22"/>
        </w:rPr>
        <w:t xml:space="preserve">Tiers.</w:t>
      </w:r>
      <w:r>
        <w:rPr>
          <w:rFonts w:ascii="Arial" w:cs="Arial" w:eastAsia="Arial" w:hAnsi="Arial"/>
          <w:sz w:val="22"/>
          <w:szCs w:val="22"/>
        </w:rPr>
        <w:t xml:space="preserve"> Low is below 20, Medium is 20 to 35, High is 35 or above. The cut-offs are a team design choice, not a published standard. High_Risk = 1 means the High tier.</w:t>
      </w:r>
    </w:p>
    <w:p>
      <w:pPr>
        <w:pStyle w:val="Heading1"/>
        <w:spacing w:after="160" w:before="320"/>
      </w:pPr>
      <w:r>
        <w:rPr>
          <w:rFonts w:ascii="Arial" w:cs="Arial" w:eastAsia="Arial" w:hAnsi="Arial"/>
          <w:b/>
          <w:bCs/>
          <w:color w:val="1F4E79"/>
          <w:sz w:val="32"/>
          <w:szCs w:val="32"/>
        </w:rPr>
        <w:t xml:space="preserve">3. Result on the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5906"/>
      </w:tblGrid>
      <w:tr>
        <w:trPr>
          <w:tblHeader/>
        </w:trPr>
        <w:tc>
          <w:tcPr>
            <w:tcW w:type="dxa" w:w="4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Tier</w:t>
            </w:r>
          </w:p>
        </w:tc>
        <w:tc>
          <w:tcPr>
            <w:tcW w:type="dxa" w:w="59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Share of facility-years</w:t>
            </w:r>
          </w:p>
        </w:tc>
      </w:tr>
      <w:tr>
        <w:trPr>
          <w:cantSplit/>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Low</w:t>
            </w:r>
          </w:p>
        </w:tc>
        <w:tc>
          <w:tcPr>
            <w:tcW w:type="dxa" w:w="5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71.1%</w:t>
            </w:r>
          </w:p>
        </w:tc>
      </w:tr>
      <w:tr>
        <w:trPr>
          <w:cantSplit/>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Medium</w:t>
            </w:r>
          </w:p>
        </w:tc>
        <w:tc>
          <w:tcPr>
            <w:tcW w:type="dxa" w:w="5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17.5%</w:t>
            </w:r>
          </w:p>
        </w:tc>
      </w:tr>
      <w:tr>
        <w:trPr>
          <w:cantSplit/>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High</w:t>
            </w:r>
          </w:p>
        </w:tc>
        <w:tc>
          <w:tcPr>
            <w:tcW w:type="dxa" w:w="5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11.4%</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6"/>
      </w:tblGrid>
      <w:tr>
        <w:trPr>
          <w:tblHeader/>
        </w:trPr>
        <w:tc>
          <w:tcPr>
            <w:tcW w:type="dxa" w:w="3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Baseline stress tier</w:t>
            </w:r>
          </w:p>
        </w:tc>
        <w:tc>
          <w:tcPr>
            <w:tcW w:type="dxa" w:w="23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Share of rows</w:t>
            </w:r>
          </w:p>
        </w:tc>
        <w:tc>
          <w:tcPr>
            <w:tcW w:type="dxa" w:w="23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Mean score</w:t>
            </w:r>
          </w:p>
        </w:tc>
        <w:tc>
          <w:tcPr>
            <w:tcW w:type="dxa" w:w="23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Max score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Low</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75.6%</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12.6</w:t>
            </w:r>
          </w:p>
        </w:tc>
        <w:tc>
          <w:tcPr>
            <w:tcW w:type="dxa" w:w="2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24.9</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Moderate</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9.6%</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24.2</w:t>
            </w:r>
          </w:p>
        </w:tc>
        <w:tc>
          <w:tcPr>
            <w:tcW w:type="dxa" w:w="2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50.7</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High</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9.4%</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39.4</w:t>
            </w:r>
          </w:p>
        </w:tc>
        <w:tc>
          <w:tcPr>
            <w:tcW w:type="dxa" w:w="2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77.0</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Extreme</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5.4%</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50.3</w:t>
            </w:r>
          </w:p>
        </w:tc>
        <w:tc>
          <w:tcPr>
            <w:tcW w:type="dxa" w:w="2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99.1</w:t>
            </w:r>
          </w:p>
        </w:tc>
      </w:tr>
    </w:tbl>
    <w:p>
      <w:pPr>
        <w:pStyle w:val="Heading1"/>
        <w:spacing w:after="160" w:before="320"/>
      </w:pPr>
      <w:r>
        <w:rPr>
          <w:rFonts w:ascii="Arial" w:cs="Arial" w:eastAsia="Arial" w:hAnsi="Arial"/>
          <w:b/>
          <w:bCs/>
          <w:color w:val="1F4E79"/>
          <w:sz w:val="32"/>
          <w:szCs w:val="32"/>
        </w:rPr>
        <w:t xml:space="preserve">4. Worked examples (real rows from the data)</w:t>
      </w:r>
    </w:p>
    <w:p>
      <w:pPr>
        <w:spacing w:after="120" w:line="288"/>
      </w:pPr>
      <w:r>
        <w:rPr>
          <w:rFonts w:ascii="Arial" w:cs="Arial" w:eastAsia="Arial" w:hAnsi="Arial"/>
          <w:b/>
          <w:bCs/>
          <w:sz w:val="22"/>
          <w:szCs w:val="22"/>
        </w:rPr>
        <w:t xml:space="preserve">Example A: DC-0030, Australia, 2022, Chilled Water.</w:t>
      </w:r>
      <w:r>
        <w:rPr>
          <w:rFonts w:ascii="Arial" w:cs="Arial" w:eastAsia="Arial" w:hAnsi="Arial"/>
          <w:sz w:val="22"/>
          <w:szCs w:val="22"/>
        </w:rPr>
        <w:t xml:space="preserve"> Stress tier High, so weight 0.70. WUE percentile 0.721, volume percentile 0.397.</w:t>
      </w:r>
    </w:p>
    <w:p>
      <w:pPr>
        <w:pStyle w:val="ListParagraph"/>
        <w:numPr>
          <w:ilvl w:val="0"/>
          <w:numId w:val="2"/>
        </w:numPr>
        <w:spacing w:after="60" w:line="276"/>
      </w:pPr>
      <w:r>
        <w:rPr>
          <w:rFonts w:ascii="Arial" w:cs="Arial" w:eastAsia="Arial" w:hAnsi="Arial"/>
          <w:sz w:val="22"/>
          <w:szCs w:val="22"/>
        </w:rPr>
        <w:t xml:space="preserve">Multiplier = 0.25 + 0.75 x 0.70 = 0.775</w:t>
      </w:r>
    </w:p>
    <w:p>
      <w:pPr>
        <w:pStyle w:val="ListParagraph"/>
        <w:numPr>
          <w:ilvl w:val="0"/>
          <w:numId w:val="2"/>
        </w:numPr>
        <w:spacing w:after="60" w:line="276"/>
      </w:pPr>
      <w:r>
        <w:rPr>
          <w:rFonts w:ascii="Arial" w:cs="Arial" w:eastAsia="Arial" w:hAnsi="Arial"/>
          <w:sz w:val="22"/>
          <w:szCs w:val="22"/>
        </w:rPr>
        <w:t xml:space="preserve">Blend = 0.5 x 0.721 + 0.5 x 0.397 = 0.559</w:t>
      </w:r>
    </w:p>
    <w:p>
      <w:pPr>
        <w:pStyle w:val="ListParagraph"/>
        <w:numPr>
          <w:ilvl w:val="0"/>
          <w:numId w:val="2"/>
        </w:numPr>
        <w:spacing w:after="60" w:line="276"/>
      </w:pPr>
      <w:r>
        <w:rPr>
          <w:rFonts w:ascii="Arial" w:cs="Arial" w:eastAsia="Arial" w:hAnsi="Arial"/>
          <w:sz w:val="22"/>
          <w:szCs w:val="22"/>
        </w:rPr>
        <w:t xml:space="preserve">Score = 100 x 0.775 x 0.559 = </w:t>
      </w:r>
      <w:r>
        <w:rPr>
          <w:rFonts w:ascii="Arial" w:cs="Arial" w:eastAsia="Arial" w:hAnsi="Arial"/>
          <w:b/>
          <w:bCs/>
          <w:sz w:val="22"/>
          <w:szCs w:val="22"/>
        </w:rPr>
        <w:t xml:space="preserve">43.3, tier High</w:t>
      </w:r>
    </w:p>
    <w:p>
      <w:pPr>
        <w:spacing w:after="120" w:line="288"/>
      </w:pPr>
      <w:r>
        <w:rPr>
          <w:rFonts w:ascii="Arial" w:cs="Arial" w:eastAsia="Arial" w:hAnsi="Arial"/>
          <w:b/>
          <w:bCs/>
          <w:sz w:val="22"/>
          <w:szCs w:val="22"/>
        </w:rPr>
        <w:t xml:space="preserve">Example B: DC-0569, Singapore, 2023, Evaporative.</w:t>
      </w:r>
      <w:r>
        <w:rPr>
          <w:rFonts w:ascii="Arial" w:cs="Arial" w:eastAsia="Arial" w:hAnsi="Arial"/>
          <w:sz w:val="22"/>
          <w:szCs w:val="22"/>
        </w:rPr>
        <w:t xml:space="preserve"> Low stress, so weight 0. WUE percentile 0.991, volume percentile 0.999.</w:t>
      </w:r>
    </w:p>
    <w:p>
      <w:pPr>
        <w:pStyle w:val="ListParagraph"/>
        <w:numPr>
          <w:ilvl w:val="0"/>
          <w:numId w:val="2"/>
        </w:numPr>
        <w:spacing w:after="60" w:line="276"/>
      </w:pPr>
      <w:r>
        <w:rPr>
          <w:rFonts w:ascii="Arial" w:cs="Arial" w:eastAsia="Arial" w:hAnsi="Arial"/>
          <w:sz w:val="22"/>
          <w:szCs w:val="22"/>
        </w:rPr>
        <w:t xml:space="preserve">Multiplier = 0.25</w:t>
      </w:r>
    </w:p>
    <w:p>
      <w:pPr>
        <w:pStyle w:val="ListParagraph"/>
        <w:numPr>
          <w:ilvl w:val="0"/>
          <w:numId w:val="2"/>
        </w:numPr>
        <w:spacing w:after="60" w:line="276"/>
      </w:pPr>
      <w:r>
        <w:rPr>
          <w:rFonts w:ascii="Arial" w:cs="Arial" w:eastAsia="Arial" w:hAnsi="Arial"/>
          <w:sz w:val="22"/>
          <w:szCs w:val="22"/>
        </w:rPr>
        <w:t xml:space="preserve">Blend = 0.5 x 0.991 + 0.5 x 0.999 = 0.995</w:t>
      </w:r>
    </w:p>
    <w:p>
      <w:pPr>
        <w:pStyle w:val="ListParagraph"/>
        <w:numPr>
          <w:ilvl w:val="0"/>
          <w:numId w:val="2"/>
        </w:numPr>
        <w:spacing w:after="60" w:line="276"/>
      </w:pPr>
      <w:r>
        <w:rPr>
          <w:rFonts w:ascii="Arial" w:cs="Arial" w:eastAsia="Arial" w:hAnsi="Arial"/>
          <w:sz w:val="22"/>
          <w:szCs w:val="22"/>
        </w:rPr>
        <w:t xml:space="preserve">Score = 100 x 0.25 x 0.995 = </w:t>
      </w:r>
      <w:r>
        <w:rPr>
          <w:rFonts w:ascii="Arial" w:cs="Arial" w:eastAsia="Arial" w:hAnsi="Arial"/>
          <w:b/>
          <w:bCs/>
          <w:sz w:val="22"/>
          <w:szCs w:val="22"/>
        </w:rPr>
        <w:t xml:space="preserve">24.9, tier Medium</w:t>
      </w:r>
    </w:p>
    <w:p>
      <w:pPr>
        <w:spacing w:after="120" w:line="288"/>
      </w:pPr>
      <w:r>
        <w:rPr>
          <w:rFonts w:ascii="Arial" w:cs="Arial" w:eastAsia="Arial" w:hAnsi="Arial"/>
          <w:sz w:val="22"/>
          <w:szCs w:val="22"/>
        </w:rPr>
        <w:t xml:space="preserve">Example B is among the highest-scoring facilities in any unstressed country. Even with near-top WUE and volume it stays Medium.</w:t>
      </w:r>
    </w:p>
    <w:p>
      <w:pPr>
        <w:pStyle w:val="Heading1"/>
        <w:spacing w:after="160" w:before="320"/>
      </w:pPr>
      <w:r>
        <w:rPr>
          <w:rFonts w:ascii="Arial" w:cs="Arial" w:eastAsia="Arial" w:hAnsi="Arial"/>
          <w:b/>
          <w:bCs/>
          <w:color w:val="1F4E79"/>
          <w:sz w:val="32"/>
          <w:szCs w:val="32"/>
        </w:rPr>
        <w:t xml:space="preserve">5. Verification</w:t>
      </w:r>
    </w:p>
    <w:p>
      <w:pPr>
        <w:spacing w:after="120" w:line="288"/>
      </w:pPr>
      <w:r>
        <w:rPr>
          <w:rFonts w:ascii="Arial" w:cs="Arial" w:eastAsia="Arial" w:hAnsi="Arial"/>
          <w:sz w:val="22"/>
          <w:szCs w:val="22"/>
        </w:rPr>
        <w:t xml:space="preserve">I recomputed the score from the formula and the columns in aquatrace_powerbi.csv using Python. The result matches the stored Water_Risk_Score on all 6,512 rows (largest difference 0.0). The formula described here is therefore the one the data and the model use.</w:t>
      </w:r>
    </w:p>
    <w:p>
      <w:pPr>
        <w:pStyle w:val="Heading1"/>
        <w:spacing w:after="160" w:before="320"/>
      </w:pPr>
      <w:r>
        <w:rPr>
          <w:rFonts w:ascii="Arial" w:cs="Arial" w:eastAsia="Arial" w:hAnsi="Arial"/>
          <w:b/>
          <w:bCs/>
          <w:color w:val="1F4E79"/>
          <w:sz w:val="32"/>
          <w:szCs w:val="32"/>
        </w:rPr>
        <w:t xml:space="preserve">6. Limitations and consequences (state these in the report)</w:t>
      </w:r>
    </w:p>
    <w:p>
      <w:pPr>
        <w:pStyle w:val="ListParagraph"/>
        <w:numPr>
          <w:ilvl w:val="0"/>
          <w:numId w:val="2"/>
        </w:numPr>
        <w:spacing w:after="60" w:line="276"/>
      </w:pPr>
      <w:r>
        <w:rPr>
          <w:rFonts w:ascii="Arial" w:cs="Arial" w:eastAsia="Arial" w:hAnsi="Arial"/>
          <w:b/>
          <w:bCs/>
          <w:sz w:val="22"/>
          <w:szCs w:val="22"/>
        </w:rPr>
        <w:t xml:space="preserve">A facility in a Low-stress country can never be High risk</w:t>
      </w:r>
      <w:r>
        <w:rPr>
          <w:rFonts w:ascii="Arial" w:cs="Arial" w:eastAsia="Arial" w:hAnsi="Arial"/>
          <w:sz w:val="22"/>
          <w:szCs w:val="22"/>
        </w:rPr>
        <w:t xml:space="preserve"> (its highest possible score here is 24.9). So the High tier is, by construction, only reachable where water stress exists. The score answers "where does water use matter most", not "which facility is the worst water user anywhere".</w:t>
      </w:r>
    </w:p>
    <w:p>
      <w:pPr>
        <w:pStyle w:val="ListParagraph"/>
        <w:numPr>
          <w:ilvl w:val="0"/>
          <w:numId w:val="2"/>
        </w:numPr>
        <w:spacing w:after="60" w:line="276"/>
      </w:pPr>
      <w:r>
        <w:rPr>
          <w:rFonts w:ascii="Arial" w:cs="Arial" w:eastAsia="Arial" w:hAnsi="Arial"/>
          <w:b/>
          <w:bCs/>
          <w:sz w:val="22"/>
          <w:szCs w:val="22"/>
        </w:rPr>
        <w:t xml:space="preserve">Stress is the largest driver by design.</w:t>
      </w:r>
      <w:r>
        <w:rPr>
          <w:rFonts w:ascii="Arial" w:cs="Arial" w:eastAsia="Arial" w:hAnsi="Arial"/>
          <w:sz w:val="22"/>
          <w:szCs w:val="22"/>
        </w:rPr>
        <w:t xml:space="preserve"> Stress tier explains 53% of the variance in the score (eta squared 0.53). Findings that stress matters are partly built in.</w:t>
      </w:r>
    </w:p>
    <w:p>
      <w:pPr>
        <w:pStyle w:val="ListParagraph"/>
        <w:numPr>
          <w:ilvl w:val="0"/>
          <w:numId w:val="2"/>
        </w:numPr>
        <w:spacing w:after="60" w:line="276"/>
      </w:pPr>
      <w:r>
        <w:rPr>
          <w:rFonts w:ascii="Arial" w:cs="Arial" w:eastAsia="Arial" w:hAnsi="Arial"/>
          <w:b/>
          <w:bCs/>
          <w:sz w:val="22"/>
          <w:szCs w:val="22"/>
        </w:rPr>
        <w:t xml:space="preserve">Stress is country-level</w:t>
      </w:r>
      <w:r>
        <w:rPr>
          <w:rFonts w:ascii="Arial" w:cs="Arial" w:eastAsia="Arial" w:hAnsi="Arial"/>
          <w:sz w:val="22"/>
          <w:szCs w:val="22"/>
        </w:rPr>
        <w:t xml:space="preserve">, sampled from each country's real distribution, not measured per river basin.</w:t>
      </w:r>
    </w:p>
    <w:p>
      <w:pPr>
        <w:pStyle w:val="ListParagraph"/>
        <w:numPr>
          <w:ilvl w:val="0"/>
          <w:numId w:val="2"/>
        </w:numPr>
        <w:spacing w:after="60" w:line="276"/>
      </w:pPr>
      <w:r>
        <w:rPr>
          <w:rFonts w:ascii="Arial" w:cs="Arial" w:eastAsia="Arial" w:hAnsi="Arial"/>
          <w:b/>
          <w:bCs/>
          <w:sz w:val="22"/>
          <w:szCs w:val="22"/>
        </w:rPr>
        <w:t xml:space="preserve">Operational inputs are modelled estimates</w:t>
      </w:r>
      <w:r>
        <w:rPr>
          <w:rFonts w:ascii="Arial" w:cs="Arial" w:eastAsia="Arial" w:hAnsi="Arial"/>
          <w:sz w:val="22"/>
          <w:szCs w:val="22"/>
        </w:rPr>
        <w:t xml:space="preserve"> (cooling, capacity, PUE, WUE, water use). The score describes this model, not real facilities.</w:t>
      </w:r>
    </w:p>
    <w:p>
      <w:pPr>
        <w:pStyle w:val="ListParagraph"/>
        <w:numPr>
          <w:ilvl w:val="0"/>
          <w:numId w:val="2"/>
        </w:numPr>
        <w:spacing w:after="60" w:line="276"/>
      </w:pPr>
      <w:r>
        <w:rPr>
          <w:rFonts w:ascii="Arial" w:cs="Arial" w:eastAsia="Arial" w:hAnsi="Arial"/>
          <w:b/>
          <w:bCs/>
          <w:sz w:val="22"/>
          <w:szCs w:val="22"/>
        </w:rPr>
        <w:t xml:space="preserve">Percentiles are relative to this sample.</w:t>
      </w:r>
      <w:r>
        <w:rPr>
          <w:rFonts w:ascii="Arial" w:cs="Arial" w:eastAsia="Arial" w:hAnsi="Arial"/>
          <w:sz w:val="22"/>
          <w:szCs w:val="22"/>
        </w:rPr>
        <w:t xml:space="preserve"> Adding or removing facilities changes every percentile and so every score. Do not compare scores across different datasets.</w:t>
      </w:r>
    </w:p>
    <w:p>
      <w:pPr>
        <w:pStyle w:val="ListParagraph"/>
        <w:numPr>
          <w:ilvl w:val="0"/>
          <w:numId w:val="2"/>
        </w:numPr>
        <w:spacing w:after="60" w:line="276"/>
      </w:pPr>
      <w:r>
        <w:rPr>
          <w:rFonts w:ascii="Arial" w:cs="Arial" w:eastAsia="Arial" w:hAnsi="Arial"/>
          <w:b/>
          <w:bCs/>
          <w:sz w:val="22"/>
          <w:szCs w:val="22"/>
        </w:rPr>
        <w:t xml:space="preserve">Class imbalance.</w:t>
      </w:r>
      <w:r>
        <w:rPr>
          <w:rFonts w:ascii="Arial" w:cs="Arial" w:eastAsia="Arial" w:hAnsi="Arial"/>
          <w:sz w:val="22"/>
          <w:szCs w:val="22"/>
        </w:rPr>
        <w:t xml:space="preserve"> Only 11.4% of rows are High, so model accuracy must be read together with recall and F1 for the High class.</w:t>
      </w:r>
    </w:p>
    <w:p>
      <w:pPr>
        <w:pStyle w:val="Heading1"/>
        <w:spacing w:after="160" w:before="320"/>
      </w:pPr>
      <w:r>
        <w:rPr>
          <w:rFonts w:ascii="Arial" w:cs="Arial" w:eastAsia="Arial" w:hAnsi="Arial"/>
          <w:b/>
          <w:bCs/>
          <w:color w:val="1F4E79"/>
          <w:sz w:val="32"/>
          <w:szCs w:val="32"/>
        </w:rPr>
        <w:t xml:space="preserve">7. How the score is used in the project</w:t>
      </w:r>
    </w:p>
    <w:p>
      <w:pPr>
        <w:pStyle w:val="ListParagraph"/>
        <w:numPr>
          <w:ilvl w:val="0"/>
          <w:numId w:val="2"/>
        </w:numPr>
        <w:spacing w:after="60" w:line="276"/>
      </w:pPr>
      <w:r>
        <w:rPr>
          <w:rFonts w:ascii="Arial" w:cs="Arial" w:eastAsia="Arial" w:hAnsi="Arial"/>
          <w:b/>
          <w:bCs/>
          <w:sz w:val="22"/>
          <w:szCs w:val="22"/>
        </w:rPr>
        <w:t xml:space="preserve">Target for the model.</w:t>
      </w:r>
      <w:r>
        <w:rPr>
          <w:rFonts w:ascii="Arial" w:cs="Arial" w:eastAsia="Arial" w:hAnsi="Arial"/>
          <w:sz w:val="22"/>
          <w:szCs w:val="22"/>
        </w:rPr>
        <w:t xml:space="preserve"> High_Risk (1 = High tier) is what the classifier predicts. The inputs exclude WUE_L_per_kWh, Daily_Water_Use_m3, Stress_Weight and Water_Risk_Score, because they define the target.</w:t>
      </w:r>
    </w:p>
    <w:p>
      <w:pPr>
        <w:pStyle w:val="ListParagraph"/>
        <w:numPr>
          <w:ilvl w:val="0"/>
          <w:numId w:val="2"/>
        </w:numPr>
        <w:spacing w:after="60" w:line="276"/>
      </w:pPr>
      <w:r>
        <w:rPr>
          <w:rFonts w:ascii="Arial" w:cs="Arial" w:eastAsia="Arial" w:hAnsi="Arial"/>
          <w:b/>
          <w:bCs/>
          <w:sz w:val="22"/>
          <w:szCs w:val="22"/>
        </w:rPr>
        <w:t xml:space="preserve">Key Influencers.</w:t>
      </w:r>
      <w:r>
        <w:rPr>
          <w:rFonts w:ascii="Arial" w:cs="Arial" w:eastAsia="Arial" w:hAnsi="Arial"/>
          <w:sz w:val="22"/>
          <w:szCs w:val="22"/>
        </w:rPr>
        <w:t xml:space="preserve"> Analyse High_Risk is 1 with the same exclusions.</w:t>
      </w:r>
    </w:p>
    <w:p>
      <w:pPr>
        <w:pStyle w:val="ListParagraph"/>
        <w:numPr>
          <w:ilvl w:val="0"/>
          <w:numId w:val="2"/>
        </w:numPr>
        <w:spacing w:after="60" w:line="276"/>
      </w:pPr>
      <w:r>
        <w:rPr>
          <w:rFonts w:ascii="Arial" w:cs="Arial" w:eastAsia="Arial" w:hAnsi="Arial"/>
          <w:b/>
          <w:bCs/>
          <w:sz w:val="22"/>
          <w:szCs w:val="22"/>
        </w:rPr>
        <w:t xml:space="preserve">Dashboard.</w:t>
      </w:r>
      <w:r>
        <w:rPr>
          <w:rFonts w:ascii="Arial" w:cs="Arial" w:eastAsia="Arial" w:hAnsi="Arial"/>
          <w:sz w:val="22"/>
          <w:szCs w:val="22"/>
        </w:rPr>
        <w:t xml:space="preserve"> Tiers are sorted with Risk_Tier_Order and coloured consistently on every visual.</w:t>
      </w:r>
    </w:p>
    <w:p>
      <w:pPr>
        <w:spacing w:after="120" w:line="288"/>
      </w:pPr>
      <w:r>
        <w:rPr>
          <w:rFonts w:ascii="Arial" w:cs="Arial" w:eastAsia="Arial" w:hAnsi="Arial"/>
          <w:b/>
          <w:bCs/>
          <w:sz w:val="22"/>
          <w:szCs w:val="22"/>
        </w:rPr>
        <w:t xml:space="preserve">Change rule:</w:t>
      </w:r>
      <w:r>
        <w:rPr>
          <w:rFonts w:ascii="Arial" w:cs="Arial" w:eastAsia="Arial" w:hAnsi="Arial"/>
          <w:sz w:val="22"/>
          <w:szCs w:val="22"/>
        </w:rPr>
        <w:t xml:space="preserve"> do not edit the Water_Risk_Score column. If the formula must change, tell the dataset owner first, because the model columns must be rebuilt.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AquaTrace | Modelled estimates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AquaTrace Member 1</dc:creator>
  <cp:lastModifiedBy>Un-named</cp:lastModifiedBy>
  <cp:revision>1</cp:revision>
  <dcterms:created xsi:type="dcterms:W3CDTF">2026-10-29T10:22:17.775Z</dcterms:created>
  <dcterms:modified xsi:type="dcterms:W3CDTF">2026-10-29T10:22:17.783Z</dcterms:modified>
</cp:coreProperties>
</file>

<file path=docProps/custom.xml><?xml version="1.0" encoding="utf-8"?>
<Properties xmlns="http://schemas.openxmlformats.org/officeDocument/2006/custom-properties" xmlns:vt="http://schemas.openxmlformats.org/officeDocument/2006/docPropsVTypes"/>
</file>