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44"/>
          <w:szCs w:val="44"/>
        </w:rPr>
        <w:t xml:space="preserve">EDA Findings Note</w:t>
      </w:r>
    </w:p>
    <w:p>
      <w:pPr>
        <w:pBdr>
          <w:bottom w:val="single" w:color="1F4E79" w:sz="8" w:space="6"/>
        </w:pBdr>
        <w:spacing w:after="80"/>
      </w:pPr>
      <w:r>
        <w:rPr>
          <w:rFonts w:ascii="Arial" w:cs="Arial" w:eastAsia="Arial" w:hAnsi="Arial"/>
          <w:color w:val="555555"/>
          <w:sz w:val="26"/>
          <w:szCs w:val="26"/>
        </w:rPr>
        <w:t xml:space="preserve">Trends, correlations and outliers in the AquaTrace modelled dataset</w:t>
      </w:r>
    </w:p>
    <w:p>
      <w:pPr>
        <w:spacing w:after="120" w:line="288"/>
      </w:pPr>
      <w:r>
        <w:rPr>
          <w:rFonts w:ascii="Arial" w:cs="Arial" w:eastAsia="Arial" w:hAnsi="Arial"/>
          <w:color w:val="666666"/>
          <w:sz w:val="19"/>
          <w:szCs w:val="19"/>
        </w:rPr>
        <w:t xml:space="preserve">AquaTrace | Visualization of Data, Understanding and Interpretation (VDUI) mini project | Member 1: Data and EDA lead | 29 October 2026</w:t>
      </w:r>
    </w:p>
    <w:p>
      <w:pPr>
        <w:spacing w:after="200" w:line="288"/>
      </w:pPr>
      <w:r>
        <w:rPr>
          <w:rFonts w:ascii="Arial" w:cs="Arial" w:eastAsia="Arial" w:hAnsi="Arial"/>
          <w:color w:val="666666"/>
          <w:sz w:val="19"/>
          <w:szCs w:val="19"/>
        </w:rPr>
        <w:t xml:space="preserve">Data note: all operational figures are </w:t>
      </w:r>
      <w:r>
        <w:rPr>
          <w:rFonts w:ascii="Arial" w:cs="Arial" w:eastAsia="Arial" w:hAnsi="Arial"/>
          <w:b/>
          <w:bCs/>
          <w:color w:val="666666"/>
          <w:sz w:val="19"/>
          <w:szCs w:val="19"/>
        </w:rPr>
        <w:t xml:space="preserve">modelled estimates</w:t>
      </w:r>
      <w:r>
        <w:rPr>
          <w:rFonts w:ascii="Arial" w:cs="Arial" w:eastAsia="Arial" w:hAnsi="Arial"/>
          <w:color w:val="666666"/>
          <w:sz w:val="19"/>
          <w:szCs w:val="19"/>
        </w:rPr>
        <w:t xml:space="preserve">. Locations, climate and water-stress exposure are real; cooling system, capacity, PUE, WUE and water use are modelled.</w:t>
      </w:r>
    </w:p>
    <w:p>
      <w:pPr>
        <w:pStyle w:val="Heading1"/>
        <w:spacing w:after="160" w:before="320"/>
      </w:pPr>
      <w:r>
        <w:rPr>
          <w:rFonts w:ascii="Arial" w:cs="Arial" w:eastAsia="Arial" w:hAnsi="Arial"/>
          <w:b/>
          <w:bCs/>
          <w:color w:val="1F4E79"/>
          <w:sz w:val="32"/>
          <w:szCs w:val="32"/>
        </w:rPr>
        <w:t xml:space="preserve">1. Summary</w:t>
      </w:r>
    </w:p>
    <w:p>
      <w:pPr>
        <w:pStyle w:val="ListParagraph"/>
        <w:numPr>
          <w:ilvl w:val="0"/>
          <w:numId w:val="2"/>
        </w:numPr>
        <w:spacing w:after="60" w:line="276"/>
      </w:pPr>
      <w:r>
        <w:rPr>
          <w:rFonts w:ascii="Arial" w:cs="Arial" w:eastAsia="Arial" w:hAnsi="Arial"/>
          <w:b/>
          <w:bCs/>
          <w:sz w:val="22"/>
          <w:szCs w:val="22"/>
        </w:rPr>
        <w:t xml:space="preserve">Cooling technology drives water use per kWh.</w:t>
      </w:r>
      <w:r>
        <w:rPr>
          <w:rFonts w:ascii="Arial" w:cs="Arial" w:eastAsia="Arial" w:hAnsi="Arial"/>
          <w:sz w:val="22"/>
          <w:szCs w:val="22"/>
        </w:rPr>
        <w:t xml:space="preserve"> Cooling system explains 68% of the variance in WUE. Evaporative averages 1.58 L/kWh, air-side economizer 0.16, a gap of about 9.7 times.</w:t>
      </w:r>
    </w:p>
    <w:p>
      <w:pPr>
        <w:pStyle w:val="ListParagraph"/>
        <w:numPr>
          <w:ilvl w:val="0"/>
          <w:numId w:val="2"/>
        </w:numPr>
        <w:spacing w:after="60" w:line="276"/>
      </w:pPr>
      <w:r>
        <w:rPr>
          <w:rFonts w:ascii="Arial" w:cs="Arial" w:eastAsia="Arial" w:hAnsi="Arial"/>
          <w:b/>
          <w:bCs/>
          <w:sz w:val="22"/>
          <w:szCs w:val="22"/>
        </w:rPr>
        <w:t xml:space="preserve">Water stress drives risk.</w:t>
      </w:r>
      <w:r>
        <w:rPr>
          <w:rFonts w:ascii="Arial" w:cs="Arial" w:eastAsia="Arial" w:hAnsi="Arial"/>
          <w:sz w:val="22"/>
          <w:szCs w:val="22"/>
        </w:rPr>
        <w:t xml:space="preserve"> Stress tier is the strongest correlate of the risk score (Spearman 0.54) and explains 53% of its variance. This is partly built into the score (see the Risk Score Note).</w:t>
      </w:r>
    </w:p>
    <w:p>
      <w:pPr>
        <w:pStyle w:val="ListParagraph"/>
        <w:numPr>
          <w:ilvl w:val="0"/>
          <w:numId w:val="2"/>
        </w:numPr>
        <w:spacing w:after="60" w:line="276"/>
      </w:pPr>
      <w:r>
        <w:rPr>
          <w:rFonts w:ascii="Arial" w:cs="Arial" w:eastAsia="Arial" w:hAnsi="Arial"/>
          <w:b/>
          <w:bCs/>
          <w:sz w:val="22"/>
          <w:szCs w:val="22"/>
        </w:rPr>
        <w:t xml:space="preserve">The combination is the story.</w:t>
      </w:r>
      <w:r>
        <w:rPr>
          <w:rFonts w:ascii="Arial" w:cs="Arial" w:eastAsia="Arial" w:hAnsi="Arial"/>
          <w:sz w:val="22"/>
          <w:szCs w:val="22"/>
        </w:rPr>
        <w:t xml:space="preserve"> Where stress exists, evaporative and chilled-water sites are almost always High risk (86 to 100% and 32 to 98% by stress tier). Where it does not, no cooling type reaches High.</w:t>
      </w:r>
    </w:p>
    <w:p>
      <w:pPr>
        <w:pStyle w:val="ListParagraph"/>
        <w:numPr>
          <w:ilvl w:val="0"/>
          <w:numId w:val="2"/>
        </w:numPr>
        <w:spacing w:after="60" w:line="276"/>
      </w:pPr>
      <w:r>
        <w:rPr>
          <w:rFonts w:ascii="Arial" w:cs="Arial" w:eastAsia="Arial" w:hAnsi="Arial"/>
          <w:b/>
          <w:bCs/>
          <w:sz w:val="22"/>
          <w:szCs w:val="22"/>
        </w:rPr>
        <w:t xml:space="preserve">Geography matters.</w:t>
      </w:r>
      <w:r>
        <w:rPr>
          <w:rFonts w:ascii="Arial" w:cs="Arial" w:eastAsia="Arial" w:hAnsi="Arial"/>
          <w:sz w:val="22"/>
          <w:szCs w:val="22"/>
        </w:rPr>
        <w:t xml:space="preserve"> 40.6% of Middle East &amp; Africa facility-years are High risk against 5.5% in Europe.</w:t>
      </w:r>
    </w:p>
    <w:p>
      <w:pPr>
        <w:pStyle w:val="ListParagraph"/>
        <w:numPr>
          <w:ilvl w:val="0"/>
          <w:numId w:val="2"/>
        </w:numPr>
        <w:spacing w:after="60" w:line="276"/>
      </w:pPr>
      <w:r>
        <w:rPr>
          <w:rFonts w:ascii="Arial" w:cs="Arial" w:eastAsia="Arial" w:hAnsi="Arial"/>
          <w:b/>
          <w:bCs/>
          <w:sz w:val="22"/>
          <w:szCs w:val="22"/>
        </w:rPr>
        <w:t xml:space="preserve">Outliers cluster in one cooling type.</w:t>
      </w:r>
      <w:r>
        <w:rPr>
          <w:rFonts w:ascii="Arial" w:cs="Arial" w:eastAsia="Arial" w:hAnsi="Arial"/>
          <w:sz w:val="22"/>
          <w:szCs w:val="22"/>
        </w:rPr>
        <w:t xml:space="preserve"> 195 of the 199 WUE outliers are air-side economizer sites.</w:t>
      </w:r>
    </w:p>
    <w:p>
      <w:pPr>
        <w:pBdr>
          <w:left w:val="single" w:color="E0A800" w:sz="18" w:space="6"/>
        </w:pBdr>
        <w:shd w:fill="FFF4D6" w:val="clear"/>
        <w:spacing w:after="140" w:before="60"/>
        <w:ind w:left="120"/>
      </w:pPr>
      <w:r>
        <w:rPr>
          <w:rFonts w:ascii="Arial" w:cs="Arial" w:eastAsia="Arial" w:hAnsi="Arial"/>
          <w:color w:val="444444"/>
          <w:sz w:val="20"/>
          <w:szCs w:val="20"/>
        </w:rPr>
        <w:t xml:space="preserve">All numbers describe a modelled dataset. Cooling to WUE and stress to risk relationships are written into the generator, so the analysis demonstrates the method and is not evidence about real facilities.</w:t>
      </w:r>
    </w:p>
    <w:p>
      <w:pPr>
        <w:pStyle w:val="Heading1"/>
        <w:spacing w:after="160" w:before="320"/>
      </w:pPr>
      <w:r>
        <w:rPr>
          <w:rFonts w:ascii="Arial" w:cs="Arial" w:eastAsia="Arial" w:hAnsi="Arial"/>
          <w:b/>
          <w:bCs/>
          <w:color w:val="1F4E79"/>
          <w:sz w:val="32"/>
          <w:szCs w:val="32"/>
        </w:rPr>
        <w:t xml:space="preserve">2. Data checks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5706"/>
      </w:tblGrid>
      <w:tr>
        <w:trPr>
          <w:tblHeader/>
        </w:trPr>
        <w:tc>
          <w:tcPr>
            <w:tcW w:type="dxa" w:w="42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Check</w:t>
            </w:r>
          </w:p>
        </w:tc>
        <w:tc>
          <w:tcPr>
            <w:tcW w:type="dxa" w:w="57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Result</w:t>
            </w:r>
          </w:p>
        </w:tc>
      </w:tr>
      <w:tr>
        <w:trPr>
          <w:cantSplit/>
        </w:trPr>
        <w:tc>
          <w:tcPr>
            <w:tcW w:type="dxa" w:w="4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Rows, facilities, years</w:t>
            </w:r>
          </w:p>
        </w:tc>
        <w:tc>
          <w:tcPr>
            <w:tcW w:type="dxa" w:w="5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6,512 facility-year rows, 1,200 facilities, 2019 to 2025</w:t>
            </w:r>
          </w:p>
        </w:tc>
      </w:tr>
      <w:tr>
        <w:trPr>
          <w:cantSplit/>
        </w:trPr>
        <w:tc>
          <w:tcPr>
            <w:tcW w:type="dxa" w:w="4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Columns</w:t>
            </w:r>
          </w:p>
        </w:tc>
        <w:tc>
          <w:tcPr>
            <w:tcW w:type="dxa" w:w="5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43</w:t>
            </w:r>
          </w:p>
        </w:tc>
      </w:tr>
      <w:tr>
        <w:trPr>
          <w:cantSplit/>
        </w:trPr>
        <w:tc>
          <w:tcPr>
            <w:tcW w:type="dxa" w:w="4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Null cells</w:t>
            </w:r>
          </w:p>
        </w:tc>
        <w:tc>
          <w:tcPr>
            <w:tcW w:type="dxa" w:w="5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r>
      <w:tr>
        <w:trPr>
          <w:cantSplit/>
        </w:trPr>
        <w:tc>
          <w:tcPr>
            <w:tcW w:type="dxa" w:w="4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Duplicate rows; duplicate (Facility_ID, Year)</w:t>
            </w:r>
          </w:p>
        </w:tc>
        <w:tc>
          <w:tcPr>
            <w:tcW w:type="dxa" w:w="5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 0</w:t>
            </w:r>
          </w:p>
        </w:tc>
      </w:tr>
      <w:tr>
        <w:trPr>
          <w:cantSplit/>
        </w:trPr>
        <w:tc>
          <w:tcPr>
            <w:tcW w:type="dxa" w:w="4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WUE and PUE ranges</w:t>
            </w:r>
          </w:p>
        </w:tc>
        <w:tc>
          <w:tcPr>
            <w:tcW w:type="dxa" w:w="5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WUE within the 0.01 to 4.0 clip; PUE within 1.05 to 2.2</w:t>
            </w:r>
          </w:p>
        </w:tc>
      </w:tr>
      <w:tr>
        <w:trPr>
          <w:cantSplit/>
        </w:trPr>
        <w:tc>
          <w:tcPr>
            <w:tcW w:type="dxa" w:w="4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Risk tier balance</w:t>
            </w:r>
          </w:p>
        </w:tc>
        <w:tc>
          <w:tcPr>
            <w:tcW w:type="dxa" w:w="5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71.1% Low, 17.5% Medium, 11.4% High</w:t>
            </w:r>
          </w:p>
        </w:tc>
      </w:tr>
    </w:tbl>
    <w:p>
      <w:pPr>
        <w:spacing w:after="100"/>
      </w:pPr>
    </w:p>
    <w:p>
      <w:pPr>
        <w:pStyle w:val="Heading1"/>
        <w:spacing w:after="160" w:before="320"/>
      </w:pPr>
      <w:r>
        <w:rPr>
          <w:rFonts w:ascii="Arial" w:cs="Arial" w:eastAsia="Arial" w:hAnsi="Arial"/>
          <w:b/>
          <w:bCs/>
          <w:color w:val="1F4E79"/>
          <w:sz w:val="32"/>
          <w:szCs w:val="32"/>
        </w:rPr>
        <w:t xml:space="preserve">3. Trends (2019 to 2025)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100"/>
        <w:gridCol w:w="1600"/>
        <w:gridCol w:w="1700"/>
        <w:gridCol w:w="1706"/>
      </w:tblGrid>
      <w:tr>
        <w:trPr>
          <w:tblHeader/>
        </w:trPr>
        <w:tc>
          <w:tcPr>
            <w:tcW w:type="dxa" w:w="11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Year</w:t>
            </w:r>
          </w:p>
        </w:tc>
        <w:tc>
          <w:tcPr>
            <w:tcW w:type="dxa" w:w="17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Facility-year rows</w:t>
            </w:r>
          </w:p>
        </w:tc>
        <w:tc>
          <w:tcPr>
            <w:tcW w:type="dxa" w:w="21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Total daily water (m3)</w:t>
            </w:r>
          </w:p>
        </w:tc>
        <w:tc>
          <w:tcPr>
            <w:tcW w:type="dxa" w:w="16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Weighted WUE</w:t>
            </w:r>
          </w:p>
        </w:tc>
        <w:tc>
          <w:tcPr>
            <w:tcW w:type="dxa" w:w="17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Avg AI share (%)</w:t>
            </w:r>
          </w:p>
        </w:tc>
        <w:tc>
          <w:tcPr>
            <w:tcW w:type="dxa" w:w="17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High risk (%)</w:t>
            </w:r>
          </w:p>
        </w:tc>
      </w:tr>
      <w:tr>
        <w:trPr>
          <w:cantSplit/>
        </w:trPr>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2019</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675</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129,942</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0.674</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1.7</w:t>
            </w:r>
          </w:p>
        </w:tc>
        <w:tc>
          <w:tcPr>
            <w:tcW w:type="dxa" w:w="1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12.7</w:t>
            </w:r>
          </w:p>
        </w:tc>
      </w:tr>
      <w:tr>
        <w:trPr>
          <w:cantSplit/>
        </w:trPr>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2020</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751</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152,991</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0.665</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2.5</w:t>
            </w:r>
          </w:p>
        </w:tc>
        <w:tc>
          <w:tcPr>
            <w:tcW w:type="dxa" w:w="1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12.0</w:t>
            </w:r>
          </w:p>
        </w:tc>
      </w:tr>
      <w:tr>
        <w:trPr>
          <w:cantSplit/>
        </w:trPr>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2021</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839</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180,797</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0.627</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4.2</w:t>
            </w:r>
          </w:p>
        </w:tc>
        <w:tc>
          <w:tcPr>
            <w:tcW w:type="dxa" w:w="1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11.8</w:t>
            </w:r>
          </w:p>
        </w:tc>
      </w:tr>
      <w:tr>
        <w:trPr>
          <w:cantSplit/>
        </w:trPr>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2022</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916</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229,576</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0.623</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7.7</w:t>
            </w:r>
          </w:p>
        </w:tc>
        <w:tc>
          <w:tcPr>
            <w:tcW w:type="dxa" w:w="1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11.4</w:t>
            </w:r>
          </w:p>
        </w:tc>
      </w:tr>
      <w:tr>
        <w:trPr>
          <w:cantSplit/>
        </w:trPr>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2023</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1,027</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295,982</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0.626</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13.0</w:t>
            </w:r>
          </w:p>
        </w:tc>
        <w:tc>
          <w:tcPr>
            <w:tcW w:type="dxa" w:w="1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11.4</w:t>
            </w:r>
          </w:p>
        </w:tc>
      </w:tr>
      <w:tr>
        <w:trPr>
          <w:cantSplit/>
        </w:trPr>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2024</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1,104</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365,281</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0.621</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18.9</w:t>
            </w:r>
          </w:p>
        </w:tc>
        <w:tc>
          <w:tcPr>
            <w:tcW w:type="dxa" w:w="1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10.9</w:t>
            </w:r>
          </w:p>
        </w:tc>
      </w:tr>
      <w:tr>
        <w:trPr>
          <w:cantSplit/>
        </w:trPr>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2025</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1,200</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433,687</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0.599</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23.9</w:t>
            </w:r>
          </w:p>
        </w:tc>
        <w:tc>
          <w:tcPr>
            <w:tcW w:type="dxa" w:w="1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10.3</w:t>
            </w:r>
          </w:p>
        </w:tc>
      </w:tr>
    </w:tbl>
    <w:p>
      <w:pPr>
        <w:spacing w:after="100"/>
      </w:pPr>
    </w:p>
    <w:p>
      <w:pPr>
        <w:pStyle w:val="ListParagraph"/>
        <w:numPr>
          <w:ilvl w:val="0"/>
          <w:numId w:val="2"/>
        </w:numPr>
        <w:spacing w:after="60" w:line="276"/>
      </w:pPr>
      <w:r>
        <w:rPr>
          <w:rFonts w:ascii="Arial" w:cs="Arial" w:eastAsia="Arial" w:hAnsi="Arial"/>
          <w:sz w:val="22"/>
          <w:szCs w:val="22"/>
        </w:rPr>
        <w:t xml:space="preserve">Total daily water rose about 3.3 times. The number of facilities in the panel rose about 1.8 times, so water per facility rose about 1.9 times (192 to 361 m3 per facility-day).</w:t>
      </w:r>
    </w:p>
    <w:p>
      <w:pPr>
        <w:pStyle w:val="ListParagraph"/>
        <w:numPr>
          <w:ilvl w:val="0"/>
          <w:numId w:val="2"/>
        </w:numPr>
        <w:spacing w:after="60" w:line="276"/>
      </w:pPr>
      <w:r>
        <w:rPr>
          <w:rFonts w:ascii="Arial" w:cs="Arial" w:eastAsia="Arial" w:hAnsi="Arial"/>
          <w:sz w:val="22"/>
          <w:szCs w:val="22"/>
        </w:rPr>
        <w:t xml:space="preserve">Weighted WUE fell slightly (0.67 to 0.60), the efficiency drift built into the model. The average AI workload share rose from 1.7% to 23.9%.</w:t>
      </w:r>
    </w:p>
    <w:p>
      <w:pPr>
        <w:pStyle w:val="ListParagraph"/>
        <w:numPr>
          <w:ilvl w:val="0"/>
          <w:numId w:val="2"/>
        </w:numPr>
        <w:spacing w:after="60" w:line="276"/>
      </w:pPr>
      <w:r>
        <w:rPr>
          <w:rFonts w:ascii="Arial" w:cs="Arial" w:eastAsia="Arial" w:hAnsi="Arial"/>
          <w:sz w:val="22"/>
          <w:szCs w:val="22"/>
        </w:rPr>
        <w:t xml:space="preserve">The High-risk share drifted down from 12.7% to 10.3%.</w:t>
      </w:r>
    </w:p>
    <w:p>
      <w:pPr>
        <w:pBdr>
          <w:left w:val="single" w:color="E0A800" w:sz="18" w:space="6"/>
        </w:pBdr>
        <w:shd w:fill="FFF4D6" w:val="clear"/>
        <w:spacing w:after="140" w:before="60"/>
        <w:ind w:left="120"/>
      </w:pPr>
      <w:r>
        <w:rPr>
          <w:rFonts w:ascii="Arial" w:cs="Arial" w:eastAsia="Arial" w:hAnsi="Arial"/>
          <w:color w:val="444444"/>
          <w:sz w:val="20"/>
          <w:szCs w:val="20"/>
        </w:rPr>
        <w:t xml:space="preserve">The trend is stylised. Facilities are added over time and the growth is steeper than published global estimates. Do not quote it as a real growth rate.</w:t>
      </w:r>
    </w:p>
    <w:p>
      <w:pPr>
        <w:spacing w:after="40" w:before="80"/>
        <w:jc w:val="center"/>
      </w:pPr>
      <w:r>
        <w:drawing>
          <wp:inline distT="0" distB="0" distL="0" distR="0">
            <wp:extent cx="4381500" cy="2305050"/>
            <wp:effectExtent t="0" r="0" b="0" l="0"/>
            <wp:docPr id="1" name="trend" descr="Figure 1. Total daily water and water per facility by year (modelled estimates)." title="Figure 1. Total daily water and water per facility by year (modelled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3050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1. Total daily water and water per facility by year (modelled estimates).</w:t>
      </w:r>
    </w:p>
    <w:p>
      <w:pPr>
        <w:pStyle w:val="Heading1"/>
        <w:spacing w:after="160" w:before="320"/>
      </w:pPr>
      <w:r>
        <w:rPr>
          <w:rFonts w:ascii="Arial" w:cs="Arial" w:eastAsia="Arial" w:hAnsi="Arial"/>
          <w:b/>
          <w:bCs/>
          <w:color w:val="1F4E79"/>
          <w:sz w:val="32"/>
          <w:szCs w:val="32"/>
        </w:rPr>
        <w:t xml:space="preserve">4. WUE by cooling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1600"/>
        <w:gridCol w:w="1500"/>
        <w:gridCol w:w="1606"/>
      </w:tblGrid>
      <w:tr>
        <w:trPr>
          <w:tblHeader/>
        </w:trPr>
        <w:tc>
          <w:tcPr>
            <w:tcW w:type="dxa" w:w="25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Cooling system</w:t>
            </w:r>
          </w:p>
        </w:tc>
        <w:tc>
          <w:tcPr>
            <w:tcW w:type="dxa" w:w="12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Rows</w:t>
            </w:r>
          </w:p>
        </w:tc>
        <w:tc>
          <w:tcPr>
            <w:tcW w:type="dxa" w:w="15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Mean WUE</w:t>
            </w:r>
          </w:p>
        </w:tc>
        <w:tc>
          <w:tcPr>
            <w:tcW w:type="dxa" w:w="16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Median WUE</w:t>
            </w:r>
          </w:p>
        </w:tc>
        <w:tc>
          <w:tcPr>
            <w:tcW w:type="dxa" w:w="15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Mean PUE</w:t>
            </w:r>
          </w:p>
        </w:tc>
        <w:tc>
          <w:tcPr>
            <w:tcW w:type="dxa" w:w="16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High risk (%)</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Evaporative</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964</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1.581</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1.378</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1.235</w:t>
            </w:r>
          </w:p>
        </w:tc>
        <w:tc>
          <w:tcPr>
            <w:tcW w:type="dxa" w:w="16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12.6</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Chilled Water</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1,978</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1.007</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0.887</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1.522</w:t>
            </w:r>
          </w:p>
        </w:tc>
        <w:tc>
          <w:tcPr>
            <w:tcW w:type="dxa" w:w="16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17.6</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Hybrid</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1,116</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0.604</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0.549</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1.303</w:t>
            </w:r>
          </w:p>
        </w:tc>
        <w:tc>
          <w:tcPr>
            <w:tcW w:type="dxa" w:w="16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17.7</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Liquid Cooling</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513</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0.193</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0.183</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1.167</w:t>
            </w:r>
          </w:p>
        </w:tc>
        <w:tc>
          <w:tcPr>
            <w:tcW w:type="dxa" w:w="16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5.8</w:t>
            </w:r>
          </w:p>
        </w:tc>
      </w:tr>
      <w:tr>
        <w:trPr>
          <w:cantSplit/>
        </w:trPr>
        <w:tc>
          <w:tcPr>
            <w:tcW w:type="dxa" w:w="2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Air-Side Economizer</w:t>
            </w:r>
          </w:p>
        </w:tc>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1,941</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0.163</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0.124</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1.250</w:t>
            </w:r>
          </w:p>
        </w:tc>
        <w:tc>
          <w:tcPr>
            <w:tcW w:type="dxa" w:w="16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2.2</w:t>
            </w:r>
          </w:p>
        </w:tc>
      </w:tr>
    </w:tbl>
    <w:p>
      <w:pPr>
        <w:spacing w:after="100"/>
      </w:pPr>
    </w:p>
    <w:p>
      <w:pPr>
        <w:pStyle w:val="ListParagraph"/>
        <w:numPr>
          <w:ilvl w:val="0"/>
          <w:numId w:val="2"/>
        </w:numPr>
        <w:spacing w:after="60" w:line="276"/>
      </w:pPr>
      <w:r>
        <w:rPr>
          <w:rFonts w:ascii="Arial" w:cs="Arial" w:eastAsia="Arial" w:hAnsi="Arial"/>
          <w:sz w:val="22"/>
          <w:szCs w:val="22"/>
        </w:rPr>
        <w:t xml:space="preserve">The dashboard bars show </w:t>
      </w:r>
      <w:r>
        <w:rPr>
          <w:rFonts w:ascii="Arial" w:cs="Arial" w:eastAsia="Arial" w:hAnsi="Arial"/>
          <w:b/>
          <w:bCs/>
          <w:sz w:val="22"/>
          <w:szCs w:val="22"/>
        </w:rPr>
        <w:t xml:space="preserve">weighted</w:t>
      </w:r>
      <w:r>
        <w:rPr>
          <w:rFonts w:ascii="Arial" w:cs="Arial" w:eastAsia="Arial" w:hAnsi="Arial"/>
          <w:sz w:val="22"/>
          <w:szCs w:val="22"/>
        </w:rPr>
        <w:t xml:space="preserve"> WUE (total water divided by total IT energy), for example 1.48 for evaporative. This table shows </w:t>
      </w:r>
      <w:r>
        <w:rPr>
          <w:rFonts w:ascii="Arial" w:cs="Arial" w:eastAsia="Arial" w:hAnsi="Arial"/>
          <w:b/>
          <w:bCs/>
          <w:sz w:val="22"/>
          <w:szCs w:val="22"/>
        </w:rPr>
        <w:t xml:space="preserve">simple means</w:t>
      </w:r>
      <w:r>
        <w:rPr>
          <w:rFonts w:ascii="Arial" w:cs="Arial" w:eastAsia="Arial" w:hAnsi="Arial"/>
          <w:sz w:val="22"/>
          <w:szCs w:val="22"/>
        </w:rPr>
        <w:t xml:space="preserve"> (1.58). State which one you use.</w:t>
      </w:r>
    </w:p>
    <w:p>
      <w:pPr>
        <w:pStyle w:val="ListParagraph"/>
        <w:numPr>
          <w:ilvl w:val="0"/>
          <w:numId w:val="2"/>
        </w:numPr>
        <w:spacing w:after="60" w:line="276"/>
      </w:pPr>
      <w:r>
        <w:rPr>
          <w:rFonts w:ascii="Arial" w:cs="Arial" w:eastAsia="Arial" w:hAnsi="Arial"/>
          <w:sz w:val="22"/>
          <w:szCs w:val="22"/>
        </w:rPr>
        <w:t xml:space="preserve">Evaporative has the highest WUE but a low PUE, and chilled water the opposite. This is the usual water versus energy trade-off.</w:t>
      </w:r>
    </w:p>
    <w:p>
      <w:pPr>
        <w:pStyle w:val="ListParagraph"/>
        <w:numPr>
          <w:ilvl w:val="0"/>
          <w:numId w:val="2"/>
        </w:numPr>
        <w:spacing w:after="60" w:line="276"/>
      </w:pPr>
      <w:r>
        <w:rPr>
          <w:rFonts w:ascii="Arial" w:cs="Arial" w:eastAsia="Arial" w:hAnsi="Arial"/>
          <w:sz w:val="22"/>
          <w:szCs w:val="22"/>
        </w:rPr>
        <w:t xml:space="preserve">Evaporative has a smaller High-risk share overall (12.6%) than chilled water (17.6%) because many evaporative sites are in low-stress places. The next section shows why this does not weaken the case.</w:t>
      </w:r>
    </w:p>
    <w:p>
      <w:pPr>
        <w:spacing w:after="40" w:before="80"/>
        <w:jc w:val="center"/>
      </w:pPr>
      <w:r>
        <w:drawing>
          <wp:inline distT="0" distB="0" distL="0" distR="0">
            <wp:extent cx="4381500" cy="2466975"/>
            <wp:effectExtent t="0" r="0" b="0" l="0"/>
            <wp:docPr id="1" name="wue_by_cooling_box" descr="Figure 2. WUE spread by cooling system, log scale (modelled estimates)." title="Figure 2. WUE spread by cooling system, log scale (modelled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669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2. WUE spread by cooling system, log scale (modelled estimates).</w:t>
      </w:r>
    </w:p>
    <w:p>
      <w:pPr>
        <w:pStyle w:val="Heading1"/>
        <w:spacing w:after="160" w:before="320"/>
      </w:pPr>
      <w:r>
        <w:rPr>
          <w:rFonts w:ascii="Arial" w:cs="Arial" w:eastAsia="Arial" w:hAnsi="Arial"/>
          <w:b/>
          <w:bCs/>
          <w:color w:val="1F4E79"/>
          <w:sz w:val="32"/>
          <w:szCs w:val="32"/>
        </w:rPr>
        <w:t xml:space="preserve">5. Correlations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106"/>
      </w:tblGrid>
      <w:tr>
        <w:trPr>
          <w:tblHeader/>
        </w:trPr>
        <w:tc>
          <w:tcPr>
            <w:tcW w:type="dxa" w:w="36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Feature</w:t>
            </w:r>
          </w:p>
        </w:tc>
        <w:tc>
          <w:tcPr>
            <w:tcW w:type="dxa" w:w="32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Spearman with risk score</w:t>
            </w:r>
          </w:p>
        </w:tc>
        <w:tc>
          <w:tcPr>
            <w:tcW w:type="dxa" w:w="31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Spearman with WUE</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Stress tier</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0.54</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0.00</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Ambient temperature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0.38</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0.53</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IT capacity</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0.36</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-0.04</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Utilisation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0.30</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-0.02</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AI workload share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0.17</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-0.06</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PUE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0.11</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0.47</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Relative humidity</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-0.01</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0.05</w:t>
            </w:r>
          </w:p>
        </w:tc>
      </w:tr>
    </w:tbl>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106"/>
      </w:tblGrid>
      <w:tr>
        <w:trPr>
          <w:tblHeader/>
        </w:trPr>
        <w:tc>
          <w:tcPr>
            <w:tcW w:type="dxa" w:w="36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Category</w:t>
            </w:r>
          </w:p>
        </w:tc>
        <w:tc>
          <w:tcPr>
            <w:tcW w:type="dxa" w:w="32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Variance in risk score explained</w:t>
            </w:r>
          </w:p>
        </w:tc>
        <w:tc>
          <w:tcPr>
            <w:tcW w:type="dxa" w:w="31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Variance in WUE explained</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Stress tier</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53%</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0.1%</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Cooling system</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21%</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68%</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Climate zone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15%</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31%</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Region</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11%</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14%</w:t>
            </w:r>
          </w:p>
        </w:tc>
      </w:tr>
      <w:tr>
        <w:trPr>
          <w:cantSplit/>
        </w:trPr>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Facility type</w:t>
            </w:r>
          </w:p>
        </w:tc>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8%</w:t>
            </w:r>
          </w:p>
        </w:tc>
        <w:tc>
          <w:tcPr>
            <w:tcW w:type="dxa" w:w="3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w:t>
            </w:r>
          </w:p>
        </w:tc>
      </w:tr>
    </w:tbl>
    <w:p>
      <w:pPr>
        <w:spacing w:after="100"/>
      </w:pPr>
    </w:p>
    <w:p>
      <w:pPr>
        <w:pStyle w:val="ListParagraph"/>
        <w:numPr>
          <w:ilvl w:val="0"/>
          <w:numId w:val="2"/>
        </w:numPr>
        <w:spacing w:after="60" w:line="276"/>
      </w:pPr>
      <w:r>
        <w:rPr>
          <w:rFonts w:ascii="Arial" w:cs="Arial" w:eastAsia="Arial" w:hAnsi="Arial"/>
          <w:b/>
          <w:bCs/>
          <w:sz w:val="22"/>
          <w:szCs w:val="22"/>
        </w:rPr>
        <w:t xml:space="preserve">For WUE, the drivers are cooling system, temperature and PUE.</w:t>
      </w:r>
      <w:r>
        <w:rPr>
          <w:rFonts w:ascii="Arial" w:cs="Arial" w:eastAsia="Arial" w:hAnsi="Arial"/>
          <w:sz w:val="22"/>
          <w:szCs w:val="22"/>
        </w:rPr>
        <w:t xml:space="preserve"> Stress, capacity and utilisation hardly matter.</w:t>
      </w:r>
    </w:p>
    <w:p>
      <w:pPr>
        <w:pStyle w:val="ListParagraph"/>
        <w:numPr>
          <w:ilvl w:val="0"/>
          <w:numId w:val="2"/>
        </w:numPr>
        <w:spacing w:after="60" w:line="276"/>
      </w:pPr>
      <w:r>
        <w:rPr>
          <w:rFonts w:ascii="Arial" w:cs="Arial" w:eastAsia="Arial" w:hAnsi="Arial"/>
          <w:b/>
          <w:bCs/>
          <w:sz w:val="22"/>
          <w:szCs w:val="22"/>
        </w:rPr>
        <w:t xml:space="preserve">For the risk score, stress dominates.</w:t>
      </w:r>
      <w:r>
        <w:rPr>
          <w:rFonts w:ascii="Arial" w:cs="Arial" w:eastAsia="Arial" w:hAnsi="Arial"/>
          <w:sz w:val="22"/>
          <w:szCs w:val="22"/>
        </w:rPr>
        <w:t xml:space="preserve"> Capacity and utilisation correlate with risk only because the score includes daily water volume, which grows with size.</w:t>
      </w:r>
    </w:p>
    <w:p>
      <w:pPr>
        <w:pStyle w:val="ListParagraph"/>
        <w:numPr>
          <w:ilvl w:val="0"/>
          <w:numId w:val="2"/>
        </w:numPr>
        <w:spacing w:after="60" w:line="276"/>
      </w:pPr>
      <w:r>
        <w:rPr>
          <w:rFonts w:ascii="Arial" w:cs="Arial" w:eastAsia="Arial" w:hAnsi="Arial"/>
          <w:sz w:val="22"/>
          <w:szCs w:val="22"/>
        </w:rPr>
        <w:t xml:space="preserve">Correlation is not causation. These relationships were written into the data generator.</w:t>
      </w:r>
    </w:p>
    <w:p>
      <w:pPr>
        <w:spacing w:after="40" w:before="80"/>
        <w:jc w:val="center"/>
      </w:pPr>
      <w:r>
        <w:drawing>
          <wp:inline distT="0" distB="0" distL="0" distR="0">
            <wp:extent cx="4381500" cy="2466975"/>
            <wp:effectExtent t="0" r="0" b="0" l="0"/>
            <wp:docPr id="1" name="correlations" descr="Figure 3. Spearman correlation of numeric features with the water-risk score (modelled estimates)." title="Figure 3. Spearman correlation of numeric features with the water-risk score (modelled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66975"/>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3. Spearman correlation of numeric features with the water-risk score (modelled estimates).</w:t>
      </w:r>
    </w:p>
    <w:p>
      <w:pPr>
        <w:pStyle w:val="Heading1"/>
        <w:spacing w:after="160" w:before="320"/>
      </w:pPr>
      <w:r>
        <w:rPr>
          <w:rFonts w:ascii="Arial" w:cs="Arial" w:eastAsia="Arial" w:hAnsi="Arial"/>
          <w:b/>
          <w:bCs/>
          <w:color w:val="1F4E79"/>
          <w:sz w:val="32"/>
          <w:szCs w:val="32"/>
        </w:rPr>
        <w:t xml:space="preserve">6. Where risk concentrates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2100"/>
        <w:gridCol w:w="2106"/>
      </w:tblGrid>
      <w:tr>
        <w:trPr>
          <w:tblHeader/>
        </w:trPr>
        <w:tc>
          <w:tcPr>
            <w:tcW w:type="dxa" w:w="37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Region</w:t>
            </w:r>
          </w:p>
        </w:tc>
        <w:tc>
          <w:tcPr>
            <w:tcW w:type="dxa" w:w="20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Low (%)</w:t>
            </w:r>
          </w:p>
        </w:tc>
        <w:tc>
          <w:tcPr>
            <w:tcW w:type="dxa" w:w="21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Medium (%)</w:t>
            </w:r>
          </w:p>
        </w:tc>
        <w:tc>
          <w:tcPr>
            <w:tcW w:type="dxa" w:w="21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High (%)</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Middle East &amp; Africa</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35.2</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24.2</w:t>
            </w:r>
          </w:p>
        </w:tc>
        <w:tc>
          <w:tcPr>
            <w:tcW w:type="dxa" w:w="2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40.6</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Asia-Pacific</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57.6</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23.0</w:t>
            </w:r>
          </w:p>
        </w:tc>
        <w:tc>
          <w:tcPr>
            <w:tcW w:type="dxa" w:w="2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19.4</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North America</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72.7</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17.1</w:t>
            </w:r>
          </w:p>
        </w:tc>
        <w:tc>
          <w:tcPr>
            <w:tcW w:type="dxa" w:w="2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10.2</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Latin America</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64.0</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36.0</w:t>
            </w:r>
          </w:p>
        </w:tc>
        <w:tc>
          <w:tcPr>
            <w:tcW w:type="dxa" w:w="2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0.0</w:t>
            </w:r>
          </w:p>
        </w:tc>
      </w:tr>
      <w:tr>
        <w:trPr>
          <w:cantSplit/>
        </w:trPr>
        <w:tc>
          <w:tcPr>
            <w:tcW w:type="dxa" w:w="3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Europe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82.1</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12.5</w:t>
            </w:r>
          </w:p>
        </w:tc>
        <w:tc>
          <w:tcPr>
            <w:tcW w:type="dxa" w:w="21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5.5</w:t>
            </w:r>
          </w:p>
        </w:tc>
      </w:tr>
    </w:tbl>
    <w:p>
      <w:pPr>
        <w:spacing w:after="100"/>
      </w:pPr>
    </w:p>
    <w:p>
      <w:pPr>
        <w:spacing w:after="60" w:line="288"/>
      </w:pPr>
      <w:r>
        <w:rPr>
          <w:rFonts w:ascii="Arial" w:cs="Arial" w:eastAsia="Arial" w:hAnsi="Arial"/>
          <w:b/>
          <w:bCs/>
          <w:sz w:val="22"/>
          <w:szCs w:val="22"/>
        </w:rPr>
        <w:t xml:space="preserve">High-risk share by cooling system and baseline stress tier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650"/>
        <w:gridCol w:w="1656"/>
      </w:tblGrid>
      <w:tr>
        <w:trPr>
          <w:tblHeader/>
        </w:trPr>
        <w:tc>
          <w:tcPr>
            <w:tcW w:type="dxa" w:w="32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Cooling system</w:t>
            </w:r>
          </w:p>
        </w:tc>
        <w:tc>
          <w:tcPr>
            <w:tcW w:type="dxa" w:w="17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Low stress</w:t>
            </w:r>
          </w:p>
        </w:tc>
        <w:tc>
          <w:tcPr>
            <w:tcW w:type="dxa" w:w="17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Moderate</w:t>
            </w:r>
          </w:p>
        </w:tc>
        <w:tc>
          <w:tcPr>
            <w:tcW w:type="dxa" w:w="165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High</w:t>
            </w:r>
          </w:p>
        </w:tc>
        <w:tc>
          <w:tcPr>
            <w:tcW w:type="dxa" w:w="165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Extreme</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Evaporative</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86</w:t>
            </w:r>
          </w:p>
        </w:tc>
        <w:tc>
          <w:tcPr>
            <w:tcW w:type="dxa" w:w="1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100</w:t>
            </w:r>
          </w:p>
        </w:tc>
        <w:tc>
          <w:tcPr>
            <w:tcW w:type="dxa" w:w="165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100</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Chilled Water</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32</w:t>
            </w:r>
          </w:p>
        </w:tc>
        <w:tc>
          <w:tcPr>
            <w:tcW w:type="dxa" w:w="1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89</w:t>
            </w:r>
          </w:p>
        </w:tc>
        <w:tc>
          <w:tcPr>
            <w:tcW w:type="dxa" w:w="165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98</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Hybrid</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24</w:t>
            </w:r>
          </w:p>
        </w:tc>
        <w:tc>
          <w:tcPr>
            <w:tcW w:type="dxa" w:w="1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64</w:t>
            </w:r>
          </w:p>
        </w:tc>
        <w:tc>
          <w:tcPr>
            <w:tcW w:type="dxa" w:w="165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84</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Liquid Cooling</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19</w:t>
            </w:r>
          </w:p>
        </w:tc>
        <w:tc>
          <w:tcPr>
            <w:tcW w:type="dxa" w:w="165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69</w:t>
            </w:r>
          </w:p>
        </w:tc>
      </w:tr>
      <w:tr>
        <w:trPr>
          <w:cantSplit/>
        </w:trPr>
        <w:tc>
          <w:tcPr>
            <w:tcW w:type="dxa" w:w="3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Air-Side Economizer</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6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15</w:t>
            </w:r>
          </w:p>
        </w:tc>
        <w:tc>
          <w:tcPr>
            <w:tcW w:type="dxa" w:w="165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19</w:t>
            </w:r>
          </w:p>
        </w:tc>
      </w:tr>
    </w:tbl>
    <w:p>
      <w:pPr>
        <w:spacing w:after="100"/>
      </w:pPr>
    </w:p>
    <w:p>
      <w:pPr>
        <w:pStyle w:val="ListParagraph"/>
        <w:numPr>
          <w:ilvl w:val="0"/>
          <w:numId w:val="2"/>
        </w:numPr>
        <w:spacing w:after="60" w:line="276"/>
      </w:pPr>
      <w:r>
        <w:rPr>
          <w:rFonts w:ascii="Arial" w:cs="Arial" w:eastAsia="Arial" w:hAnsi="Arial"/>
          <w:sz w:val="22"/>
          <w:szCs w:val="22"/>
        </w:rPr>
        <w:t xml:space="preserve">In facility-years with five or more stress months, about 39% (376 of 964) use evaporative or chilled-water cooling, and 94% of those are High risk.</w:t>
      </w:r>
    </w:p>
    <w:p>
      <w:pPr>
        <w:pStyle w:val="ListParagraph"/>
        <w:numPr>
          <w:ilvl w:val="0"/>
          <w:numId w:val="2"/>
        </w:numPr>
        <w:spacing w:after="60" w:line="276"/>
      </w:pPr>
      <w:r>
        <w:rPr>
          <w:rFonts w:ascii="Arial" w:cs="Arial" w:eastAsia="Arial" w:hAnsi="Arial"/>
          <w:sz w:val="22"/>
          <w:szCs w:val="22"/>
        </w:rPr>
        <w:t xml:space="preserve">Latin America has only two countries (Brazil, Argentina) and no High rows. Treat it as a small sample.</w:t>
      </w:r>
    </w:p>
    <w:p>
      <w:pPr>
        <w:pStyle w:val="ListParagraph"/>
        <w:numPr>
          <w:ilvl w:val="0"/>
          <w:numId w:val="2"/>
        </w:numPr>
        <w:spacing w:after="60" w:line="276"/>
      </w:pPr>
      <w:r>
        <w:rPr>
          <w:rFonts w:ascii="Arial" w:cs="Arial" w:eastAsia="Arial" w:hAnsi="Arial"/>
          <w:sz w:val="22"/>
          <w:szCs w:val="22"/>
        </w:rPr>
        <w:t xml:space="preserve">Some cells are small (for example evaporative in the Extreme tier has 24 rows). Say "about" or "suggests".</w:t>
      </w:r>
    </w:p>
    <w:p>
      <w:pPr>
        <w:spacing w:after="40" w:before="80"/>
        <w:jc w:val="center"/>
      </w:pPr>
      <w:r>
        <w:drawing>
          <wp:inline distT="0" distB="0" distL="0" distR="0">
            <wp:extent cx="4191000" cy="2514600"/>
            <wp:effectExtent t="0" r="0" b="0" l="0"/>
            <wp:docPr id="1" name="high_risk_heatmap" descr="Figure 4. High-risk share by cooling system and stress tier (modelled estimates)." title="Figure 4. High-risk share by cooling system and stress tier (modelled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51460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4. High-risk share by cooling system and stress tier (modelled estimates).</w:t>
      </w:r>
    </w:p>
    <w:p>
      <w:pPr>
        <w:pStyle w:val="Heading1"/>
        <w:spacing w:after="160" w:before="320"/>
      </w:pPr>
      <w:r>
        <w:rPr>
          <w:rFonts w:ascii="Arial" w:cs="Arial" w:eastAsia="Arial" w:hAnsi="Arial"/>
          <w:b/>
          <w:bCs/>
          <w:color w:val="1F4E79"/>
          <w:sz w:val="32"/>
          <w:szCs w:val="32"/>
        </w:rPr>
        <w:t xml:space="preserve">7. Outliers</w:t>
      </w:r>
    </w:p>
    <w:p>
      <w:pPr>
        <w:spacing w:after="120" w:line="288"/>
      </w:pPr>
      <w:r>
        <w:rPr>
          <w:rFonts w:ascii="Arial" w:cs="Arial" w:eastAsia="Arial" w:hAnsi="Arial"/>
          <w:sz w:val="22"/>
          <w:szCs w:val="22"/>
        </w:rPr>
        <w:t xml:space="preserve">Outliers were flagged with the Tukey rule (1.5 x IQR on log WUE) within each cooling system. The flag is the WUE_Outlier_Flag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800"/>
        <w:gridCol w:w="1800"/>
        <w:gridCol w:w="1906"/>
      </w:tblGrid>
      <w:tr>
        <w:trPr>
          <w:tblHeader/>
        </w:trPr>
        <w:tc>
          <w:tcPr>
            <w:tcW w:type="dxa" w:w="30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Cooling system</w:t>
            </w:r>
          </w:p>
        </w:tc>
        <w:tc>
          <w:tcPr>
            <w:tcW w:type="dxa" w:w="14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Rows</w:t>
            </w:r>
          </w:p>
        </w:tc>
        <w:tc>
          <w:tcPr>
            <w:tcW w:type="dxa" w:w="18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High outliers</w:t>
            </w:r>
          </w:p>
        </w:tc>
        <w:tc>
          <w:tcPr>
            <w:tcW w:type="dxa" w:w="18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Low outliers</w:t>
            </w:r>
          </w:p>
        </w:tc>
        <w:tc>
          <w:tcPr>
            <w:tcW w:type="dxa" w:w="19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Outlier share</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Air-Side Economizer</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1,941</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183</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12</w:t>
            </w:r>
          </w:p>
        </w:tc>
        <w:tc>
          <w:tcPr>
            <w:tcW w:type="dxa" w:w="1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10.05%</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Hybrid</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1,116</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3</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0.27%</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Liquid Cooling</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513</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w:t>
            </w:r>
          </w:p>
        </w:tc>
        <w:tc>
          <w:tcPr>
            <w:tcW w:type="dxa" w:w="1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0.19%</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Chilled Water</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1,978</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Evaporative</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964</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c>
          <w:tcPr>
            <w:tcW w:type="dxa" w:w="19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w:t>
            </w:r>
          </w:p>
        </w:tc>
      </w:tr>
    </w:tbl>
    <w:p>
      <w:pPr>
        <w:spacing w:after="100"/>
      </w:pPr>
    </w:p>
    <w:p>
      <w:pPr>
        <w:pStyle w:val="ListParagraph"/>
        <w:numPr>
          <w:ilvl w:val="0"/>
          <w:numId w:val="2"/>
        </w:numPr>
        <w:spacing w:after="60" w:line="276"/>
      </w:pPr>
      <w:r>
        <w:rPr>
          <w:rFonts w:ascii="Arial" w:cs="Arial" w:eastAsia="Arial" w:hAnsi="Arial"/>
          <w:sz w:val="22"/>
          <w:szCs w:val="22"/>
        </w:rPr>
        <w:t xml:space="preserve">199 rows (3.1%) are flagged, almost all high-WUE air-side sites.</w:t>
      </w:r>
    </w:p>
    <w:p>
      <w:pPr>
        <w:pStyle w:val="ListParagraph"/>
        <w:numPr>
          <w:ilvl w:val="0"/>
          <w:numId w:val="2"/>
        </w:numPr>
        <w:spacing w:after="60" w:line="276"/>
      </w:pPr>
      <w:r>
        <w:rPr>
          <w:rFonts w:ascii="Arial" w:cs="Arial" w:eastAsia="Arial" w:hAnsi="Arial"/>
          <w:sz w:val="22"/>
          <w:szCs w:val="22"/>
        </w:rPr>
        <w:t xml:space="preserve">Outliers sit in hotter, more humid places (mean 25.8 C against 16.3 C overall) and appear in every year.</w:t>
      </w:r>
    </w:p>
    <w:p>
      <w:pPr>
        <w:pStyle w:val="ListParagraph"/>
        <w:numPr>
          <w:ilvl w:val="0"/>
          <w:numId w:val="2"/>
        </w:numPr>
        <w:spacing w:after="60" w:line="276"/>
      </w:pPr>
      <w:r>
        <w:rPr>
          <w:rFonts w:ascii="Arial" w:cs="Arial" w:eastAsia="Arial" w:hAnsi="Arial"/>
          <w:sz w:val="22"/>
          <w:szCs w:val="22"/>
        </w:rPr>
        <w:t xml:space="preserve">In this modelled data, air-side WUE responds more strongly to temperature and humidity (see generate_dataset.py), which is the likely cause. Do not present it as a real-world finding.</w:t>
      </w:r>
    </w:p>
    <w:p>
      <w:pPr>
        <w:pStyle w:val="ListParagraph"/>
        <w:numPr>
          <w:ilvl w:val="0"/>
          <w:numId w:val="2"/>
        </w:numPr>
        <w:spacing w:after="60" w:line="276"/>
      </w:pPr>
      <w:r>
        <w:rPr>
          <w:rFonts w:ascii="Arial" w:cs="Arial" w:eastAsia="Arial" w:hAnsi="Arial"/>
          <w:sz w:val="22"/>
          <w:szCs w:val="22"/>
        </w:rPr>
        <w:t xml:space="preserve">Outliers were flagged, not deleted.</w:t>
      </w:r>
    </w:p>
    <w:p>
      <w:pPr>
        <w:pStyle w:val="Heading1"/>
        <w:spacing w:after="160" w:before="320"/>
      </w:pPr>
      <w:r>
        <w:rPr>
          <w:rFonts w:ascii="Arial" w:cs="Arial" w:eastAsia="Arial" w:hAnsi="Arial"/>
          <w:b/>
          <w:bCs/>
          <w:color w:val="1F4E79"/>
          <w:sz w:val="32"/>
          <w:szCs w:val="32"/>
        </w:rPr>
        <w:t xml:space="preserve">8. Do the model and the EDA 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00"/>
        <w:gridCol w:w="3100"/>
        <w:gridCol w:w="2706"/>
      </w:tblGrid>
      <w:tr>
        <w:trPr>
          <w:tblHeader/>
        </w:trPr>
        <w:tc>
          <w:tcPr>
            <w:tcW w:type="dxa" w:w="41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Feature</w:t>
            </w:r>
          </w:p>
        </w:tc>
        <w:tc>
          <w:tcPr>
            <w:tcW w:type="dxa" w:w="3100"/>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Model importance (permutation, AUC)</w:t>
            </w:r>
          </w:p>
        </w:tc>
        <w:tc>
          <w:tcPr>
            <w:tcW w:type="dxa" w:w="2706"/>
            <w:tcBorders>
              <w:top w:val="single" w:color="BFBFBF" w:sz="4"/>
              <w:left w:val="single" w:color="BFBFBF" w:sz="4"/>
              <w:bottom w:val="single" w:color="BFBFBF" w:sz="4"/>
              <w:right w:val="single" w:color="BFBFBF" w:sz="4"/>
            </w:tcBorders>
            <w:shd w:fill="DCE9F5" w:val="clear"/>
            <w:tcMar>
              <w:top w:type="dxa" w:w="60"/>
              <w:left w:type="dxa" w:w="100"/>
              <w:bottom w:type="dxa" w:w="60"/>
              <w:right w:type="dxa" w:w="100"/>
            </w:tcMar>
          </w:tcPr>
          <w:p>
            <w:pPr>
              <w:spacing w:after="20"/>
            </w:pPr>
            <w:r>
              <w:rPr>
                <w:rFonts w:ascii="Arial" w:cs="Arial" w:eastAsia="Arial" w:hAnsi="Arial"/>
                <w:b/>
                <w:bCs/>
                <w:sz w:val="19"/>
                <w:szCs w:val="19"/>
              </w:rPr>
              <w:t xml:space="preserve">EDA strength</w:t>
            </w:r>
          </w:p>
        </w:tc>
      </w:tr>
      <w:tr>
        <w:trPr>
          <w:cantSplit/>
        </w:trPr>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Stress tier</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0.351</w:t>
            </w:r>
          </w:p>
        </w:tc>
        <w:tc>
          <w:tcPr>
            <w:tcW w:type="dxa" w:w="2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Spearman 0.54 (strongest)</w:t>
            </w:r>
          </w:p>
        </w:tc>
      </w:tr>
      <w:tr>
        <w:trPr>
          <w:cantSplit/>
        </w:trPr>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IT capacity</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0.013</w:t>
            </w:r>
          </w:p>
        </w:tc>
        <w:tc>
          <w:tcPr>
            <w:tcW w:type="dxa" w:w="2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Spearman 0.36</w:t>
            </w:r>
          </w:p>
        </w:tc>
      </w:tr>
      <w:tr>
        <w:trPr>
          <w:cantSplit/>
        </w:trPr>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Cooling system</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0.012</w:t>
            </w:r>
          </w:p>
        </w:tc>
        <w:tc>
          <w:tcPr>
            <w:tcW w:type="dxa" w:w="2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Variance explained 0.21</w:t>
            </w:r>
          </w:p>
        </w:tc>
      </w:tr>
      <w:tr>
        <w:trPr>
          <w:cantSplit/>
        </w:trPr>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Ambient temperature</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0.006</w:t>
            </w:r>
          </w:p>
        </w:tc>
        <w:tc>
          <w:tcPr>
            <w:tcW w:type="dxa" w:w="2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Spearman 0.38</w:t>
            </w:r>
          </w:p>
        </w:tc>
      </w:tr>
      <w:tr>
        <w:trPr>
          <w:cantSplit/>
        </w:trPr>
        <w:tc>
          <w:tcPr>
            <w:tcW w:type="dxa" w:w="4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PUE, utilisation, AI share, facility type, climate zone</w:t>
            </w:r>
          </w:p>
        </w:tc>
        <w:tc>
          <w:tcPr>
            <w:tcW w:type="dxa" w:w="3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0.000</w:t>
            </w:r>
          </w:p>
        </w:tc>
        <w:tc>
          <w:tcPr>
            <w:tcW w:type="dxa" w:w="2706"/>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Weak to moderate</w:t>
            </w:r>
          </w:p>
        </w:tc>
      </w:tr>
    </w:tbl>
    <w:p>
      <w:pPr>
        <w:spacing w:after="100"/>
      </w:pPr>
    </w:p>
    <w:p>
      <w:pPr>
        <w:pStyle w:val="ListParagraph"/>
        <w:numPr>
          <w:ilvl w:val="0"/>
          <w:numId w:val="2"/>
        </w:numPr>
        <w:spacing w:after="60" w:line="276"/>
      </w:pPr>
      <w:r>
        <w:rPr>
          <w:rFonts w:ascii="Arial" w:cs="Arial" w:eastAsia="Arial" w:hAnsi="Arial"/>
          <w:b/>
          <w:bCs/>
          <w:sz w:val="22"/>
          <w:szCs w:val="22"/>
        </w:rPr>
        <w:t xml:space="preserve">Agreement:</w:t>
      </w:r>
      <w:r>
        <w:rPr>
          <w:rFonts w:ascii="Arial" w:cs="Arial" w:eastAsia="Arial" w:hAnsi="Arial"/>
          <w:sz w:val="22"/>
          <w:szCs w:val="22"/>
        </w:rPr>
        <w:t xml:space="preserve"> both rank water stress first.</w:t>
      </w:r>
    </w:p>
    <w:p>
      <w:pPr>
        <w:pStyle w:val="ListParagraph"/>
        <w:numPr>
          <w:ilvl w:val="0"/>
          <w:numId w:val="2"/>
        </w:numPr>
        <w:spacing w:after="60" w:line="276"/>
      </w:pPr>
      <w:r>
        <w:rPr>
          <w:rFonts w:ascii="Arial" w:cs="Arial" w:eastAsia="Arial" w:hAnsi="Arial"/>
          <w:b/>
          <w:bCs/>
          <w:sz w:val="22"/>
          <w:szCs w:val="22"/>
        </w:rPr>
        <w:t xml:space="preserve">Divergence:</w:t>
      </w:r>
      <w:r>
        <w:rPr>
          <w:rFonts w:ascii="Arial" w:cs="Arial" w:eastAsia="Arial" w:hAnsi="Arial"/>
          <w:sz w:val="22"/>
          <w:szCs w:val="22"/>
        </w:rPr>
        <w:t xml:space="preserve"> the model puts almost all its weight on stress. The EDA also shows temperature and capacity, and cooling is the main driver of WUE. This is expected, because stress alone separates the High tier so sharply. The model inputs exclude WUE, which carries the cooling effect directly.</w:t>
      </w:r>
    </w:p>
    <w:p>
      <w:pPr>
        <w:pStyle w:val="ListParagraph"/>
        <w:numPr>
          <w:ilvl w:val="0"/>
          <w:numId w:val="2"/>
        </w:numPr>
        <w:spacing w:after="60" w:line="276"/>
      </w:pPr>
      <w:r>
        <w:rPr>
          <w:rFonts w:ascii="Arial" w:cs="Arial" w:eastAsia="Arial" w:hAnsi="Arial"/>
          <w:sz w:val="22"/>
          <w:szCs w:val="22"/>
        </w:rPr>
        <w:t xml:space="preserve">Report both views and the difference. The model is a scikit-learn GradientBoosting classifier (not XGBoost) with out-of-fold predictions grouped by facility.</w:t>
      </w:r>
    </w:p>
    <w:p>
      <w:pPr>
        <w:pStyle w:val="Heading1"/>
        <w:spacing w:after="160" w:before="320"/>
      </w:pPr>
      <w:r>
        <w:rPr>
          <w:rFonts w:ascii="Arial" w:cs="Arial" w:eastAsia="Arial" w:hAnsi="Arial"/>
          <w:b/>
          <w:bCs/>
          <w:color w:val="1F4E79"/>
          <w:sz w:val="32"/>
          <w:szCs w:val="32"/>
        </w:rPr>
        <w:t xml:space="preserve">9. Top drivers and recommendation</w:t>
      </w:r>
    </w:p>
    <w:p>
      <w:pPr>
        <w:spacing w:after="70" w:line="276"/>
        <w:ind w:left="420" w:hanging="420"/>
      </w:pPr>
      <w:r>
        <w:rPr>
          <w:rFonts w:ascii="Arial" w:cs="Arial" w:eastAsia="Arial" w:hAnsi="Arial"/>
          <w:b/>
          <w:bCs/>
          <w:sz w:val="22"/>
          <w:szCs w:val="22"/>
        </w:rPr>
        <w:t xml:space="preserve">1.  </w:t>
      </w:r>
      <w:r>
        <w:rPr>
          <w:rFonts w:ascii="Arial" w:cs="Arial" w:eastAsia="Arial" w:hAnsi="Arial"/>
          <w:b/>
          <w:bCs/>
          <w:sz w:val="22"/>
          <w:szCs w:val="22"/>
        </w:rPr>
        <w:t xml:space="preserve">Water stress</w:t>
      </w:r>
      <w:r>
        <w:rPr>
          <w:rFonts w:ascii="Arial" w:cs="Arial" w:eastAsia="Arial" w:hAnsi="Arial"/>
          <w:sz w:val="22"/>
          <w:szCs w:val="22"/>
        </w:rPr>
        <w:t xml:space="preserve"> (strongest driver of risk).</w:t>
      </w:r>
    </w:p>
    <w:p>
      <w:pPr>
        <w:spacing w:after="70" w:line="276"/>
        <w:ind w:left="420" w:hanging="420"/>
      </w:pPr>
      <w:r>
        <w:rPr>
          <w:rFonts w:ascii="Arial" w:cs="Arial" w:eastAsia="Arial" w:hAnsi="Arial"/>
          <w:b/>
          <w:bCs/>
          <w:sz w:val="22"/>
          <w:szCs w:val="22"/>
        </w:rPr>
        <w:t xml:space="preserve">2.  </w:t>
      </w:r>
      <w:r>
        <w:rPr>
          <w:rFonts w:ascii="Arial" w:cs="Arial" w:eastAsia="Arial" w:hAnsi="Arial"/>
          <w:b/>
          <w:bCs/>
          <w:sz w:val="22"/>
          <w:szCs w:val="22"/>
        </w:rPr>
        <w:t xml:space="preserve">Cooling system</w:t>
      </w:r>
      <w:r>
        <w:rPr>
          <w:rFonts w:ascii="Arial" w:cs="Arial" w:eastAsia="Arial" w:hAnsi="Arial"/>
          <w:sz w:val="22"/>
          <w:szCs w:val="22"/>
        </w:rPr>
        <w:t xml:space="preserve"> (main driver of WUE; decisive where stress exists).</w:t>
      </w:r>
    </w:p>
    <w:p>
      <w:pPr>
        <w:spacing w:after="70" w:line="276"/>
        <w:ind w:left="420" w:hanging="420"/>
      </w:pPr>
      <w:r>
        <w:rPr>
          <w:rFonts w:ascii="Arial" w:cs="Arial" w:eastAsia="Arial" w:hAnsi="Arial"/>
          <w:b/>
          <w:bCs/>
          <w:sz w:val="22"/>
          <w:szCs w:val="22"/>
        </w:rPr>
        <w:t xml:space="preserve">3.  </w:t>
      </w:r>
      <w:r>
        <w:rPr>
          <w:rFonts w:ascii="Arial" w:cs="Arial" w:eastAsia="Arial" w:hAnsi="Arial"/>
          <w:b/>
          <w:bCs/>
          <w:sz w:val="22"/>
          <w:szCs w:val="22"/>
        </w:rPr>
        <w:t xml:space="preserve">Ambient temperature</w:t>
      </w:r>
      <w:r>
        <w:rPr>
          <w:rFonts w:ascii="Arial" w:cs="Arial" w:eastAsia="Arial" w:hAnsi="Arial"/>
          <w:sz w:val="22"/>
          <w:szCs w:val="22"/>
        </w:rPr>
        <w:t xml:space="preserve"> (raises WUE and the risk score).</w:t>
      </w:r>
    </w:p>
    <w:p>
      <w:pPr>
        <w:pBdr>
          <w:left w:val="single" w:color="E0A800" w:sz="18" w:space="6"/>
        </w:pBdr>
        <w:shd w:fill="FFF4D6" w:val="clear"/>
        <w:spacing w:after="140" w:before="60"/>
        <w:ind w:left="120"/>
      </w:pPr>
      <w:r>
        <w:rPr>
          <w:rFonts w:ascii="Arial" w:cs="Arial" w:eastAsia="Arial" w:hAnsi="Arial"/>
          <w:color w:val="444444"/>
          <w:sz w:val="20"/>
          <w:szCs w:val="20"/>
        </w:rPr>
        <w:t xml:space="preserve">Recommendation for the dashboard conclusion: prioritise retrofit (to hybrid or liquid cooling) or relocation for evaporative and chilled-water facilities in high-stress regions. This is where nearly all the High-risk facility-years are.</w:t>
      </w:r>
    </w:p>
    <w:p>
      <w:pPr>
        <w:pStyle w:val="Heading1"/>
        <w:spacing w:after="160" w:before="320"/>
      </w:pPr>
      <w:r>
        <w:rPr>
          <w:rFonts w:ascii="Arial" w:cs="Arial" w:eastAsia="Arial" w:hAnsi="Arial"/>
          <w:b/>
          <w:bCs/>
          <w:color w:val="1F4E79"/>
          <w:sz w:val="32"/>
          <w:szCs w:val="32"/>
        </w:rPr>
        <w:t xml:space="preserve">10. Limitations</w:t>
      </w:r>
    </w:p>
    <w:p>
      <w:pPr>
        <w:pStyle w:val="ListParagraph"/>
        <w:numPr>
          <w:ilvl w:val="0"/>
          <w:numId w:val="2"/>
        </w:numPr>
        <w:spacing w:after="60" w:line="276"/>
      </w:pPr>
      <w:r>
        <w:rPr>
          <w:rFonts w:ascii="Arial" w:cs="Arial" w:eastAsia="Arial" w:hAnsi="Arial"/>
          <w:sz w:val="22"/>
          <w:szCs w:val="22"/>
        </w:rPr>
        <w:t xml:space="preserve">Operational metrics are modelled estimates, so findings describe the model.</w:t>
      </w:r>
    </w:p>
    <w:p>
      <w:pPr>
        <w:pStyle w:val="ListParagraph"/>
        <w:numPr>
          <w:ilvl w:val="0"/>
          <w:numId w:val="2"/>
        </w:numPr>
        <w:spacing w:after="60" w:line="276"/>
      </w:pPr>
      <w:r>
        <w:rPr>
          <w:rFonts w:ascii="Arial" w:cs="Arial" w:eastAsia="Arial" w:hAnsi="Arial"/>
          <w:sz w:val="22"/>
          <w:szCs w:val="22"/>
        </w:rPr>
        <w:t xml:space="preserve">Relationships are built into the generator, so recovering them is a method check, not a discovery.</w:t>
      </w:r>
    </w:p>
    <w:p>
      <w:pPr>
        <w:pStyle w:val="ListParagraph"/>
        <w:numPr>
          <w:ilvl w:val="0"/>
          <w:numId w:val="2"/>
        </w:numPr>
        <w:spacing w:after="60" w:line="276"/>
      </w:pPr>
      <w:r>
        <w:rPr>
          <w:rFonts w:ascii="Arial" w:cs="Arial" w:eastAsia="Arial" w:hAnsi="Arial"/>
          <w:sz w:val="22"/>
          <w:szCs w:val="22"/>
        </w:rPr>
        <w:t xml:space="preserve">Stress is country-level, not basin-level.</w:t>
      </w:r>
    </w:p>
    <w:p>
      <w:pPr>
        <w:pStyle w:val="ListParagraph"/>
        <w:numPr>
          <w:ilvl w:val="0"/>
          <w:numId w:val="2"/>
        </w:numPr>
        <w:spacing w:after="60" w:line="276"/>
      </w:pPr>
      <w:r>
        <w:rPr>
          <w:rFonts w:ascii="Arial" w:cs="Arial" w:eastAsia="Arial" w:hAnsi="Arial"/>
          <w:sz w:val="22"/>
          <w:szCs w:val="22"/>
        </w:rPr>
        <w:t xml:space="preserve">The year trend is stylised and partly reflects facilities being added.</w:t>
      </w:r>
    </w:p>
    <w:p>
      <w:pPr>
        <w:pStyle w:val="ListParagraph"/>
        <w:numPr>
          <w:ilvl w:val="0"/>
          <w:numId w:val="2"/>
        </w:numPr>
        <w:spacing w:after="60" w:line="276"/>
      </w:pPr>
      <w:r>
        <w:rPr>
          <w:rFonts w:ascii="Arial" w:cs="Arial" w:eastAsia="Arial" w:hAnsi="Arial"/>
          <w:sz w:val="22"/>
          <w:szCs w:val="22"/>
        </w:rPr>
        <w:t xml:space="preserve">The High class is only 11.4% of rows, so use stratified splits and report recall.</w:t>
      </w:r>
    </w:p>
    <w:p>
      <w:pPr>
        <w:spacing w:after="120" w:line="288"/>
      </w:pPr>
      <w:r>
        <w:rPr>
          <w:rFonts w:ascii="Arial" w:cs="Arial" w:eastAsia="Arial" w:hAnsi="Arial"/>
          <w:sz w:val="22"/>
          <w:szCs w:val="22"/>
        </w:rPr>
        <w:t xml:space="preserve">Reproduce everything with aquatrace_eda.py (outputs in the eda_output folder).</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AquaTrace | Modelled estimates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6de52ec6b885c47edf211104895b4f79bedec3.jpg"/><Relationship Id="rId9" Type="http://schemas.openxmlformats.org/officeDocument/2006/relationships/image" Target="media/ce94b89b8afd316a1fa723c7ab835f7621efcbeb.jpg"/><Relationship Id="rId10" Type="http://schemas.openxmlformats.org/officeDocument/2006/relationships/image" Target="media/f28dc5627a03f30eeb5b6711dad70b7a5ecec7ea.jpg"/><Relationship Id="rId11" Type="http://schemas.openxmlformats.org/officeDocument/2006/relationships/image" Target="media/ed608b137879f26969af9eb2bd2a848132722697.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AquaTrace Member 1</dc:creator>
  <cp:lastModifiedBy>Un-named</cp:lastModifiedBy>
  <cp:revision>1</cp:revision>
  <dcterms:created xsi:type="dcterms:W3CDTF">2026-10-29T10:22:18.015Z</dcterms:created>
  <dcterms:modified xsi:type="dcterms:W3CDTF">2026-10-29T10:22:18.015Z</dcterms:modified>
</cp:coreProperties>
</file>

<file path=docProps/custom.xml><?xml version="1.0" encoding="utf-8"?>
<Properties xmlns="http://schemas.openxmlformats.org/officeDocument/2006/custom-properties" xmlns:vt="http://schemas.openxmlformats.org/officeDocument/2006/docPropsVTypes"/>
</file>