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AquaTrace: A Data-Driven Framework for Diagnosing and Prioritizing</w:t>
      </w:r>
    </w:p>
    <w:p>
      <w:pPr>
        <w:spacing w:after="40"/>
        <w:jc w:val="center"/>
      </w:pPr>
      <w:r>
        <w:rPr>
          <w:b/>
          <w:bCs/>
          <w:sz w:val="32"/>
          <w:szCs w:val="32"/>
        </w:rPr>
        <w:t xml:space="preserve">Data Center Water-Risk Using EDA and Explainable Machine Learning</w:t>
      </w:r>
    </w:p>
    <w:p>
      <w:pPr>
        <w:spacing w:after="300"/>
        <w:jc w:val="center"/>
      </w:pPr>
      <w:r>
        <w:rPr>
          <w:i/>
          <w:iCs/>
          <w:sz w:val="22"/>
          <w:szCs w:val="22"/>
        </w:rPr>
        <w:t xml:space="preserve">Mini Project — Visualization of Data, Understanding and Interpretation</w:t>
      </w:r>
    </w:p>
    <w:p>
      <w:pPr>
        <w:pStyle w:val="Heading1"/>
        <w:spacing w:after="120" w:before="280"/>
      </w:pPr>
      <w:r>
        <w:t xml:space="preserve">1. Problem Statement</w:t>
      </w:r>
    </w:p>
    <w:p>
      <w:pPr>
        <w:spacing w:after="140"/>
        <w:jc w:val="both"/>
      </w:pPr>
      <w:r>
        <w:t xml:space="preserve">Data centers, the infrastructural backbone of cloud computing and AI, consume vast volumes of water for cooling — a demand that has accelerated sharply with the rise of large-scale AI training and inference workloads. Reporting on this consumption remains sparse and inconsistent: hyperscale operators disclose only aggregate, company-level annual figures, leaving regulators, communities, and sustainability planners without facility-level visibility into where water risk is concentrated and what drives it. This opacity makes it difficult to prioritize mitigation efforts — such as cooling-technology retrofits or site relocation — in the regions and facility types where they would have the greatest impact.</w:t>
      </w:r>
    </w:p>
    <w:p>
      <w:pPr>
        <w:spacing w:after="140"/>
        <w:jc w:val="both"/>
      </w:pPr>
      <w:r>
        <w:t xml:space="preserve">This project addresses the question: which data center characteristics — cooling technology, geographic region, facility type, and capacity — most strongly predict high water-risk, and how can that insight be translated into a decision-support tool that prioritizes where intervention should happen first?</w:t>
      </w:r>
    </w:p>
    <w:p>
      <w:pPr>
        <w:pStyle w:val="Heading1"/>
        <w:spacing w:after="120" w:before="280"/>
      </w:pPr>
      <w:r>
        <w:t xml:space="preserve">2. What We Are Solving</w:t>
      </w:r>
    </w:p>
    <w:p>
      <w:pPr>
        <w:spacing w:after="140"/>
        <w:jc w:val="both"/>
      </w:pPr>
      <w:r>
        <w:t xml:space="preserve">The project does not attempt to reduce actual water consumption directly (that is an engineering and policy problem outside the scope of a data-visualization course). Instead, it solves a diagnostic and communication problem:</w:t>
      </w:r>
    </w:p>
    <w:p>
      <w:pPr>
        <w:pStyle w:val="ListParagraph"/>
        <w:numPr>
          <w:ilvl w:val="0"/>
          <w:numId w:val="2"/>
        </w:numPr>
        <w:spacing w:after="60"/>
      </w:pPr>
      <w:r>
        <w:t xml:space="preserve">Diagnosis: identifying, with statistical and model-based evidence, which factors most strongly drive data center water usage, rather than relying on anecdotal or single-company narratives.</w:t>
      </w:r>
    </w:p>
    <w:p>
      <w:pPr>
        <w:pStyle w:val="ListParagraph"/>
        <w:numPr>
          <w:ilvl w:val="0"/>
          <w:numId w:val="2"/>
        </w:numPr>
        <w:spacing w:after="60"/>
      </w:pPr>
      <w:r>
        <w:t xml:space="preserve">Cross-validation: confirming that machine-learning-derived feature importances agree with (or diverge from) traditional correlation-based EDA findings, adding rigor to the diagnosis.</w:t>
      </w:r>
    </w:p>
    <w:p>
      <w:pPr>
        <w:pStyle w:val="ListParagraph"/>
        <w:numPr>
          <w:ilvl w:val="0"/>
          <w:numId w:val="2"/>
        </w:numPr>
        <w:spacing w:after="60"/>
      </w:pPr>
      <w:r>
        <w:t xml:space="preserve">Communication: translating that diagnosis into a narrative, interactive Power BI dashboard that a non-technical stakeholder (e.g. a sustainability officer or policymaker) can use to understand the problem and see a concrete, prioritized recommendation — not just raw numbers.</w:t>
      </w:r>
    </w:p>
    <w:p>
      <w:pPr>
        <w:spacing w:after="140"/>
        <w:jc w:val="both"/>
      </w:pPr>
      <w:r>
        <w:t xml:space="preserve">In short: we are solving the problem of turning scattered, opaque water-usage data into a clear, evidence-backed, and actionable story.</w:t>
      </w:r>
    </w:p>
    <w:p>
      <w:pPr>
        <w:pStyle w:val="Heading1"/>
        <w:spacing w:after="120" w:before="280"/>
      </w:pPr>
      <w:r>
        <w:t xml:space="preserve">3. Dataset</w:t>
      </w:r>
    </w:p>
    <w:p>
      <w:pPr>
        <w:spacing w:after="100"/>
      </w:pPr>
      <w:r>
        <w:rPr>
          <w:b/>
          <w:bCs/>
        </w:rPr>
        <w:t xml:space="preserve">Primary dataset: </w:t>
      </w:r>
      <w:r>
        <w:t xml:space="preserve">“Global Data Center &amp; AI Water/Electricity Usage” (Kaggle)</w:t>
      </w:r>
    </w:p>
    <w:p>
      <w:pPr>
        <w:spacing w:after="100"/>
      </w:pPr>
      <w:r>
        <w:rPr>
          <w:b/>
          <w:bCs/>
        </w:rPr>
        <w:t xml:space="preserve">Size: </w:t>
      </w:r>
      <w:r>
        <w:t xml:space="preserve">18,110 real-world data center facilities, records spanning 2019–2025</w:t>
      </w:r>
    </w:p>
    <w:p>
      <w:pPr>
        <w:spacing w:after="100"/>
      </w:pPr>
      <w:r>
        <w:rPr>
          <w:b/>
          <w:bCs/>
        </w:rPr>
        <w:t xml:space="preserve">Key fields: </w:t>
      </w:r>
      <w:r>
        <w:t xml:space="preserve">facility location (city/country), facility type (hyperscale/enterprise), cooling system type, capacity, utilization, Power Usage Effectiveness (PUE), Water Usage Effectiveness (WUE), daily water and electricity use, regional water-stress index</w:t>
      </w:r>
    </w:p>
    <w:p>
      <w:pPr>
        <w:spacing w:after="100"/>
      </w:pPr>
      <w:r>
        <w:rPr>
          <w:b/>
          <w:bCs/>
        </w:rPr>
        <w:t xml:space="preserve">Nature of data: </w:t>
      </w:r>
      <w:r>
        <w:t xml:space="preserve">real facility names and locations; electricity/water operational metrics are industry-informed modeled estimates, since granular facility-level consumption is not publicly disclosed by operators — this limitation is stated explicitly by the dataset authors and will be acknowledged in our methodology and IEEE paper</w:t>
      </w:r>
    </w:p>
    <w:p>
      <w:pPr>
        <w:spacing w:after="100"/>
      </w:pPr>
      <w:r>
        <w:rPr>
          <w:b/>
          <w:bCs/>
        </w:rPr>
        <w:t xml:space="preserve">Supporting sources: </w:t>
      </w:r>
      <w:r>
        <w:t xml:space="preserve">The Green Grid WUE white paper (metric definition), LBNL 2024 United States Data Center Energy Usage Report, and the ACM SIGCAS/SIGCHI “Water Efficiency Dataset for African Data Centers” paper — used for literature survey and to contextualize/validate modeled figures against real-world reported ranges</w:t>
      </w:r>
    </w:p>
    <w:p>
      <w:pPr>
        <w:pStyle w:val="Heading1"/>
        <w:spacing w:after="120" w:before="280"/>
      </w:pPr>
      <w:r>
        <w:t xml:space="preserve">4. Tech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00"/>
      </w:tblGrid>
      <w:tr>
        <w:tc>
          <w:tcPr>
            <w:tcW w:type="dxa" w:w="2400"/>
            <w:shd w:fill="1F4E5F" w:val="clear"/>
            <w:vAlign w:val="center"/>
          </w:tcPr>
          <w:p>
            <w:r>
              <w:rPr>
                <w:b/>
                <w:bCs/>
                <w:color w:val="FFFFFF"/>
                <w:sz w:val="20"/>
                <w:szCs w:val="20"/>
              </w:rPr>
              <w:t xml:space="preserve">Layer</w:t>
            </w:r>
          </w:p>
        </w:tc>
        <w:tc>
          <w:tcPr>
            <w:tcW w:type="dxa" w:w="2600"/>
            <w:shd w:fill="1F4E5F" w:val="clear"/>
            <w:vAlign w:val="center"/>
          </w:tcPr>
          <w:p>
            <w:r>
              <w:rPr>
                <w:b/>
                <w:bCs/>
                <w:color w:val="FFFFFF"/>
                <w:sz w:val="20"/>
                <w:szCs w:val="20"/>
              </w:rPr>
              <w:t xml:space="preserve">Tool / Library</w:t>
            </w:r>
          </w:p>
        </w:tc>
        <w:tc>
          <w:tcPr>
            <w:tcW w:type="dxa" w:w="4300"/>
            <w:shd w:fill="1F4E5F" w:val="clear"/>
            <w:vAlign w:val="center"/>
          </w:tcPr>
          <w:p>
            <w:r>
              <w:rPr>
                <w:b/>
                <w:bCs/>
                <w:color w:val="FFFFFF"/>
                <w:sz w:val="20"/>
                <w:szCs w:val="20"/>
              </w:rPr>
              <w:t xml:space="preserve">Purpose</w:t>
            </w:r>
          </w:p>
        </w:tc>
      </w:tr>
      <w:tr>
        <w:tc>
          <w:tcPr>
            <w:tcW w:type="dxa" w:w="2400"/>
            <w:vAlign w:val="center"/>
          </w:tcPr>
          <w:p>
            <w:r>
              <w:rPr>
                <w:b w:val="false"/>
                <w:bCs w:val="false"/>
                <w:sz w:val="20"/>
                <w:szCs w:val="20"/>
              </w:rPr>
              <w:t xml:space="preserve">Data handling &amp; EDA</w:t>
            </w:r>
          </w:p>
        </w:tc>
        <w:tc>
          <w:tcPr>
            <w:tcW w:type="dxa" w:w="2600"/>
            <w:vAlign w:val="center"/>
          </w:tcPr>
          <w:p>
            <w:r>
              <w:rPr>
                <w:b w:val="false"/>
                <w:bCs w:val="false"/>
                <w:sz w:val="20"/>
                <w:szCs w:val="20"/>
              </w:rPr>
              <w:t xml:space="preserve">Python (Pandas, NumPy)</w:t>
            </w:r>
          </w:p>
        </w:tc>
        <w:tc>
          <w:tcPr>
            <w:tcW w:type="dxa" w:w="4300"/>
            <w:vAlign w:val="center"/>
          </w:tcPr>
          <w:p>
            <w:r>
              <w:rPr>
                <w:b w:val="false"/>
                <w:bCs w:val="false"/>
                <w:sz w:val="20"/>
                <w:szCs w:val="20"/>
              </w:rPr>
              <w:t xml:space="preserve">Cleaning, transformation, correlation analysis</w:t>
            </w:r>
          </w:p>
        </w:tc>
      </w:tr>
      <w:tr>
        <w:tc>
          <w:tcPr>
            <w:tcW w:type="dxa" w:w="2400"/>
            <w:vAlign w:val="center"/>
          </w:tcPr>
          <w:p>
            <w:r>
              <w:rPr>
                <w:b w:val="false"/>
                <w:bCs w:val="false"/>
                <w:sz w:val="20"/>
                <w:szCs w:val="20"/>
              </w:rPr>
              <w:t xml:space="preserve">Visualization (EDA)</w:t>
            </w:r>
          </w:p>
        </w:tc>
        <w:tc>
          <w:tcPr>
            <w:tcW w:type="dxa" w:w="2600"/>
            <w:vAlign w:val="center"/>
          </w:tcPr>
          <w:p>
            <w:r>
              <w:rPr>
                <w:b w:val="false"/>
                <w:bCs w:val="false"/>
                <w:sz w:val="20"/>
                <w:szCs w:val="20"/>
              </w:rPr>
              <w:t xml:space="preserve">Matplotlib, Seaborn</w:t>
            </w:r>
          </w:p>
        </w:tc>
        <w:tc>
          <w:tcPr>
            <w:tcW w:type="dxa" w:w="4300"/>
            <w:vAlign w:val="center"/>
          </w:tcPr>
          <w:p>
            <w:r>
              <w:rPr>
                <w:b w:val="false"/>
                <w:bCs w:val="false"/>
                <w:sz w:val="20"/>
                <w:szCs w:val="20"/>
              </w:rPr>
              <w:t xml:space="preserve">Exploratory charts during analysis phase</w:t>
            </w:r>
          </w:p>
        </w:tc>
      </w:tr>
      <w:tr>
        <w:tc>
          <w:tcPr>
            <w:tcW w:type="dxa" w:w="2400"/>
            <w:vAlign w:val="center"/>
          </w:tcPr>
          <w:p>
            <w:r>
              <w:rPr>
                <w:b w:val="false"/>
                <w:bCs w:val="false"/>
                <w:sz w:val="20"/>
                <w:szCs w:val="20"/>
              </w:rPr>
              <w:t xml:space="preserve">Machine Learning</w:t>
            </w:r>
          </w:p>
        </w:tc>
        <w:tc>
          <w:tcPr>
            <w:tcW w:type="dxa" w:w="2600"/>
            <w:vAlign w:val="center"/>
          </w:tcPr>
          <w:p>
            <w:r>
              <w:rPr>
                <w:b w:val="false"/>
                <w:bCs w:val="false"/>
                <w:sz w:val="20"/>
                <w:szCs w:val="20"/>
              </w:rPr>
              <w:t xml:space="preserve">scikit-learn, XGBoost</w:t>
            </w:r>
          </w:p>
        </w:tc>
        <w:tc>
          <w:tcPr>
            <w:tcW w:type="dxa" w:w="4300"/>
            <w:vAlign w:val="center"/>
          </w:tcPr>
          <w:p>
            <w:r>
              <w:rPr>
                <w:b w:val="false"/>
                <w:bCs w:val="false"/>
                <w:sz w:val="20"/>
                <w:szCs w:val="20"/>
              </w:rPr>
              <w:t xml:space="preserve">Risk-tier classification, feature importance / SHAP</w:t>
            </w:r>
          </w:p>
        </w:tc>
      </w:tr>
      <w:tr>
        <w:tc>
          <w:tcPr>
            <w:tcW w:type="dxa" w:w="2400"/>
            <w:vAlign w:val="center"/>
          </w:tcPr>
          <w:p>
            <w:r>
              <w:rPr>
                <w:b w:val="false"/>
                <w:bCs w:val="false"/>
                <w:sz w:val="20"/>
                <w:szCs w:val="20"/>
              </w:rPr>
              <w:t xml:space="preserve">Dashboard</w:t>
            </w:r>
          </w:p>
        </w:tc>
        <w:tc>
          <w:tcPr>
            <w:tcW w:type="dxa" w:w="2600"/>
            <w:vAlign w:val="center"/>
          </w:tcPr>
          <w:p>
            <w:r>
              <w:rPr>
                <w:b w:val="false"/>
                <w:bCs w:val="false"/>
                <w:sz w:val="20"/>
                <w:szCs w:val="20"/>
              </w:rPr>
              <w:t xml:space="preserve">Microsoft Power BI Desktop</w:t>
            </w:r>
          </w:p>
        </w:tc>
        <w:tc>
          <w:tcPr>
            <w:tcW w:type="dxa" w:w="4300"/>
            <w:vAlign w:val="center"/>
          </w:tcPr>
          <w:p>
            <w:r>
              <w:rPr>
                <w:b w:val="false"/>
                <w:bCs w:val="false"/>
                <w:sz w:val="20"/>
                <w:szCs w:val="20"/>
              </w:rPr>
              <w:t xml:space="preserve">Final 3–5 visual narrative dashboard, Key Influencers visual, DAX measures</w:t>
            </w:r>
          </w:p>
        </w:tc>
      </w:tr>
      <w:tr>
        <w:tc>
          <w:tcPr>
            <w:tcW w:type="dxa" w:w="2400"/>
            <w:vAlign w:val="center"/>
          </w:tcPr>
          <w:p>
            <w:r>
              <w:rPr>
                <w:b w:val="false"/>
                <w:bCs w:val="false"/>
                <w:sz w:val="20"/>
                <w:szCs w:val="20"/>
              </w:rPr>
              <w:t xml:space="preserve">Collaboration</w:t>
            </w:r>
          </w:p>
        </w:tc>
        <w:tc>
          <w:tcPr>
            <w:tcW w:type="dxa" w:w="2600"/>
            <w:vAlign w:val="center"/>
          </w:tcPr>
          <w:p>
            <w:r>
              <w:rPr>
                <w:b w:val="false"/>
                <w:bCs w:val="false"/>
                <w:sz w:val="20"/>
                <w:szCs w:val="20"/>
              </w:rPr>
              <w:t xml:space="preserve">Google Colab / Jupyter, GitHub</w:t>
            </w:r>
          </w:p>
        </w:tc>
        <w:tc>
          <w:tcPr>
            <w:tcW w:type="dxa" w:w="4300"/>
            <w:vAlign w:val="center"/>
          </w:tcPr>
          <w:p>
            <w:r>
              <w:rPr>
                <w:b w:val="false"/>
                <w:bCs w:val="false"/>
                <w:sz w:val="20"/>
                <w:szCs w:val="20"/>
              </w:rPr>
              <w:t xml:space="preserve">Shared notebooks and version control</w:t>
            </w:r>
          </w:p>
        </w:tc>
      </w:tr>
      <w:tr>
        <w:tc>
          <w:tcPr>
            <w:tcW w:type="dxa" w:w="2400"/>
            <w:vAlign w:val="center"/>
          </w:tcPr>
          <w:p>
            <w:r>
              <w:rPr>
                <w:b w:val="false"/>
                <w:bCs w:val="false"/>
                <w:sz w:val="20"/>
                <w:szCs w:val="20"/>
              </w:rPr>
              <w:t xml:space="preserve">Documentation</w:t>
            </w:r>
          </w:p>
        </w:tc>
        <w:tc>
          <w:tcPr>
            <w:tcW w:type="dxa" w:w="2600"/>
            <w:vAlign w:val="center"/>
          </w:tcPr>
          <w:p>
            <w:r>
              <w:rPr>
                <w:b w:val="false"/>
                <w:bCs w:val="false"/>
                <w:sz w:val="20"/>
                <w:szCs w:val="20"/>
              </w:rPr>
              <w:t xml:space="preserve">Overleaf (IEEE template), PowerPoint</w:t>
            </w:r>
          </w:p>
        </w:tc>
        <w:tc>
          <w:tcPr>
            <w:tcW w:type="dxa" w:w="4300"/>
            <w:vAlign w:val="center"/>
          </w:tcPr>
          <w:p>
            <w:r>
              <w:rPr>
                <w:b w:val="false"/>
                <w:bCs w:val="false"/>
                <w:sz w:val="20"/>
                <w:szCs w:val="20"/>
              </w:rPr>
              <w:t xml:space="preserve">IEEE draft paper and presentation</w:t>
            </w:r>
          </w:p>
        </w:tc>
      </w:tr>
    </w:tbl>
    <w:p>
      <w:pPr>
        <w:spacing w:after="200"/>
      </w:pPr>
    </w:p>
    <w:p>
      <w:pPr>
        <w:pStyle w:val="Heading1"/>
        <w:spacing w:after="120" w:before="280"/>
      </w:pPr>
      <w:r>
        <w:t xml:space="preserve">5. Team Division and Task Breakdown (4 members)</w:t>
      </w:r>
    </w:p>
    <w:p>
      <w:pPr>
        <w:pStyle w:val="Heading2"/>
        <w:spacing w:after="100" w:before="200"/>
      </w:pPr>
      <w:r>
        <w:t xml:space="preserve">Member 1 — EDA &amp; Data Engineering Lead</w:t>
      </w:r>
    </w:p>
    <w:p>
      <w:pPr>
        <w:pStyle w:val="ListParagraph"/>
        <w:numPr>
          <w:ilvl w:val="0"/>
          <w:numId w:val="2"/>
        </w:numPr>
        <w:spacing w:after="60"/>
      </w:pPr>
      <w:r>
        <w:t xml:space="preserve">Acquire and clean the Kaggle Global Data Center &amp; AI Water/Electricity Usage dataset (18,110 records)</w:t>
      </w:r>
    </w:p>
    <w:p>
      <w:pPr>
        <w:pStyle w:val="ListParagraph"/>
        <w:numPr>
          <w:ilvl w:val="0"/>
          <w:numId w:val="2"/>
        </w:numPr>
        <w:spacing w:after="60"/>
      </w:pPr>
      <w:r>
        <w:t xml:space="preserve">Handle missing values, outliers, and unit inconsistencies across PUE, WUE, capacity, and region fields</w:t>
      </w:r>
    </w:p>
    <w:p>
      <w:pPr>
        <w:pStyle w:val="ListParagraph"/>
        <w:numPr>
          <w:ilvl w:val="0"/>
          <w:numId w:val="2"/>
        </w:numPr>
        <w:spacing w:after="60"/>
      </w:pPr>
      <w:r>
        <w:t xml:space="preserve">Perform exploratory correlation analysis: WUE vs cooling technology, WUE vs regional water-stress index, WUE vs facility type and capacity</w:t>
      </w:r>
    </w:p>
    <w:p>
      <w:pPr>
        <w:pStyle w:val="ListParagraph"/>
        <w:numPr>
          <w:ilvl w:val="0"/>
          <w:numId w:val="2"/>
        </w:numPr>
        <w:spacing w:after="60"/>
      </w:pPr>
      <w:r>
        <w:t xml:space="preserve">Identify and document the top 2–3 quantitative drivers of high water consumption</w:t>
      </w:r>
    </w:p>
    <w:p>
      <w:pPr>
        <w:pStyle w:val="ListParagraph"/>
        <w:numPr>
          <w:ilvl w:val="0"/>
          <w:numId w:val="2"/>
        </w:numPr>
        <w:spacing w:after="60"/>
      </w:pPr>
      <w:r>
        <w:t xml:space="preserve">Prepare the cleaned, feature-engineered CSV handoff for the ML lead</w:t>
      </w:r>
    </w:p>
    <w:p>
      <w:pPr>
        <w:pStyle w:val="ListParagraph"/>
        <w:numPr>
          <w:ilvl w:val="0"/>
          <w:numId w:val="2"/>
        </w:numPr>
        <w:spacing w:after="60"/>
      </w:pPr>
      <w:r>
        <w:t xml:space="preserve">Co-author literature survey papers (2)</w:t>
      </w:r>
    </w:p>
    <w:p>
      <w:pPr>
        <w:pStyle w:val="Heading2"/>
        <w:spacing w:after="100" w:before="200"/>
      </w:pPr>
      <w:r>
        <w:t xml:space="preserve">Member 2 — ML Lead</w:t>
      </w:r>
    </w:p>
    <w:p>
      <w:pPr>
        <w:pStyle w:val="ListParagraph"/>
        <w:numPr>
          <w:ilvl w:val="0"/>
          <w:numId w:val="2"/>
        </w:numPr>
        <w:spacing w:after="60"/>
      </w:pPr>
      <w:r>
        <w:t xml:space="preserve">Define the water-risk target variable (Low / Medium / High tiers, water-stress-weighted WUE thresholds)</w:t>
      </w:r>
    </w:p>
    <w:p>
      <w:pPr>
        <w:pStyle w:val="ListParagraph"/>
        <w:numPr>
          <w:ilvl w:val="0"/>
          <w:numId w:val="2"/>
        </w:numPr>
        <w:spacing w:after="60"/>
      </w:pPr>
      <w:r>
        <w:t xml:space="preserve">Train and tune a classifier (Logistic Regression baseline, XGBoost as primary model)</w:t>
      </w:r>
    </w:p>
    <w:p>
      <w:pPr>
        <w:pStyle w:val="ListParagraph"/>
        <w:numPr>
          <w:ilvl w:val="0"/>
          <w:numId w:val="2"/>
        </w:numPr>
        <w:spacing w:after="60"/>
      </w:pPr>
      <w:r>
        <w:t xml:space="preserve">Evaluate model performance (accuracy, F1, confusion matrix) and select the final model</w:t>
      </w:r>
    </w:p>
    <w:p>
      <w:pPr>
        <w:pStyle w:val="ListParagraph"/>
        <w:numPr>
          <w:ilvl w:val="0"/>
          <w:numId w:val="2"/>
        </w:numPr>
        <w:spacing w:after="60"/>
      </w:pPr>
      <w:r>
        <w:t xml:space="preserve">Extract feature importances / SHAP values for cross-validation against EDA findings</w:t>
      </w:r>
    </w:p>
    <w:p>
      <w:pPr>
        <w:pStyle w:val="ListParagraph"/>
        <w:numPr>
          <w:ilvl w:val="0"/>
          <w:numId w:val="2"/>
        </w:numPr>
        <w:spacing w:after="60"/>
      </w:pPr>
      <w:r>
        <w:t xml:space="preserve">Export predictions, confidence scores, and feature importances as Power BI–ready CSV</w:t>
      </w:r>
    </w:p>
    <w:p>
      <w:pPr>
        <w:pStyle w:val="ListParagraph"/>
        <w:numPr>
          <w:ilvl w:val="0"/>
          <w:numId w:val="2"/>
        </w:numPr>
        <w:spacing w:after="60"/>
      </w:pPr>
      <w:r>
        <w:t xml:space="preserve">Co-author literature survey papers (2)</w:t>
      </w:r>
    </w:p>
    <w:p>
      <w:pPr>
        <w:pStyle w:val="Heading2"/>
        <w:spacing w:after="100" w:before="200"/>
      </w:pPr>
      <w:r>
        <w:t xml:space="preserve">Member 3 — Power BI &amp; Visualization Lead</w:t>
      </w:r>
    </w:p>
    <w:p>
      <w:pPr>
        <w:pStyle w:val="ListParagraph"/>
        <w:numPr>
          <w:ilvl w:val="0"/>
          <w:numId w:val="2"/>
        </w:numPr>
        <w:spacing w:after="60"/>
      </w:pPr>
      <w:r>
        <w:t xml:space="preserve">Design the dashboard narrative arc: Hook → Build-up → Insight → Conclusion</w:t>
      </w:r>
    </w:p>
    <w:p>
      <w:pPr>
        <w:pStyle w:val="ListParagraph"/>
        <w:numPr>
          <w:ilvl w:val="0"/>
          <w:numId w:val="2"/>
        </w:numPr>
        <w:spacing w:after="60"/>
      </w:pPr>
      <w:r>
        <w:t xml:space="preserve">Build the 3–5 core visuals: trend chart, cooling-technology comparison, region/water-stress chart</w:t>
      </w:r>
    </w:p>
    <w:p>
      <w:pPr>
        <w:pStyle w:val="ListParagraph"/>
        <w:numPr>
          <w:ilvl w:val="0"/>
          <w:numId w:val="2"/>
        </w:numPr>
        <w:spacing w:after="60"/>
      </w:pPr>
      <w:r>
        <w:t xml:space="preserve">Configure the native Key Influencers visual using ML-exported feature importances</w:t>
      </w:r>
    </w:p>
    <w:p>
      <w:pPr>
        <w:pStyle w:val="ListParagraph"/>
        <w:numPr>
          <w:ilvl w:val="0"/>
          <w:numId w:val="2"/>
        </w:numPr>
        <w:spacing w:after="60"/>
      </w:pPr>
      <w:r>
        <w:t xml:space="preserve">Apply consistent colour encoding for risk tiers across all visuals; add slicers (region, cooling type, year)</w:t>
      </w:r>
    </w:p>
    <w:p>
      <w:pPr>
        <w:pStyle w:val="ListParagraph"/>
        <w:numPr>
          <w:ilvl w:val="0"/>
          <w:numId w:val="2"/>
        </w:numPr>
        <w:spacing w:after="60"/>
      </w:pPr>
      <w:r>
        <w:t xml:space="preserve">Polish layout, labelling, and the final recommendation callout card</w:t>
      </w:r>
    </w:p>
    <w:p>
      <w:pPr>
        <w:pStyle w:val="ListParagraph"/>
        <w:numPr>
          <w:ilvl w:val="0"/>
          <w:numId w:val="2"/>
        </w:numPr>
        <w:spacing w:after="60"/>
      </w:pPr>
      <w:r>
        <w:t xml:space="preserve">Co-author literature survey papers (2)</w:t>
      </w:r>
    </w:p>
    <w:p>
      <w:pPr>
        <w:pStyle w:val="Heading2"/>
        <w:spacing w:after="100" w:before="200"/>
      </w:pPr>
      <w:r>
        <w:t xml:space="preserve">Member 4 — Documentation &amp; IEEE Paper Lead</w:t>
      </w:r>
    </w:p>
    <w:p>
      <w:pPr>
        <w:pStyle w:val="ListParagraph"/>
        <w:numPr>
          <w:ilvl w:val="0"/>
          <w:numId w:val="2"/>
        </w:numPr>
        <w:spacing w:after="60"/>
      </w:pPr>
      <w:r>
        <w:t xml:space="preserve">Coordinate and compile the literature survey (8 papers total, 2 per member)</w:t>
      </w:r>
    </w:p>
    <w:p>
      <w:pPr>
        <w:pStyle w:val="ListParagraph"/>
        <w:numPr>
          <w:ilvl w:val="0"/>
          <w:numId w:val="2"/>
        </w:numPr>
        <w:spacing w:after="60"/>
      </w:pPr>
      <w:r>
        <w:t xml:space="preserve">Draft the IEEE paper structure: Abstract, Introduction, Related Work, Methodology, Results, Conclusion</w:t>
      </w:r>
    </w:p>
    <w:p>
      <w:pPr>
        <w:pStyle w:val="ListParagraph"/>
        <w:numPr>
          <w:ilvl w:val="0"/>
          <w:numId w:val="2"/>
        </w:numPr>
        <w:spacing w:after="60"/>
      </w:pPr>
      <w:r>
        <w:t xml:space="preserve">Write the results and discussion sections in collaboration with the EDA and ML leads</w:t>
      </w:r>
    </w:p>
    <w:p>
      <w:pPr>
        <w:pStyle w:val="ListParagraph"/>
        <w:numPr>
          <w:ilvl w:val="0"/>
          <w:numId w:val="2"/>
        </w:numPr>
        <w:spacing w:after="60"/>
      </w:pPr>
      <w:r>
        <w:t xml:space="preserve">Prepare the presentation (PPT) aligned with the dashboard narrative</w:t>
      </w:r>
    </w:p>
    <w:p>
      <w:pPr>
        <w:pStyle w:val="ListParagraph"/>
        <w:numPr>
          <w:ilvl w:val="0"/>
          <w:numId w:val="2"/>
        </w:numPr>
        <w:spacing w:after="60"/>
      </w:pPr>
      <w:r>
        <w:t xml:space="preserve">Manage the 3 review submissions and consolidate all deliverables before each deadline</w:t>
      </w:r>
    </w:p>
    <w:p>
      <w:pPr>
        <w:pStyle w:val="ListParagraph"/>
        <w:numPr>
          <w:ilvl w:val="0"/>
          <w:numId w:val="2"/>
        </w:numPr>
        <w:spacing w:after="60"/>
      </w:pPr>
      <w:r>
        <w:t xml:space="preserve">Co-author literature survey papers (2)</w:t>
      </w:r>
    </w:p>
    <w:p>
      <w:pPr>
        <w:spacing w:after="140"/>
        <w:jc w:val="both"/>
      </w:pPr>
      <w:r>
        <w:t xml:space="preserve">All four members jointly own the narrative design review (ensuring the dashboard reads as a connected story) and the final integration pass before each of the three scheduled reviews (Week 6, Week 10, Week 12).</w:t>
      </w:r>
    </w:p>
    <w:p>
      <w:pPr>
        <w:pStyle w:val="Heading1"/>
        <w:spacing w:after="120" w:before="280"/>
      </w:pPr>
      <w:r>
        <w:t xml:space="preserve">6. Methodology — Narrative Arc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c>
          <w:tcPr>
            <w:tcW w:type="dxa" w:w="2000"/>
            <w:shd w:fill="1F4E5F" w:val="clear"/>
            <w:vAlign w:val="center"/>
          </w:tcPr>
          <w:p>
            <w:r>
              <w:rPr>
                <w:b/>
                <w:bCs/>
                <w:color w:val="FFFFFF"/>
                <w:sz w:val="20"/>
                <w:szCs w:val="20"/>
              </w:rPr>
              <w:t xml:space="preserve">Stage</w:t>
            </w:r>
          </w:p>
        </w:tc>
        <w:tc>
          <w:tcPr>
            <w:tcW w:type="dxa" w:w="7300"/>
            <w:shd w:fill="1F4E5F" w:val="clear"/>
            <w:vAlign w:val="center"/>
          </w:tcPr>
          <w:p>
            <w:r>
              <w:rPr>
                <w:b/>
                <w:bCs/>
                <w:color w:val="FFFFFF"/>
                <w:sz w:val="20"/>
                <w:szCs w:val="20"/>
              </w:rPr>
              <w:t xml:space="preserve">Content</w:t>
            </w:r>
          </w:p>
        </w:tc>
      </w:tr>
      <w:tr>
        <w:tc>
          <w:tcPr>
            <w:tcW w:type="dxa" w:w="2000"/>
            <w:vAlign w:val="center"/>
          </w:tcPr>
          <w:p>
            <w:r>
              <w:rPr>
                <w:b w:val="false"/>
                <w:bCs w:val="false"/>
                <w:sz w:val="20"/>
                <w:szCs w:val="20"/>
              </w:rPr>
              <w:t xml:space="preserve">Hook</w:t>
            </w:r>
          </w:p>
        </w:tc>
        <w:tc>
          <w:tcPr>
            <w:tcW w:type="dxa" w:w="7300"/>
            <w:vAlign w:val="center"/>
          </w:tcPr>
          <w:p>
            <w:r>
              <w:rPr>
                <w:b w:val="false"/>
                <w:bCs w:val="false"/>
                <w:sz w:val="20"/>
                <w:szCs w:val="20"/>
              </w:rPr>
              <w:t xml:space="preserve">Global/regional water consumption trend (2019–2025), framed against the growth of AI-driven data center capacity</w:t>
            </w:r>
          </w:p>
        </w:tc>
      </w:tr>
      <w:tr>
        <w:tc>
          <w:tcPr>
            <w:tcW w:type="dxa" w:w="2000"/>
            <w:vAlign w:val="center"/>
          </w:tcPr>
          <w:p>
            <w:r>
              <w:rPr>
                <w:b w:val="false"/>
                <w:bCs w:val="false"/>
                <w:sz w:val="20"/>
                <w:szCs w:val="20"/>
              </w:rPr>
              <w:t xml:space="preserve">Build-up</w:t>
            </w:r>
          </w:p>
        </w:tc>
        <w:tc>
          <w:tcPr>
            <w:tcW w:type="dxa" w:w="7300"/>
            <w:vAlign w:val="center"/>
          </w:tcPr>
          <w:p>
            <w:r>
              <w:rPr>
                <w:b w:val="false"/>
                <w:bCs w:val="false"/>
                <w:sz w:val="20"/>
                <w:szCs w:val="20"/>
              </w:rPr>
              <w:t xml:space="preserve">WUE by cooling technology; WUE by region/water-stress level — EDA-driven correlation charts</w:t>
            </w:r>
          </w:p>
        </w:tc>
      </w:tr>
      <w:tr>
        <w:tc>
          <w:tcPr>
            <w:tcW w:type="dxa" w:w="2000"/>
            <w:vAlign w:val="center"/>
          </w:tcPr>
          <w:p>
            <w:r>
              <w:rPr>
                <w:b w:val="false"/>
                <w:bCs w:val="false"/>
                <w:sz w:val="20"/>
                <w:szCs w:val="20"/>
              </w:rPr>
              <w:t xml:space="preserve">Insight</w:t>
            </w:r>
          </w:p>
        </w:tc>
        <w:tc>
          <w:tcPr>
            <w:tcW w:type="dxa" w:w="7300"/>
            <w:vAlign w:val="center"/>
          </w:tcPr>
          <w:p>
            <w:r>
              <w:rPr>
                <w:b w:val="false"/>
                <w:bCs w:val="false"/>
                <w:sz w:val="20"/>
                <w:szCs w:val="20"/>
              </w:rPr>
              <w:t xml:space="preserve">Key Influencers visual, populated from the classifier's feature importances, cross-validated against the EDA correlations</w:t>
            </w:r>
          </w:p>
        </w:tc>
      </w:tr>
      <w:tr>
        <w:tc>
          <w:tcPr>
            <w:tcW w:type="dxa" w:w="2000"/>
            <w:vAlign w:val="center"/>
          </w:tcPr>
          <w:p>
            <w:r>
              <w:rPr>
                <w:b w:val="false"/>
                <w:bCs w:val="false"/>
                <w:sz w:val="20"/>
                <w:szCs w:val="20"/>
              </w:rPr>
              <w:t xml:space="preserve">Conclusion</w:t>
            </w:r>
          </w:p>
        </w:tc>
        <w:tc>
          <w:tcPr>
            <w:tcW w:type="dxa" w:w="7300"/>
            <w:vAlign w:val="center"/>
          </w:tcPr>
          <w:p>
            <w:r>
              <w:rPr>
                <w:b w:val="false"/>
                <w:bCs w:val="false"/>
                <w:sz w:val="20"/>
                <w:szCs w:val="20"/>
              </w:rPr>
              <w:t xml:space="preserve">A highlighted recommendation — e.g. prioritizing retrofit or relocation for evaporative-cooled facilities sited in high-water-stress regions</w:t>
            </w:r>
          </w:p>
        </w:tc>
      </w:tr>
    </w:tbl>
    <w:p>
      <w:pPr>
        <w:spacing w:after="200"/>
      </w:pPr>
    </w:p>
    <w:p>
      <w:pPr>
        <w:pStyle w:val="Heading1"/>
        <w:spacing w:after="120" w:before="280"/>
      </w:pPr>
      <w:r>
        <w:t xml:space="preserve">7. Proposed Novelties for the IEEE Draft Paper</w:t>
      </w:r>
    </w:p>
    <w:p>
      <w:pPr>
        <w:spacing w:after="140"/>
        <w:jc w:val="both"/>
      </w:pPr>
      <w:r>
        <w:t xml:space="preserve">A mini-project built on a public/modeled dataset needs a clearly stated contribution to justify an IEEE-style paper rather than a pure course report. We propose framing the novelty around the following angles:</w:t>
      </w:r>
    </w:p>
    <w:p>
      <w:pPr>
        <w:pStyle w:val="ListParagraph"/>
        <w:numPr>
          <w:ilvl w:val="0"/>
          <w:numId w:val="2"/>
        </w:numPr>
        <w:spacing w:after="60"/>
      </w:pPr>
      <w:r>
        <w:t xml:space="preserve">Dual-method validation framework: rather than presenting either correlation analysis or ML feature importance alone, the paper's core contribution is a cross-validation methodology — explicitly comparing statistical (EDA) and model-based (XGBoost/SHAP) evidence for what drives data center water-risk, and reporting where the two methods agree or diverge.</w:t>
      </w:r>
    </w:p>
    <w:p>
      <w:pPr>
        <w:pStyle w:val="ListParagraph"/>
        <w:numPr>
          <w:ilvl w:val="0"/>
          <w:numId w:val="2"/>
        </w:numPr>
        <w:spacing w:after="60"/>
      </w:pPr>
      <w:r>
        <w:t xml:space="preserve">Water-stress-weighted risk tiering: instead of classifying facilities purely by raw WUE thresholds (the industry-standard approach), we weight the classification by the regional water-stress index — arguing that identical WUE values carry different real-world risk depending on local water scarcity. This reframes “high water use” as “high water risk,” which is the more policy-relevant framing.</w:t>
      </w:r>
    </w:p>
    <w:p>
      <w:pPr>
        <w:pStyle w:val="ListParagraph"/>
        <w:numPr>
          <w:ilvl w:val="0"/>
          <w:numId w:val="2"/>
        </w:numPr>
        <w:spacing w:after="60"/>
      </w:pPr>
      <w:r>
        <w:t xml:space="preserve">Decision-support translation layer: most existing WUE research (Green Grid, LBNL, academic surveys) stops at metric definition and aggregate reporting. This paper explicitly closes the gap between analysis and action by delivering a lightweight, interactive prioritization tool (the Power BI dashboard with Key Influencers) intended for non-technical sustainability stakeholders — positioning the contribution as applied decision support, not just analysis.</w:t>
      </w:r>
    </w:p>
    <w:p>
      <w:pPr>
        <w:pStyle w:val="ListParagraph"/>
        <w:numPr>
          <w:ilvl w:val="0"/>
          <w:numId w:val="2"/>
        </w:numPr>
        <w:spacing w:after="60"/>
      </w:pPr>
      <w:r>
        <w:t xml:space="preserve">Transparent treatment of data limitations: explicitly documenting and discussing the synthetic/modeled nature of the operational data (a known limitation across nearly all public data center water datasets, as found in our literature survey) and proposing how the same pipeline would generalize to real disclosed data if operators released it — turning a dataset limitation into a discussed methodological contribution.</w:t>
      </w:r>
    </w:p>
    <w:p>
      <w:pPr>
        <w:spacing w:after="140"/>
        <w:jc w:val="both"/>
      </w:pPr>
      <w:r>
        <w:t xml:space="preserve">Together, these four angles let the paper claim a genuine (if modest) contribution — a validated, risk-weighted, decision-oriented methodology — while staying honest about the scope and limitations appropriate for a mini-project.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2026-08-31T12:38:31.474Z</dcterms:created>
  <dcterms:modified xsi:type="dcterms:W3CDTF">2026-08-31T12:38:31.487Z</dcterms:modified>
</cp:coreProperties>
</file>

<file path=docProps/custom.xml><?xml version="1.0" encoding="utf-8"?>
<Properties xmlns="http://schemas.openxmlformats.org/officeDocument/2006/custom-properties" xmlns:vt="http://schemas.openxmlformats.org/officeDocument/2006/docPropsVTypes"/>
</file>