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Code-Layout, Readability and Reusability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30 September 2026</w:t>
            </w:r>
          </w:p>
        </w:tc>
      </w:tr>
      <w:tr>
        <w:tc>
          <w:tcPr>
            <w:tcW w:type="dxa" w:w="5472"/>
          </w:tcPr>
          <w:p>
            <w:r>
              <w:rPr>
                <w:sz w:val="18"/>
              </w:rPr>
              <w:t>Team ID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6ab61f20856a6a91bc3888a6</w:t>
            </w:r>
          </w:p>
        </w:tc>
      </w:tr>
      <w:tr>
        <w:tc>
          <w:tcPr>
            <w:tcW w:type="dxa" w:w="5472"/>
          </w:tcPr>
          <w:p>
            <w:r>
              <w:rPr>
                <w:sz w:val="18"/>
              </w:rPr>
              <w:t>Project Name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LegalEase: AI-Powered Legal Document Generator</w:t>
            </w:r>
          </w:p>
        </w:tc>
      </w:tr>
      <w:tr>
        <w:tc>
          <w:tcPr>
            <w:tcW w:type="dxa" w:w="5472"/>
          </w:tcPr>
          <w:p>
            <w:r>
              <w:rPr>
                <w:sz w:val="18"/>
              </w:rPr>
              <w:t>Maximum Marks</w:t>
            </w:r>
          </w:p>
        </w:tc>
        <w:tc>
          <w:tcPr>
            <w:tcW w:type="dxa" w:w="5472"/>
          </w:tcPr>
          <w:p>
            <w:r>
              <w:rPr>
                <w:sz w:val="18"/>
              </w:rPr>
              <w:t>5 Marks</w:t>
            </w:r>
          </w:p>
        </w:tc>
      </w:tr>
    </w:tbl>
    <w:p>
      <w:r>
        <w:rPr>
          <w:b/>
          <w:sz w:val="22"/>
        </w:rPr>
        <w:t>Code-Layout, Readability and Reusability:</w:t>
      </w:r>
    </w:p>
    <w:p>
      <w:r>
        <w:rPr>
          <w:sz w:val="18"/>
        </w:rPr>
        <w:t>This document evaluates the quality of the LegalEase codebase in terms of its structure, readability, and reusability.</w:t>
      </w:r>
    </w:p>
    <w:p>
      <w:r>
        <w:rPr>
          <w:sz w:val="18"/>
        </w:rPr>
        <w:t>Well-organized code with proper naming conventions, comments, and modular design ensures that the project is maintainable and can be extended or reused in future development.</w:t>
      </w:r>
    </w:p>
    <w:p>
      <w:r>
        <w:rPr>
          <w:b/>
          <w:sz w:val="22"/>
        </w:rPr>
        <w:t>Code Layout Checklist: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pPr>
              <w:jc w:val="center"/>
            </w:pPr>
            <w:r>
              <w:rPr>
                <w:b/>
                <w:sz w:val="15"/>
              </w:rPr>
              <w:t>S.No</w:t>
            </w:r>
          </w:p>
        </w:tc>
        <w:tc>
          <w:tcPr>
            <w:tcW w:type="dxa" w:w="2189"/>
          </w:tcPr>
          <w:p>
            <w:pPr>
              <w:jc w:val="center"/>
            </w:pPr>
            <w:r>
              <w:rPr>
                <w:b/>
                <w:sz w:val="15"/>
              </w:rPr>
              <w:t>Code Quality Parameter</w:t>
            </w:r>
          </w:p>
        </w:tc>
        <w:tc>
          <w:tcPr>
            <w:tcW w:type="dxa" w:w="2189"/>
          </w:tcPr>
          <w:p>
            <w:pPr>
              <w:jc w:val="center"/>
            </w:pPr>
            <w:r>
              <w:rPr>
                <w:b/>
                <w:sz w:val="15"/>
              </w:rPr>
              <w:t>Description</w:t>
            </w:r>
          </w:p>
        </w:tc>
        <w:tc>
          <w:tcPr>
            <w:tcW w:type="dxa" w:w="2189"/>
          </w:tcPr>
          <w:p>
            <w:pPr>
              <w:jc w:val="center"/>
            </w:pPr>
            <w:r>
              <w:rPr>
                <w:b/>
                <w:sz w:val="15"/>
              </w:rPr>
              <w:t>Followed</w:t>
              <w:br/>
              <w:t>(Yes / No / Partial)</w:t>
            </w:r>
          </w:p>
        </w:tc>
        <w:tc>
          <w:tcPr>
            <w:tcW w:type="dxa" w:w="2189"/>
          </w:tcPr>
          <w:p>
            <w:pPr>
              <w:jc w:val="center"/>
            </w:pPr>
            <w:r>
              <w:rPr>
                <w:b/>
                <w:sz w:val="15"/>
              </w:rPr>
              <w:t>Remarks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Consistent Indentation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Uniform spacing/tabs used throughout the code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Consistent formatting is maintained for better readability.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Proper File Structure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Files and folders are logically organized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Project modules are separated based on their responsibilities.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Meaningful Variable Names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Variables reflect their purpose clearly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Descriptive names are used for project data and processing logic.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Function / Method Names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Functions are descriptively named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Function names clearly indicate their purpose.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Code Comments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Inline and block comments explain logic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Comments can be added further to explain complex AI/document-processing logic.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Modular Design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Code is split into reusable functions/modules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Document generation and related processing are organized into reusable modules.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No Redundant Code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Duplicate or unused code is removed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Common operations are kept reusable to reduce duplication.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Error Handling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Exceptions and errors are handled gracefully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Partial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Basic validation/error handling is included; more edge cases can be added.</w:t>
            </w:r>
          </w:p>
        </w:tc>
      </w:tr>
    </w:tbl>
    <w:p>
      <w:r>
        <w:rPr>
          <w:b/>
          <w:sz w:val="22"/>
        </w:rPr>
        <w:t>Reusable Components /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189"/>
          </w:tcPr>
          <w:p>
            <w:pPr>
              <w:jc w:val="center"/>
            </w:pPr>
            <w:r>
              <w:rPr>
                <w:b/>
                <w:sz w:val="15"/>
              </w:rPr>
              <w:t>S.No</w:t>
            </w:r>
          </w:p>
        </w:tc>
        <w:tc>
          <w:tcPr>
            <w:tcW w:type="dxa" w:w="2189"/>
          </w:tcPr>
          <w:p>
            <w:pPr>
              <w:jc w:val="center"/>
            </w:pPr>
            <w:r>
              <w:rPr>
                <w:b/>
                <w:sz w:val="15"/>
              </w:rPr>
              <w:t>Component / Module Name</w:t>
            </w:r>
          </w:p>
        </w:tc>
        <w:tc>
          <w:tcPr>
            <w:tcW w:type="dxa" w:w="2189"/>
          </w:tcPr>
          <w:p>
            <w:pPr>
              <w:jc w:val="center"/>
            </w:pPr>
            <w:r>
              <w:rPr>
                <w:b/>
                <w:sz w:val="15"/>
              </w:rPr>
              <w:t>Language / Technology</w:t>
            </w:r>
          </w:p>
        </w:tc>
        <w:tc>
          <w:tcPr>
            <w:tcW w:type="dxa" w:w="2189"/>
          </w:tcPr>
          <w:p>
            <w:pPr>
              <w:jc w:val="center"/>
            </w:pPr>
            <w:r>
              <w:rPr>
                <w:b/>
                <w:sz w:val="15"/>
              </w:rPr>
              <w:t>Where Reused</w:t>
            </w:r>
          </w:p>
        </w:tc>
        <w:tc>
          <w:tcPr>
            <w:tcW w:type="dxa" w:w="2189"/>
          </w:tcPr>
          <w:p>
            <w:pPr>
              <w:jc w:val="center"/>
            </w:pPr>
            <w:r>
              <w:rPr>
                <w:b/>
                <w:sz w:val="15"/>
              </w:rPr>
              <w:t>Reusability Level</w:t>
              <w:br/>
              <w:t>(High / Medium / Low)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User Interface Module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HTML / CSS / JavaScript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Across document-generation screens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Document Generation Module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JavaScript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For generating legal documents from user input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Form Validation Module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JavaScript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Across input forms and document fields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AI Processing Module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AI / API integration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For generating and processing legal document content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189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Error Handling / Validation Module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JavaScript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Across user input and processing operations</w:t>
            </w:r>
          </w:p>
        </w:tc>
        <w:tc>
          <w:tcPr>
            <w:tcW w:type="dxa" w:w="2189"/>
          </w:tcPr>
          <w:p>
            <w:r>
              <w:rPr>
                <w:sz w:val="14"/>
              </w:rPr>
              <w:t>Medium</w:t>
            </w:r>
          </w:p>
        </w:tc>
      </w:tr>
    </w:tbl>
    <w:p>
      <w:r>
        <w:rPr>
          <w:b/>
          <w:sz w:val="22"/>
        </w:rPr>
        <w:t>Overall Code Quality Assessment: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</w:tcPr>
          <w:p>
            <w:pPr>
              <w:jc w:val="center"/>
            </w:pPr>
            <w:r>
              <w:rPr>
                <w:b/>
                <w:sz w:val="16"/>
              </w:rPr>
              <w:t>Aspect</w:t>
            </w:r>
          </w:p>
        </w:tc>
        <w:tc>
          <w:tcPr>
            <w:tcW w:type="dxa" w:w="3648"/>
          </w:tcPr>
          <w:p>
            <w:pPr>
              <w:jc w:val="center"/>
            </w:pPr>
            <w:r>
              <w:rPr>
                <w:b/>
                <w:sz w:val="16"/>
              </w:rPr>
              <w:t>Rating (1-5)</w:t>
            </w:r>
          </w:p>
        </w:tc>
        <w:tc>
          <w:tcPr>
            <w:tcW w:type="dxa" w:w="3648"/>
          </w:tcPr>
          <w:p>
            <w:pPr>
              <w:jc w:val="center"/>
            </w:pPr>
            <w:r>
              <w:rPr>
                <w:b/>
                <w:sz w:val="16"/>
              </w:rPr>
              <w:t>Comments</w:t>
            </w:r>
          </w:p>
        </w:tc>
      </w:tr>
      <w:tr>
        <w:tc>
          <w:tcPr>
            <w:tcW w:type="dxa" w:w="3648"/>
          </w:tcPr>
          <w:p>
            <w:r>
              <w:rPr>
                <w:sz w:val="16"/>
              </w:rPr>
              <w:t>Code Layout &amp; Structure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The project is organized into logical modules and sections.</w:t>
            </w:r>
          </w:p>
        </w:tc>
      </w:tr>
      <w:tr>
        <w:tc>
          <w:tcPr>
            <w:tcW w:type="dxa" w:w="3648"/>
          </w:tcPr>
          <w:p>
            <w:r>
              <w:rPr>
                <w:sz w:val="16"/>
              </w:rPr>
              <w:t>Readability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Naming and formatting make the code relatively easy to understand.</w:t>
            </w:r>
          </w:p>
        </w:tc>
      </w:tr>
      <w:tr>
        <w:tc>
          <w:tcPr>
            <w:tcW w:type="dxa" w:w="3648"/>
          </w:tcPr>
          <w:p>
            <w:r>
              <w:rPr>
                <w:sz w:val="16"/>
              </w:rPr>
              <w:t>Reusability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Common functions/modules can be reused across document-generation features.</w:t>
            </w:r>
          </w:p>
        </w:tc>
      </w:tr>
      <w:tr>
        <w:tc>
          <w:tcPr>
            <w:tcW w:type="dxa" w:w="3648"/>
          </w:tcPr>
          <w:p>
            <w:r>
              <w:rPr>
                <w:sz w:val="16"/>
              </w:rPr>
              <w:t>Documentation / Comments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Basic comments are present; complex processing can be documented further.</w:t>
            </w:r>
          </w:p>
        </w:tc>
      </w:tr>
      <w:tr>
        <w:tc>
          <w:tcPr>
            <w:tcW w:type="dxa" w:w="3648"/>
          </w:tcPr>
          <w:p>
            <w:r>
              <w:rPr>
                <w:sz w:val="16"/>
              </w:rPr>
              <w:t>Overall Score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648"/>
          </w:tcPr>
          <w:p>
            <w:r>
              <w:rPr>
                <w:sz w:val="16"/>
              </w:rPr>
              <w:t>Good overall structure with scope for further documentation and edge-case handling.</w:t>
            </w:r>
          </w:p>
        </w:tc>
      </w:tr>
    </w:tbl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