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2"/>
        </w:rPr>
        <w:t>“Vitamin Deficiency Identification Using Image Processing”</w:t>
        <w:br/>
      </w:r>
    </w:p>
    <w:p>
      <w:pPr>
        <w:spacing w:after="40" w:lineRule="auto" w:line="240"/>
        <w:jc w:val="center"/>
      </w:pPr>
      <w:r>
        <w:rPr>
          <w:rFonts w:ascii="Times New Roman" w:hAnsi="Times New Roman"/>
          <w:b/>
          <w:i w:val="0"/>
          <w:sz w:val="22"/>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234440" cy="1224707"/>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234440" cy="1224707"/>
                    </a:xfrm>
                    <a:prstGeom prst="rect"/>
                  </pic:spPr>
                </pic:pic>
              </a:graphicData>
            </a:graphic>
          </wp:inline>
        </w:drawing>
      </w:r>
    </w:p>
    <w:p>
      <w:pPr>
        <w:spacing w:after="0" w:lineRule="auto" w:line="240"/>
        <w:jc w:val="center"/>
      </w:pPr>
      <w:r>
        <w:rPr>
          <w:rFonts w:ascii="Times New Roman" w:hAnsi="Times New Roman"/>
          <w:b/>
          <w:i w:val="0"/>
          <w:color w:val="000096"/>
          <w:sz w:val="28"/>
        </w:rPr>
        <w:t>DEPARTMENT OF COMPUTER SCIENCE AND ENGINEERING</w:t>
        <w:br/>
      </w:r>
      <w:r>
        <w:rPr>
          <w:rFonts w:ascii="Times New Roman" w:hAnsi="Times New Roman"/>
          <w:b/>
          <w:i w:val="0"/>
          <w:sz w:val="22"/>
        </w:rPr>
        <w:t>Accredited By NBA, NAAC “A+”</w:t>
        <w:br/>
      </w:r>
      <w:r>
        <w:rPr>
          <w:rFonts w:ascii="Times New Roman" w:hAnsi="Times New Roman"/>
          <w:b/>
          <w:i w:val="0"/>
          <w:color w:val="000096"/>
          <w:sz w:val="32"/>
        </w:rPr>
        <w:t>R R INSTITUTE OF TECHNOLOGY</w:t>
        <w:br/>
      </w:r>
      <w:r>
        <w:rPr>
          <w:rFonts w:ascii="Times New Roman" w:hAnsi="Times New Roman"/>
          <w:b w:val="0"/>
          <w:i w:val="0"/>
          <w:sz w:val="18"/>
        </w:rPr>
        <w:t>Approved by AICTE, New Delhi, Recognized by Govt. of Karnataka,</w:t>
        <w:br/>
        <w:t>Autonomous Institution under VTU</w:t>
        <w:br/>
        <w:t>Raja Reddy Layout, Chikkabanavara, Bengaluru – 560 090</w:t>
        <w:br/>
      </w:r>
      <w:r>
        <w:rPr>
          <w:rFonts w:ascii="Times New Roman" w:hAnsi="Times New Roman"/>
          <w:b/>
          <w:i w:val="0"/>
          <w:color w:val="000096"/>
          <w:sz w:val="26"/>
        </w:rPr>
        <w:t>ACADEMIC YEAR 2026-27</w:t>
      </w:r>
    </w:p>
    <w:p>
      <w:r>
        <w:br w:type="page"/>
      </w:r>
    </w:p>
    <w:p>
      <w:pPr>
        <w:spacing w:after="80" w:lineRule="auto" w:line="240"/>
        <w:jc w:val="center"/>
      </w:pPr>
      <w:r>
        <w:rPr>
          <w:rFonts w:ascii="Times New Roman" w:hAnsi="Times New Roman"/>
          <w:b/>
          <w:sz w:val="34"/>
          <w:u w:val="single"/>
        </w:rPr>
        <w:t>CERTIFICATE</w:t>
        <w:br/>
      </w:r>
    </w:p>
    <w:p>
      <w:pPr>
        <w:spacing w:after="280" w:lineRule="auto" w:line="324"/>
        <w:jc w:val="both"/>
      </w:pPr>
      <w:r>
        <w:rPr>
          <w:rFonts w:ascii="Times New Roman" w:hAnsi="Times New Roman"/>
          <w:b w:val="0"/>
          <w:i w:val="0"/>
          <w:sz w:val="24"/>
        </w:rPr>
        <w:t xml:space="preserve">This is to certify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r>
    </w:p>
    <w:tbl>
      <w:tblPr>
        <w:tblW w:type="auto" w:w="0"/>
        <w:jc w:val="center"/>
        <w:tblLook w:firstColumn="1" w:firstRow="1" w:lastColumn="0" w:lastRow="0" w:noHBand="0" w:noVBand="1" w:val="04A0"/>
      </w:tblPr>
      <w:tblGrid>
        <w:gridCol w:w="3000"/>
        <w:gridCol w:w="3000"/>
        <w:gridCol w:w="3000"/>
      </w:tblGrid>
      <w:tr>
        <w:tc>
          <w:tcPr>
            <w:tcW w:type="dxa" w:w="3000"/>
          </w:tcPr>
          <w:p>
            <w:pPr>
              <w:spacing w:after="40"/>
              <w:jc w:val="center"/>
            </w:pPr>
            <w:r>
              <w:rPr>
                <w:rFonts w:ascii="Times New Roman" w:hAnsi="Times New Roman"/>
                <w:b/>
                <w:i w:val="0"/>
                <w:sz w:val="22"/>
              </w:rPr>
              <w:t>Signature of Guide</w:t>
            </w:r>
          </w:p>
        </w:tc>
        <w:tc>
          <w:tcPr>
            <w:tcW w:type="dxa" w:w="3000"/>
          </w:tcPr>
          <w:p>
            <w:pPr>
              <w:spacing w:after="40"/>
              <w:jc w:val="center"/>
            </w:pPr>
            <w:r>
              <w:rPr>
                <w:rFonts w:ascii="Times New Roman" w:hAnsi="Times New Roman"/>
                <w:b/>
                <w:i w:val="0"/>
                <w:sz w:val="22"/>
              </w:rPr>
              <w:t>Signature of HOD</w:t>
            </w:r>
          </w:p>
        </w:tc>
        <w:tc>
          <w:tcPr>
            <w:tcW w:type="dxa" w:w="3000"/>
          </w:tcPr>
          <w:p>
            <w:pPr>
              <w:spacing w:after="40"/>
              <w:jc w:val="center"/>
            </w:pPr>
            <w:r>
              <w:rPr>
                <w:rFonts w:ascii="Times New Roman" w:hAnsi="Times New Roman"/>
                <w:b/>
                <w:i w:val="0"/>
                <w:sz w:val="22"/>
              </w:rPr>
              <w:t>Signature of Principal</w:t>
            </w:r>
          </w:p>
        </w:tc>
      </w:tr>
      <w:tr>
        <w:tc>
          <w:tcPr>
            <w:tcW w:type="dxa" w:w="3000"/>
          </w:tcPr>
          <w:p>
            <w:pPr>
              <w:spacing w:before="480" w:after="40"/>
            </w:pPr>
          </w:p>
        </w:tc>
        <w:tc>
          <w:tcPr>
            <w:tcW w:type="dxa" w:w="3000"/>
          </w:tcPr>
          <w:p>
            <w:pPr>
              <w:spacing w:before="480" w:after="40"/>
            </w:pPr>
          </w:p>
        </w:tc>
        <w:tc>
          <w:tcPr>
            <w:tcW w:type="dxa" w:w="3000"/>
          </w:tcPr>
          <w:p>
            <w:pPr>
              <w:spacing w:before="480" w:after="40"/>
            </w:pPr>
          </w:p>
        </w:tc>
      </w:tr>
      <w:tr>
        <w:tc>
          <w:tcPr>
            <w:tcW w:type="dxa" w:w="3000"/>
          </w:tcPr>
          <w:p>
            <w:pPr>
              <w:spacing w:after="40"/>
              <w:jc w:val="center"/>
            </w:pPr>
            <w:r>
              <w:rPr>
                <w:rFonts w:ascii="Times New Roman" w:hAnsi="Times New Roman"/>
                <w:b w:val="0"/>
                <w:i w:val="0"/>
                <w:sz w:val="21"/>
              </w:rPr>
              <w:t>Prof. HEMAVATHI</w:t>
              <w:br/>
              <w:t>Assistant Professor</w:t>
              <w:br/>
              <w:t>Department of CSE, RRIT</w:t>
            </w:r>
          </w:p>
        </w:tc>
        <w:tc>
          <w:tcPr>
            <w:tcW w:type="dxa" w:w="3000"/>
          </w:tcPr>
          <w:p>
            <w:pPr>
              <w:spacing w:after="40"/>
              <w:jc w:val="center"/>
            </w:pPr>
            <w:r>
              <w:rPr>
                <w:rFonts w:ascii="Times New Roman" w:hAnsi="Times New Roman"/>
                <w:b w:val="0"/>
                <w:i w:val="0"/>
                <w:sz w:val="21"/>
              </w:rPr>
              <w:t>Dr. MANJUNATH R</w:t>
              <w:br/>
              <w:t>Professor and Head</w:t>
              <w:br/>
              <w:t>Department of CSE, RRIT</w:t>
            </w:r>
          </w:p>
        </w:tc>
        <w:tc>
          <w:tcPr>
            <w:tcW w:type="dxa" w:w="3000"/>
          </w:tcPr>
          <w:p>
            <w:pPr>
              <w:spacing w:after="40"/>
              <w:jc w:val="center"/>
            </w:pPr>
            <w:r>
              <w:rPr>
                <w:rFonts w:ascii="Times New Roman" w:hAnsi="Times New Roman"/>
                <w:b w:val="0"/>
                <w:i w:val="0"/>
                <w:sz w:val="21"/>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160"/>
              <w:jc w:val="left"/>
            </w:pPr>
            <w:r>
              <w:rPr>
                <w:rFonts w:ascii="Times New Roman" w:hAnsi="Times New Roman"/>
                <w:b/>
                <w:i w:val="0"/>
                <w:sz w:val="22"/>
              </w:rPr>
              <w:t>Name of the Examiners</w:t>
            </w:r>
          </w:p>
        </w:tc>
        <w:tc>
          <w:tcPr>
            <w:tcW w:type="dxa" w:w="4500"/>
          </w:tcPr>
          <w:p>
            <w:pPr>
              <w:spacing w:before="160"/>
              <w:jc w:val="right"/>
            </w:pPr>
            <w:r>
              <w:rPr>
                <w:rFonts w:ascii="Times New Roman" w:hAnsi="Times New Roman"/>
                <w:b/>
                <w:i w:val="0"/>
                <w:sz w:val="22"/>
              </w:rPr>
              <w:t>Signature with Date</w:t>
            </w:r>
          </w:p>
        </w:tc>
      </w:tr>
      <w:tr>
        <w:tc>
          <w:tcPr>
            <w:tcW w:type="dxa" w:w="4500"/>
          </w:tcPr>
          <w:p>
            <w:pPr>
              <w:spacing w:before="80"/>
            </w:pPr>
            <w:r>
              <w:t>1. ........................................</w:t>
            </w:r>
          </w:p>
        </w:tc>
        <w:tc>
          <w:tcPr>
            <w:tcW w:type="dxa" w:w="4500"/>
          </w:tcPr>
          <w:p>
            <w:pPr>
              <w:spacing w:before="80"/>
              <w:jc w:val="right"/>
            </w:pPr>
            <w:r>
              <w:t>........................................</w:t>
            </w:r>
          </w:p>
        </w:tc>
      </w:tr>
      <w:tr>
        <w:tc>
          <w:tcPr>
            <w:tcW w:type="dxa" w:w="4500"/>
          </w:tcPr>
          <w:p>
            <w:pPr>
              <w:spacing w:before="80"/>
            </w:pPr>
            <w:r>
              <w:t>2. ........................................</w:t>
            </w:r>
          </w:p>
        </w:tc>
        <w:tc>
          <w:tcPr>
            <w:tcW w:type="dxa" w:w="4500"/>
          </w:tcPr>
          <w:p>
            <w:pPr>
              <w:spacing w:before="80"/>
              <w:jc w:val="right"/>
            </w:pPr>
            <w:r>
              <w:t>........................................</w:t>
            </w:r>
          </w:p>
        </w:tc>
      </w:tr>
    </w:tbl>
    <w:p>
      <w:r>
        <w:br w:type="page"/>
      </w:r>
    </w:p>
    <w:p>
      <w:pPr>
        <w:spacing w:after="200" w:lineRule="auto" w:line="360"/>
        <w:jc w:val="center"/>
      </w:pPr>
      <w:r>
        <w:rPr>
          <w:rFonts w:ascii="Times New Roman" w:hAnsi="Times New Roman"/>
          <w:b/>
          <w:sz w:val="34"/>
          <w:u w:val="single"/>
        </w:rPr>
        <w:t>DECLARATION</w:t>
      </w:r>
    </w:p>
    <w:p>
      <w:pPr>
        <w:spacing w:after="400" w:lineRule="auto" w:line="336"/>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r>
        <w:br w:type="page"/>
      </w:r>
    </w:p>
    <w:p>
      <w:pPr>
        <w:spacing w:after="160" w:lineRule="auto" w:line="360"/>
        <w:jc w:val="center"/>
      </w:pPr>
      <w:r>
        <w:rPr>
          <w:rFonts w:ascii="Times New Roman" w:hAnsi="Times New Roman"/>
          <w:b/>
          <w:sz w:val="34"/>
          <w:u w:val="single"/>
        </w:rPr>
        <w:t>ACKNOWLEDGEMENT</w:t>
      </w:r>
    </w:p>
    <w:p>
      <w:pPr>
        <w:spacing w:after="120" w:lineRule="auto" w:line="288"/>
        <w:jc w:val="both"/>
      </w:pPr>
      <w:r>
        <w:rPr>
          <w:rFonts w:ascii="Times New Roman" w:hAnsi="Times New Roman"/>
          <w:b w:val="0"/>
          <w:i w:val="0"/>
          <w:sz w:val="23"/>
        </w:rPr>
        <w:t>Any achievement, be it scholastic or otherwise does not depend solely on the individual efforts but on the guidance, encouragement and cooperation of intellectuals, elders and friends. A number of personalities, in their own capacities have helped us in carrying out this Project work. We would like to take this opportunity to thank them all.</w:t>
      </w:r>
    </w:p>
    <w:p>
      <w:pPr>
        <w:spacing w:after="120" w:lineRule="auto" w:line="288"/>
        <w:jc w:val="both"/>
      </w:pPr>
      <w:r>
        <w:rPr>
          <w:rFonts w:ascii="Times New Roman" w:hAnsi="Times New Roman"/>
          <w:b w:val="0"/>
          <w:i w:val="0"/>
          <w:sz w:val="23"/>
        </w:rPr>
        <w:t>First and foremost we would like to thank Dr. Mahendra K V, Principal, RRIT, Bangalore, for his moral support towards completion of our project work.</w:t>
      </w:r>
    </w:p>
    <w:p>
      <w:pPr>
        <w:spacing w:after="120" w:lineRule="auto" w:line="288"/>
        <w:jc w:val="both"/>
      </w:pPr>
      <w:r>
        <w:rPr>
          <w:rFonts w:ascii="Times New Roman" w:hAnsi="Times New Roman"/>
          <w:b w:val="0"/>
          <w:i w:val="0"/>
          <w:sz w:val="23"/>
        </w:rPr>
        <w:t>We express our gratitude to Dr. Manjunath R, Professor &amp; Head of Department of Computer Science and Engineering, RRIT, Bangalore who has always been a great source of inspiration.</w:t>
      </w:r>
    </w:p>
    <w:p>
      <w:pPr>
        <w:spacing w:after="120" w:lineRule="auto" w:line="288"/>
        <w:jc w:val="both"/>
      </w:pPr>
      <w:r>
        <w:rPr>
          <w:rFonts w:ascii="Times New Roman" w:hAnsi="Times New Roman"/>
          <w:b w:val="0"/>
          <w:i w:val="0"/>
          <w:sz w:val="23"/>
        </w:rPr>
        <w:t>We are grateful to our project Coordinator Dr. Shivakumar Swamy N, Professor, Department of CSE, RRIT, Bangalore for the support and encouragement lender throughout the project work.</w:t>
      </w:r>
    </w:p>
    <w:p>
      <w:pPr>
        <w:spacing w:after="120" w:lineRule="auto" w:line="288"/>
        <w:jc w:val="both"/>
      </w:pPr>
      <w:r>
        <w:rPr>
          <w:rFonts w:ascii="Times New Roman" w:hAnsi="Times New Roman"/>
          <w:b w:val="0"/>
          <w:i w:val="0"/>
          <w:sz w:val="23"/>
        </w:rPr>
        <w:t>We are grateful to the guidance and encouragement given by our guide Prof. Hemavathi, Assistant Professor, Department of Computer Science and Engineering, RRIT, Bangalore, who also has helped us in various stages of project, optimizing the report and making this project a success.</w:t>
      </w:r>
    </w:p>
    <w:p>
      <w:pPr>
        <w:spacing w:after="120" w:lineRule="auto" w:line="288"/>
        <w:jc w:val="both"/>
      </w:pPr>
      <w:r>
        <w:rPr>
          <w:rFonts w:ascii="Times New Roman" w:hAnsi="Times New Roman"/>
          <w:b w:val="0"/>
          <w:i w:val="0"/>
          <w:sz w:val="23"/>
        </w:rPr>
        <w:t>We also extend our sincere thanks to the teaching and non-teaching faculty of the Department of Computer Science and Engineering, RRIT, Bangalore, who have constantly supported us throughout the course of our project work.</w:t>
      </w:r>
    </w:p>
    <w:p>
      <w:pPr>
        <w:spacing w:after="120" w:lineRule="auto" w:line="288"/>
        <w:jc w:val="both"/>
      </w:pPr>
      <w:r>
        <w:rPr>
          <w:rFonts w:ascii="Times New Roman" w:hAnsi="Times New Roman"/>
          <w:b w:val="0"/>
          <w:i w:val="0"/>
          <w:sz w:val="23"/>
        </w:rPr>
        <w:t>Last, but not the least, we would like to express our deep sense of thanks to family and friends for their moral support to improve the project work.</w:t>
      </w:r>
    </w:p>
    <w:p>
      <w:pPr>
        <w:spacing w:after="0" w:lineRule="auto" w:line="276"/>
        <w:jc w:val="right"/>
      </w:pPr>
      <w:r>
        <w:rPr>
          <w:rFonts w:ascii="Times New Roman" w:hAnsi="Times New Roman"/>
          <w:b/>
          <w:i w:val="0"/>
          <w:sz w:val="22"/>
        </w:rPr>
        <w:t>Ashwini V (1RI23CS015)</w:t>
        <w:br/>
        <w:t>Bhumika K M (1RI23CS025)</w:t>
        <w:br/>
        <w:t>Chandana H K (1RI23CS029)</w:t>
        <w:br/>
        <w:t>HithaShree B S (1RI23CS061)</w:t>
      </w:r>
    </w:p>
    <w:p>
      <w:r>
        <w:br w:type="page"/>
      </w:r>
    </w:p>
    <w:p>
      <w:pPr>
        <w:spacing w:after="160" w:lineRule="auto" w:line="360"/>
        <w:jc w:val="center"/>
      </w:pPr>
      <w:r>
        <w:rPr>
          <w:rFonts w:ascii="Times New Roman" w:hAnsi="Times New Roman"/>
          <w:b/>
          <w:sz w:val="34"/>
          <w:u w:val="single"/>
        </w:rPr>
        <w:t>ABSTRACT</w:t>
      </w:r>
    </w:p>
    <w:p>
      <w:pPr>
        <w:spacing w:after="120" w:lineRule="auto" w:line="288"/>
        <w:jc w:val="both"/>
      </w:pPr>
      <w:r>
        <w:rPr>
          <w:rFonts w:ascii="Times New Roman" w:hAnsi="Times New Roman"/>
          <w:b w:val="0"/>
          <w:i w:val="0"/>
          <w:sz w:val="22"/>
        </w:rPr>
        <w:t>Vitamin and mineral deficiencies represent a pervasive global health challenge, particularly affecting marginalized and rural populations lacking immediate access to clinical laboratory diagnostics. These deficiencies often manifest as visible, macroscopic anomalies on human body surfaces, including the nails, eyes, lips, tongue, and skin. NutriVision AI is a comprehensive, full-stack, AI-powered HealthTech web application designed to democratize access to preliminary nutritional deficiency screening and dietary guidance. The platform leverages advanced computer vision to identify potential nutritional deficiencies from standard smartphone photographs, bridging the critical gap between traditional diagnostic barriers and actionable health awareness.</w:t>
      </w:r>
    </w:p>
    <w:p>
      <w:pPr>
        <w:spacing w:after="120" w:lineRule="auto" w:line="288"/>
        <w:jc w:val="both"/>
      </w:pPr>
      <w:r>
        <w:rPr>
          <w:rFonts w:ascii="Times New Roman" w:hAnsi="Times New Roman"/>
          <w:b w:val="0"/>
          <w:i w:val="0"/>
          <w:sz w:val="22"/>
        </w:rPr>
        <w:t>Built utilizing a modern microservices architecture, NutriVision AI integrates a React-based frontend featuring TypeScript and Tailwind CSS with a robust Java Spring Boot backend. The system ensures enterprise-grade security through JWT-based stateless authentication, BCrypt password hashing, and role-based access controls managed by Spring Security. The intelligence of the application resides in a decoupled Python FastAPI microservice, which orchestrates a sophisticated two-stage AI inference pipeline. The first stage employs an OpenCV-based technical quality assessment module to measure Laplacian variance for blur detection and luminance for exposure validation, immediately rejecting unprocessable images. The second stage utilizes a CLIP-based content verification model to ensure appropriate body parts are presented, followed by a fine-tuned MobileNetV2 deep Convolutional Neural Network (CNN). Exported via the Open Neural Network Exchange (ONNX) format for framework-agnostic, high-performance CPU execution, the MobileNetV2 model classifies six distinct categories of nutritional deficiencies with high theoretical accuracy on synthetic benchmarks.</w:t>
      </w:r>
    </w:p>
    <w:p>
      <w:pPr>
        <w:spacing w:after="120" w:lineRule="auto" w:line="288"/>
        <w:jc w:val="both"/>
      </w:pPr>
      <w:r>
        <w:rPr>
          <w:rFonts w:ascii="Times New Roman" w:hAnsi="Times New Roman"/>
          <w:b w:val="0"/>
          <w:i w:val="0"/>
          <w:sz w:val="22"/>
        </w:rPr>
        <w:t>Beyond diagnostic screening, NutriVision AI acts as a holistic healthcare portal. It features a personalized nutrition recommendation engine tailored to Indian dietary habits, an AI-powered conversational chatbot for scoped nutritional queries, and a localized doctor referral system. The platform explicitly enforces a medical disclaimer, positioning itself as an educational awareness tool rather than a definitive medical device. By synthesizing deep learning, secure RESTful architectures, and user-centric design, NutriVision AI demonstrates the transformative potential of democratized artificial intelligence in addressing systemic healthcare disparities.</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584"/>
        <w:gridCol w:w="5976"/>
        <w:gridCol w:w="1440"/>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sz w:val="22"/>
              </w:rPr>
              <w:t>Acknowledgement</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i</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sz w:val="22"/>
              </w:rPr>
              <w:t>Abstract</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ii</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sz w:val="22"/>
              </w:rPr>
              <w:t>List of Figures</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iv</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sz w:val="22"/>
              </w:rPr>
              <w:t>List of Tables</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v</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1</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b/>
                <w:sz w:val="22"/>
              </w:rPr>
              <w:t>Chapter 1: Introduction</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1</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2</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b/>
                <w:sz w:val="22"/>
              </w:rPr>
              <w:t>Chapter 2: Problem Identification</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5</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3</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b/>
                <w:sz w:val="22"/>
              </w:rPr>
              <w:t>Chapter 3: Literature Review</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9</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4</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b/>
                <w:sz w:val="22"/>
              </w:rPr>
              <w:t>Chapter 4: System Requirements</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26</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5</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b/>
                <w:sz w:val="22"/>
              </w:rPr>
              <w:t>Chapter 5: System Design</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29</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6</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b/>
                <w:sz w:val="22"/>
              </w:rPr>
              <w:t>Chapter 6: System Implementation</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35</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7</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b/>
                <w:sz w:val="22"/>
              </w:rPr>
              <w:t>Chapter 7: System Testing</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40</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8</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b/>
                <w:sz w:val="22"/>
              </w:rPr>
              <w:t>Chapter 8: Results and Discussion</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44</w:t>
            </w:r>
          </w:p>
        </w:tc>
      </w:tr>
      <w:tr>
        <w:tc>
          <w:tcPr>
            <w:tcW w:type="dxa" w:w="1584"/>
            <w:shd w:val="clear" w:color="auto" w:fill="FFFFFF"/>
            <w:tcMar>
              <w:top w:w="90" w:type="dxa"/>
              <w:bottom w:w="90" w:type="dxa"/>
              <w:left w:w="150" w:type="dxa"/>
              <w:right w:w="150" w:type="dxa"/>
            </w:tcMar>
          </w:tcPr>
          <w:p>
            <w:pPr>
              <w:spacing w:after="40" w:before="40"/>
              <w:jc w:val="center"/>
            </w:pPr>
            <w:r>
              <w:rPr>
                <w:rFonts w:ascii="Times New Roman" w:hAnsi="Times New Roman"/>
                <w:sz w:val="22"/>
              </w:rPr>
              <w:t>9</w:t>
            </w:r>
          </w:p>
        </w:tc>
        <w:tc>
          <w:tcPr>
            <w:tcW w:type="dxa" w:w="5976"/>
            <w:shd w:val="clear" w:color="auto" w:fill="FFFFFF"/>
            <w:tcMar>
              <w:top w:w="90" w:type="dxa"/>
              <w:bottom w:w="90" w:type="dxa"/>
              <w:left w:w="150" w:type="dxa"/>
              <w:right w:w="150" w:type="dxa"/>
            </w:tcMar>
          </w:tcPr>
          <w:p>
            <w:pPr>
              <w:spacing w:after="40" w:before="40"/>
              <w:jc w:val="left"/>
            </w:pPr>
            <w:r>
              <w:rPr>
                <w:rFonts w:ascii="Times New Roman" w:hAnsi="Times New Roman"/>
                <w:b/>
                <w:sz w:val="22"/>
              </w:rPr>
              <w:t>Chapter 9: Conclusion and Future Scope</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48</w:t>
            </w:r>
          </w:p>
        </w:tc>
      </w:tr>
      <w:tr>
        <w:tc>
          <w:tcPr>
            <w:tcW w:type="dxa" w:w="1584"/>
            <w:shd w:val="clear" w:color="auto" w:fill="F9FAFB"/>
            <w:tcMar>
              <w:top w:w="90" w:type="dxa"/>
              <w:bottom w:w="90" w:type="dxa"/>
              <w:left w:w="150" w:type="dxa"/>
              <w:right w:w="150" w:type="dxa"/>
            </w:tcMar>
          </w:tcPr>
          <w:p>
            <w:pPr>
              <w:spacing w:after="40" w:before="40"/>
              <w:jc w:val="center"/>
            </w:pPr>
            <w:r>
              <w:rPr>
                <w:rFonts w:ascii="Times New Roman" w:hAnsi="Times New Roman"/>
                <w:sz w:val="22"/>
              </w:rPr>
              <w:t>-</w:t>
            </w:r>
          </w:p>
        </w:tc>
        <w:tc>
          <w:tcPr>
            <w:tcW w:type="dxa" w:w="5976"/>
            <w:shd w:val="clear" w:color="auto" w:fill="F9FAFB"/>
            <w:tcMar>
              <w:top w:w="90" w:type="dxa"/>
              <w:bottom w:w="90" w:type="dxa"/>
              <w:left w:w="150" w:type="dxa"/>
              <w:right w:w="150" w:type="dxa"/>
            </w:tcMar>
          </w:tcPr>
          <w:p>
            <w:pPr>
              <w:spacing w:after="40" w:before="40"/>
              <w:jc w:val="left"/>
            </w:pPr>
            <w:r>
              <w:rPr>
                <w:rFonts w:ascii="Times New Roman" w:hAnsi="Times New Roman"/>
                <w:sz w:val="22"/>
              </w:rPr>
              <w:t>References</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52</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688"/>
        <w:gridCol w:w="1440"/>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Figure 5.1</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NutriVision AI Three-Tier System Architecture</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30</w:t>
            </w:r>
          </w:p>
        </w:tc>
      </w:tr>
      <w:tr>
        <w:tc>
          <w:tcPr>
            <w:tcW w:type="dxa" w:w="1872"/>
            <w:shd w:val="clear" w:color="auto" w:fill="F9FAFB"/>
            <w:tcMar>
              <w:top w:w="90" w:type="dxa"/>
              <w:bottom w:w="90" w:type="dxa"/>
              <w:left w:w="150" w:type="dxa"/>
              <w:right w:w="150" w:type="dxa"/>
            </w:tcMar>
          </w:tcPr>
          <w:p>
            <w:pPr>
              <w:spacing w:after="40" w:before="40"/>
              <w:jc w:val="center"/>
            </w:pPr>
            <w:r>
              <w:rPr>
                <w:rFonts w:ascii="Times New Roman" w:hAnsi="Times New Roman"/>
                <w:sz w:val="22"/>
              </w:rPr>
              <w:t>Figure 5.2</w:t>
            </w:r>
          </w:p>
        </w:tc>
        <w:tc>
          <w:tcPr>
            <w:tcW w:type="dxa" w:w="5688"/>
            <w:shd w:val="clear" w:color="auto" w:fill="F9FAFB"/>
            <w:tcMar>
              <w:top w:w="90" w:type="dxa"/>
              <w:bottom w:w="90" w:type="dxa"/>
              <w:left w:w="150" w:type="dxa"/>
              <w:right w:w="150" w:type="dxa"/>
            </w:tcMar>
          </w:tcPr>
          <w:p>
            <w:pPr>
              <w:spacing w:after="40" w:before="40"/>
              <w:jc w:val="left"/>
            </w:pPr>
            <w:r>
              <w:rPr>
                <w:rFonts w:ascii="Times New Roman" w:hAnsi="Times New Roman"/>
                <w:sz w:val="22"/>
              </w:rPr>
              <w:t>Complete System Use Case Diagram</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31</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Figure 5.4</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System Data Flow Diagram (DFD Level 1)</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33</w:t>
            </w:r>
          </w:p>
        </w:tc>
      </w:tr>
      <w:tr>
        <w:tc>
          <w:tcPr>
            <w:tcW w:type="dxa" w:w="1872"/>
            <w:shd w:val="clear" w:color="auto" w:fill="F9FAFB"/>
            <w:tcMar>
              <w:top w:w="90" w:type="dxa"/>
              <w:bottom w:w="90" w:type="dxa"/>
              <w:left w:w="150" w:type="dxa"/>
              <w:right w:w="150" w:type="dxa"/>
            </w:tcMar>
          </w:tcPr>
          <w:p>
            <w:pPr>
              <w:spacing w:after="40" w:before="40"/>
              <w:jc w:val="center"/>
            </w:pPr>
            <w:r>
              <w:rPr>
                <w:rFonts w:ascii="Times New Roman" w:hAnsi="Times New Roman"/>
                <w:sz w:val="22"/>
              </w:rPr>
              <w:t>Figure 5.3</w:t>
            </w:r>
          </w:p>
        </w:tc>
        <w:tc>
          <w:tcPr>
            <w:tcW w:type="dxa" w:w="5688"/>
            <w:shd w:val="clear" w:color="auto" w:fill="F9FAFB"/>
            <w:tcMar>
              <w:top w:w="90" w:type="dxa"/>
              <w:bottom w:w="90" w:type="dxa"/>
              <w:left w:w="150" w:type="dxa"/>
              <w:right w:w="150" w:type="dxa"/>
            </w:tcMar>
          </w:tcPr>
          <w:p>
            <w:pPr>
              <w:spacing w:after="40" w:before="40"/>
              <w:jc w:val="left"/>
            </w:pPr>
            <w:r>
              <w:rPr>
                <w:rFonts w:ascii="Times New Roman" w:hAnsi="Times New Roman"/>
                <w:sz w:val="22"/>
              </w:rPr>
              <w:t>Backend Entity-Relationship (ER) Diagram</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34</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Figure 8.1</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NutriVision AI Landing Page &amp; Hero Section</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45</w:t>
            </w:r>
          </w:p>
        </w:tc>
      </w:tr>
      <w:tr>
        <w:tc>
          <w:tcPr>
            <w:tcW w:type="dxa" w:w="1872"/>
            <w:shd w:val="clear" w:color="auto" w:fill="F9FAFB"/>
            <w:tcMar>
              <w:top w:w="90" w:type="dxa"/>
              <w:bottom w:w="90" w:type="dxa"/>
              <w:left w:w="150" w:type="dxa"/>
              <w:right w:w="150" w:type="dxa"/>
            </w:tcMar>
          </w:tcPr>
          <w:p>
            <w:pPr>
              <w:spacing w:after="40" w:before="40"/>
              <w:jc w:val="center"/>
            </w:pPr>
            <w:r>
              <w:rPr>
                <w:rFonts w:ascii="Times New Roman" w:hAnsi="Times New Roman"/>
                <w:sz w:val="22"/>
              </w:rPr>
              <w:t>Figure 8.2</w:t>
            </w:r>
          </w:p>
        </w:tc>
        <w:tc>
          <w:tcPr>
            <w:tcW w:type="dxa" w:w="5688"/>
            <w:shd w:val="clear" w:color="auto" w:fill="F9FAFB"/>
            <w:tcMar>
              <w:top w:w="90" w:type="dxa"/>
              <w:bottom w:w="90" w:type="dxa"/>
              <w:left w:w="150" w:type="dxa"/>
              <w:right w:w="150" w:type="dxa"/>
            </w:tcMar>
          </w:tcPr>
          <w:p>
            <w:pPr>
              <w:spacing w:after="40" w:before="40"/>
              <w:jc w:val="left"/>
            </w:pPr>
            <w:r>
              <w:rPr>
                <w:rFonts w:ascii="Times New Roman" w:hAnsi="Times New Roman"/>
                <w:sz w:val="22"/>
              </w:rPr>
              <w:t>Assessment Wizard - Photo Upload &amp; Quality Gate</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45</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Figure 8.3</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Nutritional Screening Results &amp; Recommendations</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46</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688"/>
        <w:gridCol w:w="1440"/>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Table 4.1</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Hardware Requirements Specification</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28</w:t>
            </w:r>
          </w:p>
        </w:tc>
      </w:tr>
      <w:tr>
        <w:tc>
          <w:tcPr>
            <w:tcW w:type="dxa" w:w="1872"/>
            <w:shd w:val="clear" w:color="auto" w:fill="F9FAFB"/>
            <w:tcMar>
              <w:top w:w="90" w:type="dxa"/>
              <w:bottom w:w="90" w:type="dxa"/>
              <w:left w:w="150" w:type="dxa"/>
              <w:right w:w="150" w:type="dxa"/>
            </w:tcMar>
          </w:tcPr>
          <w:p>
            <w:pPr>
              <w:spacing w:after="40" w:before="40"/>
              <w:jc w:val="center"/>
            </w:pPr>
            <w:r>
              <w:rPr>
                <w:rFonts w:ascii="Times New Roman" w:hAnsi="Times New Roman"/>
                <w:sz w:val="22"/>
              </w:rPr>
              <w:t>Table 4.2</w:t>
            </w:r>
          </w:p>
        </w:tc>
        <w:tc>
          <w:tcPr>
            <w:tcW w:type="dxa" w:w="5688"/>
            <w:shd w:val="clear" w:color="auto" w:fill="F9FAFB"/>
            <w:tcMar>
              <w:top w:w="90" w:type="dxa"/>
              <w:bottom w:w="90" w:type="dxa"/>
              <w:left w:w="150" w:type="dxa"/>
              <w:right w:w="150" w:type="dxa"/>
            </w:tcMar>
          </w:tcPr>
          <w:p>
            <w:pPr>
              <w:spacing w:after="40" w:before="40"/>
              <w:jc w:val="left"/>
            </w:pPr>
            <w:r>
              <w:rPr>
                <w:rFonts w:ascii="Times New Roman" w:hAnsi="Times New Roman"/>
                <w:sz w:val="22"/>
              </w:rPr>
              <w:t>Software Requirements Specification</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28</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Table 7.1</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Comprehensive System Test Cases (20 Test Cases)</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42</w:t>
            </w:r>
          </w:p>
        </w:tc>
      </w:tr>
      <w:tr>
        <w:tc>
          <w:tcPr>
            <w:tcW w:type="dxa" w:w="1872"/>
            <w:shd w:val="clear" w:color="auto" w:fill="F9FAFB"/>
            <w:tcMar>
              <w:top w:w="90" w:type="dxa"/>
              <w:bottom w:w="90" w:type="dxa"/>
              <w:left w:w="150" w:type="dxa"/>
              <w:right w:w="150" w:type="dxa"/>
            </w:tcMar>
          </w:tcPr>
          <w:p>
            <w:pPr>
              <w:spacing w:after="40" w:before="40"/>
              <w:jc w:val="center"/>
            </w:pPr>
            <w:r>
              <w:rPr>
                <w:rFonts w:ascii="Times New Roman" w:hAnsi="Times New Roman"/>
                <w:sz w:val="22"/>
              </w:rPr>
              <w:t>Table 8.1</w:t>
            </w:r>
          </w:p>
        </w:tc>
        <w:tc>
          <w:tcPr>
            <w:tcW w:type="dxa" w:w="5688"/>
            <w:shd w:val="clear" w:color="auto" w:fill="F9FAFB"/>
            <w:tcMar>
              <w:top w:w="90" w:type="dxa"/>
              <w:bottom w:w="90" w:type="dxa"/>
              <w:left w:w="150" w:type="dxa"/>
              <w:right w:w="150" w:type="dxa"/>
            </w:tcMar>
          </w:tcPr>
          <w:p>
            <w:pPr>
              <w:spacing w:after="40" w:before="40"/>
              <w:jc w:val="left"/>
            </w:pPr>
            <w:r>
              <w:rPr>
                <w:rFonts w:ascii="Times New Roman" w:hAnsi="Times New Roman"/>
                <w:sz w:val="22"/>
              </w:rPr>
              <w:t>MobileNetV2 Classification Performance Metrics</w:t>
            </w:r>
          </w:p>
        </w:tc>
        <w:tc>
          <w:tcPr>
            <w:tcW w:type="dxa" w:w="1440"/>
            <w:shd w:val="clear" w:color="auto" w:fill="F9FAFB"/>
            <w:tcMar>
              <w:top w:w="90" w:type="dxa"/>
              <w:bottom w:w="90" w:type="dxa"/>
              <w:left w:w="150" w:type="dxa"/>
              <w:right w:w="150" w:type="dxa"/>
            </w:tcMar>
          </w:tcPr>
          <w:p>
            <w:pPr>
              <w:spacing w:after="40" w:before="40"/>
              <w:jc w:val="center"/>
            </w:pPr>
            <w:r>
              <w:rPr>
                <w:rFonts w:ascii="Times New Roman" w:hAnsi="Times New Roman"/>
                <w:sz w:val="22"/>
              </w:rPr>
              <w:t>46</w:t>
            </w:r>
          </w:p>
        </w:tc>
      </w:tr>
      <w:tr>
        <w:tc>
          <w:tcPr>
            <w:tcW w:type="dxa" w:w="1872"/>
            <w:shd w:val="clear" w:color="auto" w:fill="FFFFFF"/>
            <w:tcMar>
              <w:top w:w="90" w:type="dxa"/>
              <w:bottom w:w="90" w:type="dxa"/>
              <w:left w:w="150" w:type="dxa"/>
              <w:right w:w="150" w:type="dxa"/>
            </w:tcMar>
          </w:tcPr>
          <w:p>
            <w:pPr>
              <w:spacing w:after="40" w:before="40"/>
              <w:jc w:val="center"/>
            </w:pPr>
            <w:r>
              <w:rPr>
                <w:rFonts w:ascii="Times New Roman" w:hAnsi="Times New Roman"/>
                <w:sz w:val="22"/>
              </w:rPr>
              <w:t>Table 8.2</w:t>
            </w:r>
          </w:p>
        </w:tc>
        <w:tc>
          <w:tcPr>
            <w:tcW w:type="dxa" w:w="5688"/>
            <w:shd w:val="clear" w:color="auto" w:fill="FFFFFF"/>
            <w:tcMar>
              <w:top w:w="90" w:type="dxa"/>
              <w:bottom w:w="90" w:type="dxa"/>
              <w:left w:w="150" w:type="dxa"/>
              <w:right w:w="150" w:type="dxa"/>
            </w:tcMar>
          </w:tcPr>
          <w:p>
            <w:pPr>
              <w:spacing w:after="40" w:before="40"/>
              <w:jc w:val="left"/>
            </w:pPr>
            <w:r>
              <w:rPr>
                <w:rFonts w:ascii="Times New Roman" w:hAnsi="Times New Roman"/>
                <w:sz w:val="22"/>
              </w:rPr>
              <w:t>System Comparison with Existing Health/Diet Platforms</w:t>
            </w:r>
          </w:p>
        </w:tc>
        <w:tc>
          <w:tcPr>
            <w:tcW w:type="dxa" w:w="1440"/>
            <w:shd w:val="clear" w:color="auto" w:fill="FFFFFF"/>
            <w:tcMar>
              <w:top w:w="90" w:type="dxa"/>
              <w:bottom w:w="90" w:type="dxa"/>
              <w:left w:w="150" w:type="dxa"/>
              <w:right w:w="150" w:type="dxa"/>
            </w:tcMar>
          </w:tcPr>
          <w:p>
            <w:pPr>
              <w:spacing w:after="40" w:before="40"/>
              <w:jc w:val="center"/>
            </w:pPr>
            <w:r>
              <w:rPr>
                <w:rFonts w:ascii="Times New Roman" w:hAnsi="Times New Roman"/>
                <w:sz w:val="22"/>
              </w:rPr>
              <w:t>47</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sectPr>
      </w:pPr>
    </w:p>
    <w:p>
      <w:pPr>
        <w:spacing w:after="80" w:lineRule="auto" w:line="240"/>
        <w:jc w:val="center"/>
      </w:pPr>
      <w:r>
        <w:rPr>
          <w:rFonts w:ascii="Times New Roman" w:hAnsi="Times New Roman"/>
          <w:b/>
          <w:i w:val="0"/>
          <w:sz w:val="36"/>
        </w:rPr>
        <w:t>CHAPTER 1</w:t>
      </w:r>
    </w:p>
    <w:p>
      <w:pPr>
        <w:spacing w:after="400" w:lineRule="auto" w:line="240"/>
        <w:jc w:val="center"/>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tongue) point to B-complex deficiencies; and koilonychia (spoon nails) and leukonychia (white streaks) on fingernails represent definitive clinical markers for iron and zinc depletion.</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the requirement of physical travel to pathology laboratories, and widespread lack of health awareness. 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objectives of the NutriVision AI project are structured to solve the fundamental barriers of diagnostic accessibility and nutritional literacy:</w:t>
      </w:r>
    </w:p>
    <w:p>
      <w:pPr>
        <w:spacing w:after="200" w:lineRule="auto" w:line="360"/>
        <w:jc w:val="both"/>
      </w:pPr>
      <w:r>
        <w:rPr>
          <w:rFonts w:ascii="Times New Roman" w:hAnsi="Times New Roman"/>
          <w:b w:val="0"/>
          <w:i w:val="0"/>
          <w:sz w:val="24"/>
        </w:rPr>
        <w:t>* To develop an intuitive, accessible, responsive web application for non-invasive, preliminary screening of vitamin and mineral deficiencies from user-uploaded smartphone photographs.</w:t>
      </w:r>
    </w:p>
    <w:p>
      <w:pPr>
        <w:spacing w:after="200" w:lineRule="auto" w:line="360"/>
        <w:jc w:val="both"/>
      </w:pPr>
      <w:r>
        <w:rPr>
          <w:rFonts w:ascii="Times New Roman" w:hAnsi="Times New Roman"/>
          <w:b w:val="0"/>
          <w:i w:val="0"/>
          <w:sz w:val="24"/>
        </w:rPr>
        <w:t>* To eliminate diagnostic bottlenecks by automating symptom evaluation, providing instantaneous, data-driven health insights without requiring costly clinical visits or invasive phlebotomy.</w:t>
      </w:r>
    </w:p>
    <w:p>
      <w:pPr>
        <w:spacing w:after="200" w:lineRule="auto" w:line="360"/>
        <w:jc w:val="both"/>
      </w:pPr>
      <w:r>
        <w:rPr>
          <w:rFonts w:ascii="Times New Roman" w:hAnsi="Times New Roman"/>
          <w:b w:val="0"/>
          <w:i w:val="0"/>
          <w:sz w:val="24"/>
        </w:rPr>
        <w:t>* To engineer a rigorous Two-Stage Image Validation Pipeline utilizing OpenCV Laplacian variance (for blur detection) and exposure metrics, coupled with CLIP-based semantic content verification, completely preventing invalid or erroneous inputs prior to neural network inference.</w:t>
      </w:r>
    </w:p>
    <w:p>
      <w:pPr>
        <w:spacing w:after="200" w:lineRule="auto" w:line="360"/>
        <w:jc w:val="both"/>
      </w:pPr>
      <w:r>
        <w:rPr>
          <w:rFonts w:ascii="Times New Roman" w:hAnsi="Times New Roman"/>
          <w:b w:val="0"/>
          <w:i w:val="0"/>
          <w:sz w:val="24"/>
        </w:rPr>
        <w:t>* To bridge clinical screening with practical remediation by designing a rule-based nutrition recommendation engine providing personalized Indian dietary plans (categorized into vegetarian and non-vegetarian options).</w:t>
      </w:r>
    </w:p>
    <w:p>
      <w:pPr>
        <w:spacing w:after="200" w:lineRule="auto" w:line="360"/>
        <w:jc w:val="both"/>
      </w:pPr>
      <w:r>
        <w:rPr>
          <w:rFonts w:ascii="Times New Roman" w:hAnsi="Times New Roman"/>
          <w:b w:val="0"/>
          <w:i w:val="0"/>
          <w:sz w:val="24"/>
        </w:rPr>
        <w:t>* To enforce enterprise-grade application security through stateless JWT authentication, BCrypt password hashing, and strict Role-Based Access Control (RBAC) via Spring Security.</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val="0"/>
          <w:i w:val="0"/>
          <w:sz w:val="24"/>
        </w:rPr>
        <w:t>* Functional Boundaries: 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val="0"/>
          <w:i w:val="0"/>
          <w:sz w:val="24"/>
        </w:rPr>
        <w:t>* Target End-Users: General citizens seeking proactive health awareness, semi-urban and rural populations with limited local clinical facilities, community health workers, and school health camps conducting nutritional screening.</w:t>
      </w:r>
    </w:p>
    <w:p>
      <w:pPr>
        <w:spacing w:after="200" w:lineRule="auto" w:line="360"/>
        <w:jc w:val="both"/>
      </w:pPr>
      <w:r>
        <w:rPr>
          <w:rFonts w:ascii="Times New Roman" w:hAnsi="Times New Roman"/>
          <w:b w:val="0"/>
          <w:i w:val="0"/>
          <w:sz w:val="24"/>
        </w:rPr>
        <w:t>* Target Deficiency Classes: The current deep learning classifier identifies six distinct categories: Healthy/Normal, Iron Deficiency, Vitamin A Deficiency, Vitamin B12 Deficiency, Vitamin C Deficiency, and Zinc Deficiency across five supported body regions (Eyes, Nails, Tongue, Lips, and Skin).</w:t>
      </w:r>
    </w:p>
    <w:p>
      <w:pPr>
        <w:spacing w:after="200" w:lineRule="auto" w:line="360"/>
        <w:jc w:val="both"/>
      </w:pPr>
      <w:r>
        <w:rPr>
          <w:rFonts w:ascii="Times New Roman" w:hAnsi="Times New Roman"/>
          <w:b w:val="0"/>
          <w:i w:val="0"/>
          <w:sz w:val="24"/>
        </w:rPr>
        <w:t>* Future Scope Boundaries: 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In personal preventive health, it serves as an accessible self-monitoring companion that encourages individuals to identify early nutritional gaps before clinical complications manifest. In public health and NGO operations, the platform can be deployed in rural health camps and Anganwadi centers to perform rapid, zero-cost triage of malnutrition among mothers and young children. In telemedicine environments, remote clinics can use NutriVision AI as an algorithmic pre-screening tool, providing consulting doctors with structured preliminary visual reports prior to teleconsultations.</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chapters. Chapter 1 introduces the project overview, objectives, scope, and applications. Chapter 2 details problem identification, limitations of existing systems, and proposed solutions. Chapter 3 presents a comprehensive literature review of 20 genuine research papers. Chapter 4 specifies functional, non-functional, hardware, and software requirements. Chapter 5 details the architectural design, UML models, and database schema. Chapter 6 documents module-wise implementation and algorithms. Chapter 7 elaborates on the testing methodology with 20 test cases. Chapter 8 evaluates experimental results and system UI. Chapter 9 concludes the report and discusses future enhancements.</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crisis of hidden hunger and the diagnostic bottlenecks of conventional testing. It clearly outlined the project's technical objectives, functional scope, practical applications, and document organization, laying the groundwork for subsequent technical chapters.</w:t>
      </w:r>
    </w:p>
    <w:p>
      <w:r>
        <w:br w:type="page"/>
      </w:r>
    </w:p>
    <w:p>
      <w:pPr>
        <w:spacing w:after="80" w:lineRule="auto" w:line="240"/>
        <w:jc w:val="center"/>
      </w:pPr>
      <w:r>
        <w:rPr>
          <w:rFonts w:ascii="Times New Roman" w:hAnsi="Times New Roman"/>
          <w:b/>
          <w:i w:val="0"/>
          <w:sz w:val="36"/>
        </w:rPr>
        <w:t>CHAPTER 2</w:t>
      </w:r>
    </w:p>
    <w:p>
      <w:pPr>
        <w:spacing w:after="400" w:lineRule="auto" w:line="240"/>
        <w:jc w:val="center"/>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which results in visible emaciation, micronutrient deficiencies often progress silently over months or years, insidiously impairing cellular metabolism, immune competence, and cognitive development. By the time severe systemic symptoms appear—such as irreversible peripheral neuropathy from Vitamin B12 deficiency or permanent corneal xerophthalmia from Vitamin A deficiency—the physiological damage is often permanent. 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consumer diet-logging applications. In the traditional clinical pipeline, a symptomatic patient schedules an in-person consultation with a physician, obtains a laboratory referral, visits a diagnostic center for venipuncture blood extraction, and waits 24 to 72 hours for pathology results. Once received, an additional follow-up consultation is required for dietary or pharmacological remediation. On the digital front, apps such as MyFitnessPal or HealthifyMe require users to manually weigh, record, and log every consumed food item. Academic machine learning prototypes exist in isolated research laboratories, but they generally consist of offline Python scripts or Jupyter Notebooks that classify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val="0"/>
          <w:i w:val="0"/>
          <w:sz w:val="24"/>
        </w:rPr>
        <w:t>* Prohibitive Cost and Geographic Inaccessibility: Commercial blood panels cost thousands of rupees, placing routine screening out of reach for rural and lower-income families who must also travel significant distances to reach accredited laboratories.</w:t>
      </w:r>
    </w:p>
    <w:p>
      <w:pPr>
        <w:spacing w:after="200" w:lineRule="auto" w:line="360"/>
        <w:jc w:val="both"/>
      </w:pPr>
      <w:r>
        <w:rPr>
          <w:rFonts w:ascii="Times New Roman" w:hAnsi="Times New Roman"/>
          <w:b w:val="0"/>
          <w:i w:val="0"/>
          <w:sz w:val="24"/>
        </w:rPr>
        <w:t>* Invasive and Reactive Diagnostic Cycle: The invasive nature of needle blood draws causes significant patient hesitation and needle anxiety, especially among pediatric patients, reinforcing a purely reactive healthcare pattern where help is sought only when debilitating illness occurs.</w:t>
      </w:r>
    </w:p>
    <w:p>
      <w:pPr>
        <w:spacing w:after="200" w:lineRule="auto" w:line="360"/>
        <w:jc w:val="both"/>
      </w:pPr>
      <w:r>
        <w:rPr>
          <w:rFonts w:ascii="Times New Roman" w:hAnsi="Times New Roman"/>
          <w:b w:val="0"/>
          <w:i w:val="0"/>
          <w:sz w:val="24"/>
        </w:rPr>
        <w:t>* Severe User Fatigue in Food Logging: Manual calorie-tracking apps fail because users quickly abandon tedious data entry; furthermore, such tools assume perfect baseline absorption and cannot detect existing biological deficiencies.</w:t>
      </w:r>
    </w:p>
    <w:p>
      <w:pPr>
        <w:spacing w:after="200" w:lineRule="auto" w:line="360"/>
        <w:jc w:val="both"/>
      </w:pPr>
      <w:r>
        <w:rPr>
          <w:rFonts w:ascii="Times New Roman" w:hAnsi="Times New Roman"/>
          <w:b w:val="0"/>
          <w:i w:val="0"/>
          <w:sz w:val="24"/>
        </w:rPr>
        <w:t>* Lack of Pre-Inference Quality Validation in Academic AI: Existing academic AI models lack automated guardrails. If a user uploads an out-of-focus, dark, or irrelevant image (e.g., an animal or household object), the neural network still produces a confident, completely erroneous medical classification ('garbage in, garbage out').</w:t>
      </w:r>
    </w:p>
    <w:p>
      <w:pPr>
        <w:spacing w:after="200" w:lineRule="auto" w:line="360"/>
        <w:jc w:val="both"/>
      </w:pPr>
      <w:r>
        <w:rPr>
          <w:rFonts w:ascii="Times New Roman" w:hAnsi="Times New Roman"/>
          <w:b w:val="0"/>
          <w:i w:val="0"/>
          <w:sz w:val="24"/>
        </w:rPr>
        <w:t>* Absence of Actionable, Localized Remediation: Offline academic classification models merely output a mathematical class label, leaving users stranded without practical, culturally accessible dietary guidance.</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drawbacks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the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w:t>
      </w:r>
    </w:p>
    <w:p>
      <w:pPr>
        <w:spacing w:after="200" w:lineRule="auto" w:line="360"/>
        <w:jc w:val="both"/>
      </w:pPr>
      <w:r>
        <w:rPr>
          <w:rFonts w:ascii="Times New Roman" w:hAnsi="Times New Roman"/>
          <w:b w:val="0"/>
          <w:i w:val="0"/>
          <w:sz w:val="24"/>
        </w:rPr>
        <w:t>* Zero-Cost and Instant Screening: Provides immediate preliminary screening results on any web browser without diagnostic fees or travel delays.</w:t>
      </w:r>
    </w:p>
    <w:p>
      <w:pPr>
        <w:spacing w:after="200" w:lineRule="auto" w:line="360"/>
        <w:jc w:val="both"/>
      </w:pPr>
      <w:r>
        <w:rPr>
          <w:rFonts w:ascii="Times New Roman" w:hAnsi="Times New Roman"/>
          <w:b w:val="0"/>
          <w:i w:val="0"/>
          <w:sz w:val="24"/>
        </w:rPr>
        <w:t>* Completely Non-Invasive: Eliminates needle anxiety and physical discomfort by leveraging standard surface-level smartphone photography.</w:t>
      </w:r>
    </w:p>
    <w:p>
      <w:pPr>
        <w:spacing w:after="200" w:lineRule="auto" w:line="360"/>
        <w:jc w:val="both"/>
      </w:pPr>
      <w:r>
        <w:rPr>
          <w:rFonts w:ascii="Times New Roman" w:hAnsi="Times New Roman"/>
          <w:b w:val="0"/>
          <w:i w:val="0"/>
          <w:sz w:val="24"/>
        </w:rPr>
        <w:t>* Robust Algorithmic Guardrails: The OpenCV quality gate and CLIP semantic check actively reject poor-quality or irrelevant inputs, guaranteeing clinical integrity.</w:t>
      </w:r>
    </w:p>
    <w:p>
      <w:pPr>
        <w:spacing w:after="200" w:lineRule="auto" w:line="360"/>
        <w:jc w:val="both"/>
      </w:pPr>
      <w:r>
        <w:rPr>
          <w:rFonts w:ascii="Times New Roman" w:hAnsi="Times New Roman"/>
          <w:b w:val="0"/>
          <w:i w:val="0"/>
          <w:sz w:val="24"/>
        </w:rPr>
        <w:t>* Culturally Contextualized Indian Nutrition: Offers actionable dietary recommendations featuring affordable, accessible Indian staples (e.g., palak, moringa, lentils, amla, ragi) customized for vegetarian and non-vegetarian users.</w:t>
      </w:r>
    </w:p>
    <w:p>
      <w:pPr>
        <w:spacing w:after="200" w:lineRule="auto" w:line="360"/>
        <w:jc w:val="both"/>
      </w:pPr>
      <w:r>
        <w:rPr>
          <w:rFonts w:ascii="Times New Roman" w:hAnsi="Times New Roman"/>
          <w:b w:val="0"/>
          <w:i w:val="0"/>
          <w:sz w:val="24"/>
        </w:rPr>
        <w:t>* Resilient Microservices Architecture: The separation of React frontend, Java Spring Boot security gateway, and Python FastAPI AI microservice guarantees scalability, security, and fault tolerance.</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and manual diet apps, establishing how NutriVision AI's non-invasive, validated, and culturally grounded architecture provides an effective solution.</w:t>
      </w:r>
    </w:p>
    <w:p>
      <w:r>
        <w:br w:type="page"/>
      </w:r>
    </w:p>
    <w:p>
      <w:pPr>
        <w:spacing w:after="80" w:lineRule="auto" w:line="240"/>
        <w:jc w:val="center"/>
      </w:pPr>
      <w:r>
        <w:rPr>
          <w:rFonts w:ascii="Times New Roman" w:hAnsi="Times New Roman"/>
          <w:b/>
          <w:i w:val="0"/>
          <w:sz w:val="36"/>
        </w:rPr>
        <w:t>CHAPTER 3</w:t>
      </w:r>
    </w:p>
    <w:p>
      <w:pPr>
        <w:spacing w:after="400" w:lineRule="auto" w:line="240"/>
        <w:jc w:val="center"/>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comprehensive literature review is essential to ground the NutriVision AI project in verified scientific literature, examine existing technological paradigms, and identify critical research gaps. This review surveys 20 genuine, peer-reviewed publications and foundational works spanning deep learning in medical image analysis, lightweight transfer learning architectures (such as MobileNetV2), algorithmic Image Quality Assessment (IQA), semantic zero-shot vision-language models (CLIP), and modern enterprise web software engineering. By evaluating the methodology, datasets, findings, and limitations of each study, this chapter establishes the academic foundation justifying the architectural and algorithmic choices of NutriVision AI.</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2017</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Deep Convolutional Neural Networks (Inception v3), Transfer Learning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129,450 clinical images consisting of 2,032 different diseases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model achieved performance on par with 21 board-certified dermatologists. It demonstrated that transfer learning from ImageNet is highly effective for medical image classification. The deep neural network was able to learn complex hierarchical features directly from raw pixels without manual feature engineering, making it generalizable to various dermatological conditions.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model required massive amounts of clinically validated, highly structured data. It did not provide explainability for its predictions, acting largely as a black box. Furthermore, the model was computationally heavy, making it difficult to deploy on low-resource mobile or edge devices without significant quantization or compression.</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This study validates that transfer learning from deep convolutional networks can match human clinical expertise, directly motivating our choice of pre-trained feature extractors for non-invasive deficiency screening. NutriVision AI adapts this principle by fine-tuning on surface physiological markers (eyes, tongue, nails) rather than dermatological biopsies.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reported expert-level accuracy was achieved using massive, resource-heavy Inception v3 networks running on high-end server clusters, making it entirely impractical for consumer mobile browsers. NutriVision AI addresses this by replacing cumbersome monolithic backbones with quantized MobileNetV2 executed via ONNX Runtime on lightweight CPUs.</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2018</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MobileNetV2 Architecture, Depthwise Separable Convolutions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ImageNet Classification Dataset (1.4 million images)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MobileNetV2 significantly reduced the number of parameters and mathematical operations required for high-accuracy image classification. The introduction of inverted residuals and linear bottlenecks allowed the network to maintain high-dimensional feature representations internally while compressing them for efficient computation. It established a new state-of-the-art for mobile computer vision models.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While highly efficient, MobileNetV2 trades off some top-1 accuracy compared to massive models like ResNet-152 or DenseNet. It can struggle with highly fine-grained classification tasks where minute visual details are required, as the heavy compression in bottleneck layers can occasionally discard subtle features.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Sandler et al. introduced inverted residuals and linear bottlenecks, demonstrating that deep feature representations can be maintained with minimal parameter overhead. This paper serves as the architectural cornerstone for NutriVision AI's edge-friendly inference service.</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While MobileNetV2 achieves outstanding inference speed and low memory footprints, aggressive spatial compression in bottleneck layers can discard subtle textural nuances. In NutriVision AI, we mitigate this by preceding inference with an OpenCV quality gate ensuring sharpness before feature extraction.</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Srivastava, D., &amp; Bhattacharyya, D.</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2021</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Convolutional Neural Networks (CNN), Digital Image Processing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Proprietary dataset of human fingernail images annotated for nutritional deficiencies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study demonstrated that visual markers on fingernails, such as koilonychia (spoon nails) and leukonychia (white spots), can be reliably detected using CNNs. The model successfully classified these markers into corresponding nutritional deficiencies like iron and zinc. This proved that non-invasive, surface-level photographic screening is a viable alternative to initial blood testing.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dataset was strictly limited to fingernails, ignoring other highly expressive body parts like the eyes, tongue, and skin. The study was conducted in a controlled environment with optimal lighting, meaning the model's robustness to real-world smartphone photos with varying blur and brightness was not validated.</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Srivastava and Bhattacharyya provide direct empirical evidence that microscopic nail deformations such as koilonychia and leukonychia correspond reliably to iron and zinc deficits, proving the feasibility of smartphone-based photographic triage.</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authors confined their entire dataset to isolated fingernails captured in studio conditions, failing to validate multi-region symptoms (eyes, tongue, lips) or real-world ambient lighting variations. NutriVision AI generalizes beyond single-region constraints to encompass five anatomical surfaces.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Rajpurkar, P., Irvin, J., Ball, R. L., Zhu, K., Yang, B., Mehta, H.</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2018</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Deep learning for chest radiograph diagnosis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121-layer DenseNet, Supervised Deep Learning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ChestX-ray14 dataset (112,120 frontal-view chest X-rays)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CheXNet model surpassed practicing radiologists in detecting pneumonia from chest X-rays. It utilized dense connections to ensure maximum information flow between layers, which proved highly effective for medical imaging. The research validated the use of deep learning for large-scale, automated medical diagnostics.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model was trained exclusively on X-ray imagery, which is highly structured compared to standard RGB photography. It did not account for patient history or textual symptoms, relying solely on visual data. The computational requirements for a 121-layer DenseNet make it entirely unsuitable for browser-based or edge deployment.</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Rajpurkar et al. proved that DenseNet models with skip connections capture fine-grained radiographic anomalies, inspiring our feature map representations for medical-grade visual interpretation.</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121-layer architecture demands substantial GPU memory and focuses exclusively on high-contrast grayscale X-rays. For color smartphone photographs with arbitrary zoom and glare, lightweight transfer learning with rigorous pre-filtering is significantly more suitable.</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Pertuz, S., Puig, D., &amp; Garcia, M. A.</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2013</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Laplacian Variance, Image Quality Assessment (IQA)</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Standard synthetic and real-world out-of-focus image datasets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paper comprehensively compared 36 different focus measure operators and concluded that second-order derivatives, particularly the Laplacian variance, are highly robust for detecting image blur. The Laplacian operator effectively isolates high-frequency spatial components (edges), which disappear in blurry images. This provides a fast, computationally inexpensive metric for image sharpness.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Laplacian variance is highly sensitive to image noise; a very noisy image might produce a high variance score despite being blurry. It requires empirical threshold calibration depending on the specific camera hardware and lighting conditions. It also does not assess semantic image quality, only physical focus.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Pertuz et al. systematically established that second-order Laplacian variance is the most effective and computationally lightweight operator for blur detection, directly supplying the algorithmic basis for NutriVision AI's Stage 1 Technical Quality Gate.</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Laplacian variance operates solely in the spatial frequency domain and is sensitive to high-frequency image noise. NutriVision AI combines Laplacian blur filtering with grayscale mean luminance and CLIP semantic verification to ensure complete input viability.</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Aburawi, E. H., Liechti, M. E., &amp; Schärer, 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2019</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Clinical Review, Observational Analysis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Clinical case studies and historical medical records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review established definitive clinical links between specific nutritional deficiencies and visible ocular symptoms. Vitamin A deficiency was strongly correlated with conjunctival xerosis, Bitot's spots, and corneal ulceration. Iron deficiency was definitively linked to conjunctival pallor. This provides strong medical grounding for using eye photography in deficiency screening.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study was purely observational and did not involve any automated or algorithmic detection methods. The findings were heavily skewed towards severe pediatric cases in resource-limited settings, meaning early-stage or mild manifestations in adults were less thoroughly documented.</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Aburawi et al. provide thorough clinical documentation correlating ocular signs (Bitot's spots, conjunctival xerosis, and pale conjunctiva) with Vitamin A and iron deficiencies, supplying the medical ground truth for our diagnostic ontology.</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study is purely observational and clinical, lacking any computational automation or algorithmic detection pipeline. NutriVision AI digitizes these exact pediatric and adult clinical indicators into automated computer vision triage workflows.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Radford, A., Kim, J. W., Hallacy, C., Ramesh, A., Goh, G., Agarwal, 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2021</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Learning Transferable Visual Models From Natural Language Supervision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Contrastive Language-Image Pre-training (CLIP), Multimodal Learning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400 million image-text pairs from the internet</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CLIP demonstrated that models trained to predict which caption goes with which image learn highly transferable visual representations. Unlike standard ImageNet models, CLIP excels at zero-shot classification without fine-tuning. It effectively maps images and text into a shared embedding space, allowing for robust content validation and image search.</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CLIP is computationally heavy and requires massive data for initial training. While excellent at general semantic understanding (e.g., distinguishing a dog from a human), it struggles with fine-grained, specialized medical classification out-of-the-box. It requires significant engineering to run efficiently on edge servers.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Radford et al. pioneered contrastive language-image pre-training, enabling zero-shot open-vocabulary semantic alignment. NutriVision AI leverages a quantized ONNX version of CLIP in Stage 2 to verify that uploaded photos actually depict human anatomical parts rather than random objects.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Standard CLIP models are computationally massive and lack fine-grained medical diagnostic sensitivity. In NutriVision AI, CLIP is strictly scoped as a binary semantic guardrail (filtering non-human or irrelevant subjects) rather than a final deficiency classifier.</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Mittal, A., Moorthy, A. K., &amp; Bovik, A. C.</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2012</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No-Reference Image Quality Assessment in the Spatial Domain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Blind/Referenceless Image Spatial Quality Evaluator (BRISQUE)</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LIVE Image Quality Assessment Database</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BRISQUE proved that high-accuracy image quality assessment could be performed without a pristine reference image by analyzing Natural Scene Statistics (NSS). Distortions like blur, noise, and compression alter these statistics in predictable ways. The model provides a comprehensive quality score suitable for automated image filtering pipelines.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BRISQUE relies on Support Vector Machines (SVM) trained on specific distortion types. It is more computationally complex than simple variance metrics and can struggle with non-natural images (like macro medical photography) where the underlying statistical assumptions of 'natural scenes' do not apply.</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Mittal et al. demonstrated that natural scene statistics can evaluate perceptual image quality without reference images, confirming the viability of blind quality assessment in consumer photography.</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BRISQUE relies on support vector regression over complex spatial transforms, incurring noticeable latency on CPU microservices. NutriVision AI selects real-time OpenCV Laplacian variance and mean exposure metrics for sub-50ms rejection.</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Zimmermann, M. B.</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2008</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Methods for assessing iron and iodine status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Biomarker Analysis, Clinical Symptom Evaluation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Global health surveys and nutritional epidemiology data</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paper outlines the gold standards for iron deficiency testing (serum ferritin, hemoglobin) but emphasizes the importance of clinical visual signs like pallor of the conjunctiva, nail beds, and tongue in low-resource settings. It confirms that visual pallor is a high-specificity, albeit lower-sensitivity, marker for severe anemia.</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study highlights that visual assessment by human clinicians is subjective and prone to inter-observer variability. Mild iron deficiency without anemia cannot be reliably detected through visual means alone, necessitating algorithmic standardization to improve sensitivity.</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Zimmermann outlines gold-standard biomarker panels while emphasizing that visual signs of anemia (conjunctival and tongue pallor) remain the primary triage method across developing regions, justifying our public health focus.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Visual inspections by community health workers suffer from high inter-observer variability and subjective bias. NutriVision AI eliminates human subjectivity through standardized RGB pixel analysis and neural classification.</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Litjens, G., Kooi, T., Bejnordi, B. E., Setio, A. A. A., Ciompi, F.</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2017</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Comprehensive Systematic Review</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Over 300 peer-reviewed papers in medical deep learning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survey concluded that Convolutional Neural Networks had become the de facto standard for medical image analysis, completely replacing traditional feature-engineering approaches. It highlighted successful applications in neurology, retina, pulmonary, and digital pathology, affirming the maturity of the technology for healthcare applications.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survey noted persistent challenges with data scarcity, class imbalance, and the 'black box' nature of neural networks. It highlighted the lack of standardized, large-scale public datasets for many specific medical conditions, forcing researchers to rely on private, non-reproducible datasets.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Litjens et al. provide a foundational meta-analysis proving that CNNs surpass manual feature engineering across clinical domains, establishing the technological roadmap for modern computer vision diagnostics.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survey highlighted the persistent risk of 'black box' machine learning and non-reproducible private datasets. NutriVision AI combats this through transparent medical disclaimers, clear quality scoring, and rule-based nutritional mappings.</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Walls, C.</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2022</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Spring Boot in Action, Second Edition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Software Architecture, Microservices Design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 (Software Engineering Textbook)</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Walls demonstrates that the Spring Boot framework dramatically reduces the boilerplate configuration historically associated with enterprise Java. By utilizing auto-configuration and starter dependencies, Spring Boot enables the rapid development of production-ready, secure REST APIs. The integration of Spring Security and Spring Data JPA provides a highly robust foundation for backend systems.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Spring Boot applications typically have higher memory footprints and longer cold-start times compared to lightweight frameworks like Node.js or Go. This can be problematic in serverless environments or free-tier cloud hosting where resources are strictly limited.</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Walls provides the reference methodology for enterprise-grade Spring Boot microservices, forming the basis for NutriVision AI's robust API gateway, JWT stateless authentication, and secure database persistence.</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Spring Boot applications incur higher memory footprints and cold-start latencies compared to minimal Go or Node runtimes. We resolve this by decoupling the compute-heavy AI tasks into a specialized FastAPI Python microservice.</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Fielding, R. T.</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2000</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Representational State Transfer (REST) Architecture</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 (Doctoral Dissertation)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Fielding formalized the REST architectural style, which relies on stateless, client-server communication using standard HTTP methods. REST enables highly scalable, decoupled distributed systems. The stateless constraint ensures that no client context is stored on the server between requests, which is highly advantageous for load balancing and horizontal scaling.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Strict REST architectures can lead to over-fetching or under-fetching of data, as endpoints are resource-centric rather than UI-centric. The statelessness requires every request to carry full authentication credentials (like JWTs), increasing payload overhead.</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Fielding formalizes the architectural properties of REST, notably stateless communication and client-server decoupling, which govern the interaction between NutriVision AI's React frontend and backend microservices.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Pure REST architectures require every HTTP request to carry full authorization claims, increasing payload overhead. NutriVision AI optimizes this with compact, signed JWT bearer tokens and aggressive JSON serialization.</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Jones, M., Bradley, J., &amp; Sakimura, 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2015</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JSON Web Token (JWT)</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IETF RFC 7519 Standardization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 (Protocol Specification)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RFC established JWT as a compact, URL-safe means of representing claims to be transferred between two parties. The claims in a JWT are encoded as a JSON object that is digitally signed using a Message Authentication Code (MAC) or public/private key pair. This enables decentralized, stateless authentication for modern web APIs.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Once a JWT is issued, it cannot be easily revoked before its expiration time without implementing stateful token blacklists on the server, which defeats the primary purpose of statelessness. Furthermore, storing JWTs securely in web browsers is challenging due to Cross-Site Scripting (XSS) vulnerabilities.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RFC 7519 defines the cryptographic security standard for JSON Web Tokens, which NutriVision AI implements to safeguard sensitive patient screening requests without server-side session bloat.</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Stateless JWT tokens cannot be invalidated prior to expiry without centralized blacklist caches. NutriVision AI mitigates this with short token lifetimes (24 hours) and strict HTTPS transport encryption.</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Newman, 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2015</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Microservices Architectural Pattern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 (Software Engineering Book)</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Newman advocates for decomposing monolithic applications into small, independently deployable services modeled around business domains. This approach allows different teams to use disparate technologies (e.g., Java for backend, Python for AI) and scale components independently based on their specific workload requirements.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Microservices introduce significant operational complexity, requiring robust orchestration, distributed tracing, and complex CI/CD pipelines. Network latency between services and the complexity of managing distributed data consistency are major hurdles compared to monolithic architectures.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Newman details domain-driven microservice boundaries, directly inspiring our three-tier decoupled architecture: presentation (React), security gateway (Spring Boot), and tensor inference (FastAPI).</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Distributed microservices introduce operational complexity, inter-service network overhead, and potential cascade failures. NutriVision AI addresses this with resilient timeout handling and fallback responses in `AiInferenceClient`.</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2001</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Handbook of Vitamins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Nutritional Biochemistry Analysis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Extensive clinical biochemistry literature</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handbook provides definitive biochemical pathways and physiological manifestations of all major vitamins. It establishes the clinical basis for how deficiencies alter cellular metabolism, ultimately leading to macroscopic tissue changes, such as mucosal inflammation (Vitamin B12), impaired collagen synthesis causing bleeding (Vitamin C), and epithelial keratinization (Vitamin A).</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text is highly focused on clinical biochemistry rather than automated diagnostics. It does not provide standardized photographic datasets or algorithmic rules for detecting these tissue changes, requiring cross-disciplinary work to translate the medical knowledge into computer vision systems.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Rucker et al. establish the definitive biochemical pathways linking micronutrient depletion with visible cellular pathology (epithelial keratinization, mucosal atrophy, collagen synthesis failure), validating our clinical feature selections.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biochemical literature is theoretical and clinical, providing no algorithmic implementation guidelines. NutriVision AI successfully translates these biochemical relationships into localized, practical dietary advice.</w:t>
      </w:r>
    </w:p>
    <w:p>
      <w:pPr>
        <w:spacing w:after="120" w:lineRule="auto" w:line="276"/>
        <w:jc w:val="left"/>
      </w:pPr>
      <w:r>
        <w:rPr>
          <w:rFonts w:ascii="Times New Roman" w:hAnsi="Times New Roman"/>
          <w:b/>
          <w:i w:val="0"/>
          <w:sz w:val="28"/>
        </w:rPr>
        <w:t>3.2.16 Paper 16: Onnx.ai et al. (2023)</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Onnx.ai</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2023</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ONNX: Open Neural Network Exchange</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Framework Interoperability Standard</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 (Open Source Standard)</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ONNX provides a standardized format for representing deep learning models, allowing seamless transition between frameworks like PyTorch, TensorFlow, and scikit-learn. Deploying models via ONNX Runtime offers significant performance optimizations, including operator fusion and constant folding, resulting in faster inference times on diverse hardware backends, including CPUs.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Converting highly complex, custom neural network layers from PyTorch to ONNX can sometimes fail if the specific operator is not supported by the target ONNX opset version. Furthermore, debugging ONNX graphs is significantly more difficult than debugging native PyTorch code.</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The ONNX consortium defines open neural network interoperability, enabling NutriVision AI to export fine-tuned PyTorch CNN models into compact `.onnx` binaries executed by high-performance CPU runtimes.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Certain custom PyTorch operations require explicit operator sets during export and can complicate debugging. In NutriVision AI, we standardize on ONNX Opset 14, guaranteeing broad hardware portability.</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Osmani, A.</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2020</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Learning JavaScript Design Patterns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Frontend Architecture, UI Patterns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 (Software Engineering Book)</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Osmani details modern JavaScript patterns, heavily emphasizing modularity, component-based architectures, and state management. The transition to single-page applications (SPAs) requires robust state containers and reactive UI updates. The book provides the theoretical backing for why frameworks like React and state managers like Zustand are highly effective for complex UIs.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Frontend patterns evolve extremely rapidly, rendering some specific library recommendations obsolete quickly. The complexity of modern SPA patterns can lead to massive JavaScript bundle sizes, degrading performance on low-end mobile devices if code-splitting is not properly implemented.</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Osmani analyzes scalable JavaScript UI patterns, guiding the structure of NutriVision AI's responsive React 18 Single Page Application with modular hook-based state management.</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Complex SPA state management can result in unnecessary DOM re-renders and inflated bundle sizes. NutriVision AI leverages lightweight Zustand stores and Vite bundling for near-instant client page loads.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World Health Organization (WHO)</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2009</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Global prevalence of vitamin A deficiency in populations at risk</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Global Epidemiological Survey</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National health surveys from 1995–2005</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WHO report documented the staggering scale of Vitamin A deficiency, particularly in South Asia and Sub-Saharan Africa. It highlighted that VAD is a leading cause of preventable blindness and significantly increases mortality risk from common infections. The data underscores the critical public health need for accessible, low-cost screening interventions.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data relies heavily on complex national surveys which are infrequent and expensive to conduct. The report highlights the lack of real-time surveillance systems for nutritional deficiencies, which delays public health responses to emerging malnutrition crises.</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The WHO epidemiological report provides authoritative global statistics on Vitamin A and micronutrient deficiency burdens, confirming the critical socio-economic urgency for accessible triage in South Asia.</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National health surveys occur at multi-year intervals and cannot support individual proactive care. NutriVision AI provides an immediate, continuous personal screening companion for at-risk individuals.</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Mitra, S., Srivastava, S., &amp; Kumar, 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2020</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Image Analysis, Support Vector Machines, CNNs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Images of eyes, lips, and tongue collected from local clinics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authors developed a multi-part system that analyzed different facial regions to predict vitamin deficiencies. They demonstrated that combining color-space analysis (like extracting RGB histograms from the tongue) with deep learning features improves overall classification accuracy compared to simple rule-based image processing.</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The system required manual cropping and isolation of the specific facial features by the user, making it highly dependent on user skill. The dataset size was very small, leading to potential overfitting. The system lacked an integrated deployment architecture, remaining an offline academic prototype.</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Mitra et al. demonstrate that extracting color histograms from oral and ocular photography aids deficiency classification, validating our multi-region surface approach.</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The authors relied on manual region cropping by the user, severely compromising real-world usability. NutriVision AI automates the workflow through guided user prompts and intelligent content verification.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168"/>
        <w:gridCol w:w="5832"/>
      </w:tblGrid>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Name of the Author(s)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He, K., Zhang, X., Ren, S., &amp; Sun, J.</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Year</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2016</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Paper title</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Method / technology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Residual Networks (ResNet), Skip Connections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Dataset / system used</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ImageNet, COCO object detection dataset</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Major findings / results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ResNet solved the vanishing gradient problem that plagued extremely deep neural networks by introducing skip connections (residual blocks) that allow gradients to bypass certain layers. This enabled the training of networks with 152 layers, drastically improving state-of-the-art accuracy on ImageNet and establishing the foundation for modern deep learning architectures.</w:t>
            </w:r>
          </w:p>
        </w:tc>
      </w:tr>
      <w:tr>
        <w:tc>
          <w:tcPr>
            <w:tcW w:type="dxa" w:w="4500"/>
            <w:shd w:val="clear" w:color="auto" w:fill="DCE6F1"/>
            <w:tcMar>
              <w:top w:w="90" w:type="dxa"/>
              <w:bottom w:w="90" w:type="dxa"/>
              <w:left w:w="140" w:type="dxa"/>
              <w:right w:w="140" w:type="dxa"/>
            </w:tcMar>
          </w:tcPr>
          <w:p>
            <w:pPr>
              <w:spacing w:before="40" w:after="40"/>
            </w:pPr>
            <w:r>
              <w:rPr>
                <w:rFonts w:ascii="Times New Roman" w:hAnsi="Times New Roman"/>
                <w:b/>
                <w:sz w:val="20"/>
              </w:rPr>
              <w:t>Limitations</w:t>
            </w:r>
          </w:p>
        </w:tc>
        <w:tc>
          <w:tcPr>
            <w:tcW w:type="dxa" w:w="4500"/>
            <w:tcMar>
              <w:top w:w="90" w:type="dxa"/>
              <w:bottom w:w="90" w:type="dxa"/>
              <w:left w:w="140" w:type="dxa"/>
              <w:right w:w="140" w:type="dxa"/>
            </w:tcMar>
          </w:tcPr>
          <w:p>
            <w:pPr>
              <w:spacing w:before="40" w:after="40"/>
              <w:jc w:val="both"/>
            </w:pPr>
            <w:r>
              <w:rPr>
                <w:rFonts w:ascii="Times New Roman" w:hAnsi="Times New Roman"/>
                <w:sz w:val="19"/>
              </w:rPr>
              <w:t>While highly accurate, deep ResNets have large memory footprints and high computational costs, making inference slow on edge devices or free-tier CPU servers. This makes them less optimal for lightweight web applications compared to architectures specifically designed for mobile environments like MobileNetV2.</w:t>
            </w:r>
          </w:p>
        </w:tc>
      </w:tr>
    </w:tbl>
    <w:p>
      <w:pPr>
        <w:spacing w:after="80" w:lineRule="auto" w:line="288" w:before="120"/>
        <w:jc w:val="both"/>
      </w:pPr>
      <w:r>
        <w:rPr>
          <w:rFonts w:ascii="Times New Roman" w:hAnsi="Times New Roman"/>
          <w:b/>
          <w:sz w:val="22"/>
        </w:rPr>
        <w:t xml:space="preserve">Relevance to the present work: </w:t>
      </w:r>
      <w:r>
        <w:rPr>
          <w:rFonts w:ascii="Times New Roman" w:hAnsi="Times New Roman"/>
          <w:sz w:val="22"/>
        </w:rPr>
        <w:t>He et al. revolutionized computer vision with residual learning, establishing the deep learning framework that underpins MobileNetV2's inverted residual building blocks.</w:t>
      </w:r>
    </w:p>
    <w:p>
      <w:pPr>
        <w:spacing w:after="280" w:lineRule="auto" w:line="288"/>
        <w:jc w:val="both"/>
      </w:pPr>
      <w:r>
        <w:rPr>
          <w:rFonts w:ascii="Times New Roman" w:hAnsi="Times New Roman"/>
          <w:b/>
          <w:sz w:val="22"/>
        </w:rPr>
        <w:t xml:space="preserve">Critical observation: </w:t>
      </w:r>
      <w:r>
        <w:rPr>
          <w:rFonts w:ascii="Times New Roman" w:hAnsi="Times New Roman"/>
          <w:sz w:val="22"/>
        </w:rPr>
        <w:t>Extremely deep ResNet models (e.g., ResNet-152) carry high computational costs unsuitable for free-tier cloud servers. NutriVision AI deploys MobileNetV2 to retain residual advantages while achieving sub-second CPU inference.</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The systematic literature review reveals three critical engineering and research gaps:</w:t>
      </w:r>
    </w:p>
    <w:p>
      <w:pPr>
        <w:spacing w:after="200" w:lineRule="auto" w:line="360"/>
        <w:jc w:val="both"/>
      </w:pPr>
      <w:r>
        <w:rPr>
          <w:rFonts w:ascii="Times New Roman" w:hAnsi="Times New Roman"/>
          <w:b w:val="0"/>
          <w:i w:val="0"/>
          <w:sz w:val="24"/>
        </w:rPr>
        <w:t>* 1. Disconnect Between Machine Learning Models and Production Web Systems: Most existing studies (e.g., Srivastava &amp; Bhattacharyya, Mitra et al.) operate strictly as isolated academic models or offline Jupyter notebooks. There is an absence of research demonstrating how these models can be safely integrated into full-stack, secure, multi-tier web applications featuring enterprise user authentication, database persistence, and robust API gateways.</w:t>
      </w:r>
    </w:p>
    <w:p>
      <w:pPr>
        <w:spacing w:after="200" w:lineRule="auto" w:line="360"/>
        <w:jc w:val="both"/>
      </w:pPr>
      <w:r>
        <w:rPr>
          <w:rFonts w:ascii="Times New Roman" w:hAnsi="Times New Roman"/>
          <w:b w:val="0"/>
          <w:i w:val="0"/>
          <w:sz w:val="24"/>
        </w:rPr>
        <w:t>* 2. Absence of Real-Time Pre-Inference Validation: Literature almost universally presumes high-quality, clinically standardized imagery. In real-world web deployments, users submit imperfect smartphone photos affected by camera motion blur, poor lighting, or wrong subjects. Existing prototypes lack pre-inference validation, resulting in confident but false classifications when unviable photos are submitted.</w:t>
      </w:r>
    </w:p>
    <w:p>
      <w:pPr>
        <w:spacing w:after="200" w:lineRule="auto" w:line="360"/>
        <w:jc w:val="both"/>
      </w:pPr>
      <w:r>
        <w:rPr>
          <w:rFonts w:ascii="Times New Roman" w:hAnsi="Times New Roman"/>
          <w:b w:val="0"/>
          <w:i w:val="0"/>
          <w:sz w:val="24"/>
        </w:rPr>
        <w:t>* 3. Lack of Integrated, Actionable Remediation: Published research stops at diagnostic classification labels without providing personalized, culturally accessible dietary guidance or follow-up communication to guide the user post-assessment.</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20 peer-reviewed research papers confirming the validity of transfer learning and lightweight CNNs for medical image triage. It clearly synthesized the research gaps that directly motivated NutriVision AI's two-stage image validation pipeline, ONNX runtime optimization, and localized nutrition integration.</w:t>
      </w:r>
    </w:p>
    <w:p>
      <w:r>
        <w:br w:type="page"/>
      </w:r>
    </w:p>
    <w:p>
      <w:pPr>
        <w:spacing w:after="80" w:lineRule="auto" w:line="240"/>
        <w:jc w:val="center"/>
      </w:pPr>
      <w:r>
        <w:rPr>
          <w:rFonts w:ascii="Times New Roman" w:hAnsi="Times New Roman"/>
          <w:b/>
          <w:i w:val="0"/>
          <w:sz w:val="36"/>
        </w:rPr>
        <w:t>CHAPTER 4</w:t>
      </w:r>
    </w:p>
    <w:p>
      <w:pPr>
        <w:spacing w:after="400" w:lineRule="auto" w:line="240"/>
        <w:jc w:val="center"/>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phase establishes the concrete functional capabilities, non-functional constraints, and technical infrastructure required to implement NutriVision AI. The platform operates across a distributed cloud-native architecture connecting client web browsers with containerized backend services. The requirements ensure high security, data privacy, rapid response times, and dependable fault tolerance.</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specify the exact capabilities implemented within each system module:</w:t>
      </w:r>
    </w:p>
    <w:p>
      <w:pPr>
        <w:spacing w:after="200" w:lineRule="auto" w:line="360"/>
        <w:jc w:val="both"/>
      </w:pPr>
      <w:r>
        <w:rPr>
          <w:rFonts w:ascii="Times New Roman" w:hAnsi="Times New Roman"/>
          <w:b w:val="0"/>
          <w:i w:val="0"/>
          <w:sz w:val="24"/>
        </w:rPr>
        <w:t>* FR-1 User Authentication: Secure user registration and login utilizing BCrypt password hashing and stateless JSON Web Tokens (JWT) with 24-hour expiration.</w:t>
      </w:r>
    </w:p>
    <w:p>
      <w:pPr>
        <w:spacing w:after="200" w:lineRule="auto" w:line="360"/>
        <w:jc w:val="both"/>
      </w:pPr>
      <w:r>
        <w:rPr>
          <w:rFonts w:ascii="Times New Roman" w:hAnsi="Times New Roman"/>
          <w:b w:val="0"/>
          <w:i w:val="0"/>
          <w:sz w:val="24"/>
        </w:rPr>
        <w:t>* FR-2 Multi-Body Part Image Ingestion: Capability for users to select target body parts (Eyes, Nails, Tongue, Lips, Skin) and upload photographs in JPEG, PNG, or WebP formats up to 10MB.</w:t>
      </w:r>
    </w:p>
    <w:p>
      <w:pPr>
        <w:spacing w:after="200" w:lineRule="auto" w:line="360"/>
        <w:jc w:val="both"/>
      </w:pPr>
      <w:r>
        <w:rPr>
          <w:rFonts w:ascii="Times New Roman" w:hAnsi="Times New Roman"/>
          <w:b w:val="0"/>
          <w:i w:val="0"/>
          <w:sz w:val="24"/>
        </w:rPr>
        <w:t>* FR-3 Automated Image Quality Assessment: Server-side validation via OpenCV computing Laplacian variance (blur detection) and mean grayscale luminance (exposure detection), rejecting substandard photos with actionable user feedback.</w:t>
      </w:r>
    </w:p>
    <w:p>
      <w:pPr>
        <w:spacing w:after="200" w:lineRule="auto" w:line="360"/>
        <w:jc w:val="both"/>
      </w:pPr>
      <w:r>
        <w:rPr>
          <w:rFonts w:ascii="Times New Roman" w:hAnsi="Times New Roman"/>
          <w:b w:val="0"/>
          <w:i w:val="0"/>
          <w:sz w:val="24"/>
        </w:rPr>
        <w:t>* FR-4 Semantic Content Verification: Validation using a quantized CLIP ONNX model ensuring uploaded photographs actually depict human body features rather than extraneous subjects.</w:t>
      </w:r>
    </w:p>
    <w:p>
      <w:pPr>
        <w:spacing w:after="200" w:lineRule="auto" w:line="360"/>
        <w:jc w:val="both"/>
      </w:pPr>
      <w:r>
        <w:rPr>
          <w:rFonts w:ascii="Times New Roman" w:hAnsi="Times New Roman"/>
          <w:b w:val="0"/>
          <w:i w:val="0"/>
          <w:sz w:val="24"/>
        </w:rPr>
        <w:t>* FR-5 Deep Learning Deficiency Classification: Forward-pass inference via MobileNetV2 ONNX yielding Softmax probabilities across six deficiency classes and returning the top-3 predictions.</w:t>
      </w:r>
    </w:p>
    <w:p>
      <w:pPr>
        <w:spacing w:after="200" w:lineRule="auto" w:line="360"/>
        <w:jc w:val="both"/>
      </w:pPr>
      <w:r>
        <w:rPr>
          <w:rFonts w:ascii="Times New Roman" w:hAnsi="Times New Roman"/>
          <w:b w:val="0"/>
          <w:i w:val="0"/>
          <w:sz w:val="24"/>
        </w:rPr>
        <w:t>* FR-6 Culturally Tailored Nutrition Guidance: Dynamic retrieval of Indian food items rich in the identified deficient nutrients, partitioned into vegetarian and non-vegetarian diets.</w:t>
      </w:r>
    </w:p>
    <w:p>
      <w:pPr>
        <w:spacing w:after="200" w:lineRule="auto" w:line="360"/>
        <w:jc w:val="both"/>
      </w:pPr>
      <w:r>
        <w:rPr>
          <w:rFonts w:ascii="Times New Roman" w:hAnsi="Times New Roman"/>
          <w:b w:val="0"/>
          <w:i w:val="0"/>
          <w:sz w:val="24"/>
        </w:rPr>
        <w:t>* FR-7 Interactive Conversational Chatbot: Scoped Natural Language Processing chatbot providing instant clarification on vitamin functions, dietary sources, and lifestyle tips.</w:t>
      </w:r>
    </w:p>
    <w:p>
      <w:pPr>
        <w:spacing w:after="200" w:lineRule="auto" w:line="360"/>
        <w:jc w:val="both"/>
      </w:pPr>
      <w:r>
        <w:rPr>
          <w:rFonts w:ascii="Times New Roman" w:hAnsi="Times New Roman"/>
          <w:b w:val="0"/>
          <w:i w:val="0"/>
          <w:sz w:val="24"/>
        </w:rPr>
        <w:t>* FR-8 PDF Report Generation: Dynamic compilation of patient assessment details, quality metrics, predictions, and medical disclaimers into downloadable PDF documents.</w:t>
      </w:r>
    </w:p>
    <w:p>
      <w:pPr>
        <w:spacing w:after="200" w:lineRule="auto" w:line="360"/>
        <w:jc w:val="both"/>
      </w:pPr>
      <w:r>
        <w:rPr>
          <w:rFonts w:ascii="Times New Roman" w:hAnsi="Times New Roman"/>
          <w:b w:val="0"/>
          <w:i w:val="0"/>
          <w:sz w:val="24"/>
        </w:rPr>
        <w:t>* FR-9 Administrative Analytics: Secured administrative endpoints providing global assessment metrics and user statistics.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quality and operational standards:</w:t>
      </w:r>
    </w:p>
    <w:p>
      <w:pPr>
        <w:spacing w:after="200" w:lineRule="auto" w:line="360"/>
        <w:jc w:val="both"/>
      </w:pPr>
      <w:r>
        <w:rPr>
          <w:rFonts w:ascii="Times New Roman" w:hAnsi="Times New Roman"/>
          <w:b w:val="0"/>
          <w:i w:val="0"/>
          <w:sz w:val="24"/>
        </w:rPr>
        <w:t>* Performance: Rapid initial page load (&lt; 2.0s) via Vite bundling; database query execution under 200ms; warm AI model inference under 8 seconds. Extended HTTP client timeouts (up to 2 hours) to handle cloud free-tier cold starts.</w:t>
      </w:r>
    </w:p>
    <w:p>
      <w:pPr>
        <w:spacing w:after="200" w:lineRule="auto" w:line="360"/>
        <w:jc w:val="both"/>
      </w:pPr>
      <w:r>
        <w:rPr>
          <w:rFonts w:ascii="Times New Roman" w:hAnsi="Times New Roman"/>
          <w:b w:val="0"/>
          <w:i w:val="0"/>
          <w:sz w:val="24"/>
        </w:rPr>
        <w:t>* Security: Cryptographic hashing of passwords using BCrypt (work factor 12); stateless token validation via JJWT; CORS whitelist protection; parameterized JPA queries preventing SQL injection.</w:t>
      </w:r>
    </w:p>
    <w:p>
      <w:pPr>
        <w:spacing w:after="200" w:lineRule="auto" w:line="360"/>
        <w:jc w:val="both"/>
      </w:pPr>
      <w:r>
        <w:rPr>
          <w:rFonts w:ascii="Times New Roman" w:hAnsi="Times New Roman"/>
          <w:b w:val="0"/>
          <w:i w:val="0"/>
          <w:sz w:val="24"/>
        </w:rPr>
        <w:t>* Reliability &amp; Fault Tolerance: Microservice isolation ensuring that if the Python AI service is unreachable, the Spring Boot gateway catches network timeouts gracefully without crashing.</w:t>
      </w:r>
    </w:p>
    <w:p>
      <w:pPr>
        <w:spacing w:after="200" w:lineRule="auto" w:line="360"/>
        <w:jc w:val="both"/>
      </w:pPr>
      <w:r>
        <w:rPr>
          <w:rFonts w:ascii="Times New Roman" w:hAnsi="Times New Roman"/>
          <w:b w:val="0"/>
          <w:i w:val="0"/>
          <w:sz w:val="24"/>
        </w:rPr>
        <w:t>* Usability &amp; Responsiveness: Fully responsive UI built with Tailwind CSS supporting mobile, tablet, and desktop viewports, with accessible iconography (Lucide React) and intuitive error messages.</w:t>
      </w:r>
    </w:p>
    <w:p>
      <w:pPr>
        <w:spacing w:after="200" w:lineRule="auto" w:line="360"/>
        <w:jc w:val="both"/>
      </w:pPr>
      <w:r>
        <w:rPr>
          <w:rFonts w:ascii="Times New Roman" w:hAnsi="Times New Roman"/>
          <w:b w:val="0"/>
          <w:i w:val="0"/>
          <w:sz w:val="24"/>
        </w:rPr>
        <w:t>* Maintainability: Clean separation of concerns following MVC and service-repository patterns, enabling independent AI model updates without recompiling backend code.</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Component</w:t>
            </w:r>
          </w:p>
        </w:tc>
        <w:tc>
          <w:tcPr>
            <w:tcW w:type="dxa" w:w="3000"/>
          </w:tcPr>
          <w:p>
            <w:r>
              <w:rPr>
                <w:rFonts w:ascii="Times New Roman" w:hAnsi="Times New Roman"/>
                <w:b/>
                <w:sz w:val="20"/>
              </w:rPr>
              <w:t>Minimum Requirement</w:t>
            </w:r>
          </w:p>
        </w:tc>
        <w:tc>
          <w:tcPr>
            <w:tcW w:type="dxa" w:w="3000"/>
          </w:tcPr>
          <w:p>
            <w:r>
              <w:rPr>
                <w:rFonts w:ascii="Times New Roman" w:hAnsi="Times New Roman"/>
                <w:b/>
                <w:sz w:val="20"/>
              </w:rPr>
              <w:t>Recommended Specification</w:t>
            </w:r>
          </w:p>
        </w:tc>
      </w:tr>
      <w:tr>
        <w:tc>
          <w:tcPr>
            <w:tcW w:type="dxa" w:w="3000"/>
          </w:tcPr>
          <w:p>
            <w:pPr>
              <w:spacing w:before="60" w:after="60"/>
            </w:pPr>
            <w:r>
              <w:rPr>
                <w:rFonts w:ascii="Times New Roman" w:hAnsi="Times New Roman"/>
                <w:sz w:val="19"/>
              </w:rPr>
              <w:t>Client Device</w:t>
            </w:r>
          </w:p>
        </w:tc>
        <w:tc>
          <w:tcPr>
            <w:tcW w:type="dxa" w:w="3000"/>
          </w:tcPr>
          <w:p>
            <w:pPr>
              <w:spacing w:before="60" w:after="60"/>
            </w:pPr>
            <w:r>
              <w:rPr>
                <w:rFonts w:ascii="Times New Roman" w:hAnsi="Times New Roman"/>
                <w:sz w:val="19"/>
              </w:rPr>
              <w:t>Smartphone/PC with 2MP camera</w:t>
            </w:r>
          </w:p>
        </w:tc>
        <w:tc>
          <w:tcPr>
            <w:tcW w:type="dxa" w:w="3000"/>
          </w:tcPr>
          <w:p>
            <w:pPr>
              <w:spacing w:before="60" w:after="60"/>
            </w:pPr>
            <w:r>
              <w:rPr>
                <w:rFonts w:ascii="Times New Roman" w:hAnsi="Times New Roman"/>
                <w:sz w:val="19"/>
              </w:rPr>
              <w:t>Smartphone with 8MP+ camera and modern browser</w:t>
            </w:r>
          </w:p>
        </w:tc>
      </w:tr>
      <w:tr>
        <w:tc>
          <w:tcPr>
            <w:tcW w:type="dxa" w:w="3000"/>
          </w:tcPr>
          <w:p>
            <w:pPr>
              <w:spacing w:before="60" w:after="60"/>
            </w:pPr>
            <w:r>
              <w:rPr>
                <w:rFonts w:ascii="Times New Roman" w:hAnsi="Times New Roman"/>
                <w:sz w:val="19"/>
              </w:rPr>
              <w:t>Spring Boot Backend</w:t>
            </w:r>
          </w:p>
        </w:tc>
        <w:tc>
          <w:tcPr>
            <w:tcW w:type="dxa" w:w="3000"/>
          </w:tcPr>
          <w:p>
            <w:pPr>
              <w:spacing w:before="60" w:after="60"/>
            </w:pPr>
            <w:r>
              <w:rPr>
                <w:rFonts w:ascii="Times New Roman" w:hAnsi="Times New Roman"/>
                <w:sz w:val="19"/>
              </w:rPr>
              <w:t>1 vCPU, 512 MB RAM, 2 GB Disk</w:t>
            </w:r>
          </w:p>
        </w:tc>
        <w:tc>
          <w:tcPr>
            <w:tcW w:type="dxa" w:w="3000"/>
          </w:tcPr>
          <w:p>
            <w:pPr>
              <w:spacing w:before="60" w:after="60"/>
            </w:pPr>
            <w:r>
              <w:rPr>
                <w:rFonts w:ascii="Times New Roman" w:hAnsi="Times New Roman"/>
                <w:sz w:val="19"/>
              </w:rPr>
              <w:t>2 vCPU, 2 GB RAM, 10 GB SSD</w:t>
            </w:r>
          </w:p>
        </w:tc>
      </w:tr>
      <w:tr>
        <w:tc>
          <w:tcPr>
            <w:tcW w:type="dxa" w:w="3000"/>
          </w:tcPr>
          <w:p>
            <w:pPr>
              <w:spacing w:before="60" w:after="60"/>
            </w:pPr>
            <w:r>
              <w:rPr>
                <w:rFonts w:ascii="Times New Roman" w:hAnsi="Times New Roman"/>
                <w:sz w:val="19"/>
              </w:rPr>
              <w:t>FastAPI AI Service</w:t>
            </w:r>
          </w:p>
        </w:tc>
        <w:tc>
          <w:tcPr>
            <w:tcW w:type="dxa" w:w="3000"/>
          </w:tcPr>
          <w:p>
            <w:pPr>
              <w:spacing w:before="60" w:after="60"/>
            </w:pPr>
            <w:r>
              <w:rPr>
                <w:rFonts w:ascii="Times New Roman" w:hAnsi="Times New Roman"/>
                <w:sz w:val="19"/>
              </w:rPr>
              <w:t>1 vCPU, 512 MB RAM, 2 GB Disk</w:t>
            </w:r>
          </w:p>
        </w:tc>
        <w:tc>
          <w:tcPr>
            <w:tcW w:type="dxa" w:w="3000"/>
          </w:tcPr>
          <w:p>
            <w:pPr>
              <w:spacing w:before="60" w:after="60"/>
            </w:pPr>
            <w:r>
              <w:rPr>
                <w:rFonts w:ascii="Times New Roman" w:hAnsi="Times New Roman"/>
                <w:sz w:val="19"/>
              </w:rPr>
              <w:t>2 vCPU, 2 GB RAM (for ONNX model caching)</w:t>
            </w:r>
          </w:p>
        </w:tc>
      </w:tr>
      <w:tr>
        <w:tc>
          <w:tcPr>
            <w:tcW w:type="dxa" w:w="3000"/>
          </w:tcPr>
          <w:p>
            <w:pPr>
              <w:spacing w:before="60" w:after="60"/>
            </w:pPr>
            <w:r>
              <w:rPr>
                <w:rFonts w:ascii="Times New Roman" w:hAnsi="Times New Roman"/>
                <w:sz w:val="19"/>
              </w:rPr>
              <w:t>Database Server</w:t>
            </w:r>
          </w:p>
        </w:tc>
        <w:tc>
          <w:tcPr>
            <w:tcW w:type="dxa" w:w="3000"/>
          </w:tcPr>
          <w:p>
            <w:pPr>
              <w:spacing w:before="60" w:after="60"/>
            </w:pPr>
            <w:r>
              <w:rPr>
                <w:rFonts w:ascii="Times New Roman" w:hAnsi="Times New Roman"/>
                <w:sz w:val="19"/>
              </w:rPr>
              <w:t>1 vCPU, 512 MB RAM, 2 GB Disk</w:t>
            </w:r>
          </w:p>
        </w:tc>
        <w:tc>
          <w:tcPr>
            <w:tcW w:type="dxa" w:w="3000"/>
          </w:tcPr>
          <w:p>
            <w:pPr>
              <w:spacing w:before="60" w:after="60"/>
            </w:pPr>
            <w:r>
              <w:rPr>
                <w:rFonts w:ascii="Times New Roman" w:hAnsi="Times New Roman"/>
                <w:sz w:val="19"/>
              </w:rPr>
              <w:t>1 vCPU, 1 GB RAM, 10 GB SSD (for BLOB images)</w:t>
            </w:r>
          </w:p>
        </w:tc>
      </w:tr>
    </w:tbl>
    <w:p>
      <w:pPr>
        <w:spacing w:after="200" w:lineRule="auto" w:line="360"/>
        <w:jc w:val="center"/>
      </w:pPr>
      <w:r>
        <w:rPr>
          <w:rFonts w:ascii="Times New Roman" w:hAnsi="Times New Roman"/>
          <w:b w:val="0"/>
          <w:i w:val="0"/>
          <w:sz w:val="24"/>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tools: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Layer / Domain</w:t>
            </w:r>
          </w:p>
        </w:tc>
        <w:tc>
          <w:tcPr>
            <w:tcW w:type="dxa" w:w="3000"/>
          </w:tcPr>
          <w:p>
            <w:r>
              <w:rPr>
                <w:rFonts w:ascii="Times New Roman" w:hAnsi="Times New Roman"/>
                <w:b/>
                <w:sz w:val="20"/>
              </w:rPr>
              <w:t>Technology / Framework</w:t>
            </w:r>
          </w:p>
        </w:tc>
        <w:tc>
          <w:tcPr>
            <w:tcW w:type="dxa" w:w="3000"/>
          </w:tcPr>
          <w:p>
            <w:r>
              <w:rPr>
                <w:rFonts w:ascii="Times New Roman" w:hAnsi="Times New Roman"/>
                <w:b/>
                <w:sz w:val="20"/>
              </w:rPr>
              <w:t>Version / Description</w:t>
            </w:r>
          </w:p>
        </w:tc>
      </w:tr>
      <w:tr>
        <w:tc>
          <w:tcPr>
            <w:tcW w:type="dxa" w:w="3000"/>
          </w:tcPr>
          <w:p>
            <w:pPr>
              <w:spacing w:before="60" w:after="60"/>
            </w:pPr>
            <w:r>
              <w:rPr>
                <w:rFonts w:ascii="Times New Roman" w:hAnsi="Times New Roman"/>
                <w:sz w:val="19"/>
              </w:rPr>
              <w:t>Operating System</w:t>
            </w:r>
          </w:p>
        </w:tc>
        <w:tc>
          <w:tcPr>
            <w:tcW w:type="dxa" w:w="3000"/>
          </w:tcPr>
          <w:p>
            <w:pPr>
              <w:spacing w:before="60" w:after="60"/>
            </w:pPr>
            <w:r>
              <w:rPr>
                <w:rFonts w:ascii="Times New Roman" w:hAnsi="Times New Roman"/>
                <w:sz w:val="19"/>
              </w:rPr>
              <w:t>Windows 10/11 / Linux Ubuntu</w:t>
            </w:r>
          </w:p>
        </w:tc>
        <w:tc>
          <w:tcPr>
            <w:tcW w:type="dxa" w:w="3000"/>
          </w:tcPr>
          <w:p>
            <w:pPr>
              <w:spacing w:before="60" w:after="60"/>
            </w:pPr>
            <w:r>
              <w:rPr>
                <w:rFonts w:ascii="Times New Roman" w:hAnsi="Times New Roman"/>
                <w:sz w:val="19"/>
              </w:rPr>
              <w:t>Ubuntu 22.04 LTS (Production Docker)</w:t>
            </w:r>
          </w:p>
        </w:tc>
      </w:tr>
      <w:tr>
        <w:tc>
          <w:tcPr>
            <w:tcW w:type="dxa" w:w="3000"/>
          </w:tcPr>
          <w:p>
            <w:pPr>
              <w:spacing w:before="60" w:after="60"/>
            </w:pPr>
            <w:r>
              <w:rPr>
                <w:rFonts w:ascii="Times New Roman" w:hAnsi="Times New Roman"/>
                <w:sz w:val="19"/>
              </w:rPr>
              <w:t>Frontend Framework</w:t>
            </w:r>
          </w:p>
        </w:tc>
        <w:tc>
          <w:tcPr>
            <w:tcW w:type="dxa" w:w="3000"/>
          </w:tcPr>
          <w:p>
            <w:pPr>
              <w:spacing w:before="60" w:after="60"/>
            </w:pPr>
            <w:r>
              <w:rPr>
                <w:rFonts w:ascii="Times New Roman" w:hAnsi="Times New Roman"/>
                <w:sz w:val="19"/>
              </w:rPr>
              <w:t>React 18 with TypeScript</w:t>
            </w:r>
          </w:p>
        </w:tc>
        <w:tc>
          <w:tcPr>
            <w:tcW w:type="dxa" w:w="3000"/>
          </w:tcPr>
          <w:p>
            <w:pPr>
              <w:spacing w:before="60" w:after="60"/>
            </w:pPr>
            <w:r>
              <w:rPr>
                <w:rFonts w:ascii="Times New Roman" w:hAnsi="Times New Roman"/>
                <w:sz w:val="19"/>
              </w:rPr>
              <w:t>Vite 8.3, Tailwind CSS 3.4, Zustand 4.5</w:t>
            </w:r>
          </w:p>
        </w:tc>
      </w:tr>
      <w:tr>
        <w:tc>
          <w:tcPr>
            <w:tcW w:type="dxa" w:w="3000"/>
          </w:tcPr>
          <w:p>
            <w:pPr>
              <w:spacing w:before="60" w:after="60"/>
            </w:pPr>
            <w:r>
              <w:rPr>
                <w:rFonts w:ascii="Times New Roman" w:hAnsi="Times New Roman"/>
                <w:sz w:val="19"/>
              </w:rPr>
              <w:t>Backend Framework</w:t>
            </w:r>
          </w:p>
        </w:tc>
        <w:tc>
          <w:tcPr>
            <w:tcW w:type="dxa" w:w="3000"/>
          </w:tcPr>
          <w:p>
            <w:pPr>
              <w:spacing w:before="60" w:after="60"/>
            </w:pPr>
            <w:r>
              <w:rPr>
                <w:rFonts w:ascii="Times New Roman" w:hAnsi="Times New Roman"/>
                <w:sz w:val="19"/>
              </w:rPr>
              <w:t>Java 17 LTS, Spring Boot</w:t>
            </w:r>
          </w:p>
        </w:tc>
        <w:tc>
          <w:tcPr>
            <w:tcW w:type="dxa" w:w="3000"/>
          </w:tcPr>
          <w:p>
            <w:pPr>
              <w:spacing w:before="60" w:after="60"/>
            </w:pPr>
            <w:r>
              <w:rPr>
                <w:rFonts w:ascii="Times New Roman" w:hAnsi="Times New Roman"/>
                <w:sz w:val="19"/>
              </w:rPr>
              <w:t>Spring Boot 3.x, Spring Security 6.x, JPA</w:t>
            </w:r>
          </w:p>
        </w:tc>
      </w:tr>
      <w:tr>
        <w:tc>
          <w:tcPr>
            <w:tcW w:type="dxa" w:w="3000"/>
          </w:tcPr>
          <w:p>
            <w:pPr>
              <w:spacing w:before="60" w:after="60"/>
            </w:pPr>
            <w:r>
              <w:rPr>
                <w:rFonts w:ascii="Times New Roman" w:hAnsi="Times New Roman"/>
                <w:sz w:val="19"/>
              </w:rPr>
              <w:t>AI Microservice</w:t>
            </w:r>
          </w:p>
        </w:tc>
        <w:tc>
          <w:tcPr>
            <w:tcW w:type="dxa" w:w="3000"/>
          </w:tcPr>
          <w:p>
            <w:pPr>
              <w:spacing w:before="60" w:after="60"/>
            </w:pPr>
            <w:r>
              <w:rPr>
                <w:rFonts w:ascii="Times New Roman" w:hAnsi="Times New Roman"/>
                <w:sz w:val="19"/>
              </w:rPr>
              <w:t>Python 3.11, FastAPI</w:t>
            </w:r>
          </w:p>
        </w:tc>
        <w:tc>
          <w:tcPr>
            <w:tcW w:type="dxa" w:w="3000"/>
          </w:tcPr>
          <w:p>
            <w:pPr>
              <w:spacing w:before="60" w:after="60"/>
            </w:pPr>
            <w:r>
              <w:rPr>
                <w:rFonts w:ascii="Times New Roman" w:hAnsi="Times New Roman"/>
                <w:sz w:val="19"/>
              </w:rPr>
              <w:t>Uvicorn ASGI, OpenCV-Python, ONNX Runtime 1.17</w:t>
            </w:r>
          </w:p>
        </w:tc>
      </w:tr>
      <w:tr>
        <w:tc>
          <w:tcPr>
            <w:tcW w:type="dxa" w:w="3000"/>
          </w:tcPr>
          <w:p>
            <w:pPr>
              <w:spacing w:before="60" w:after="60"/>
            </w:pPr>
            <w:r>
              <w:rPr>
                <w:rFonts w:ascii="Times New Roman" w:hAnsi="Times New Roman"/>
                <w:sz w:val="19"/>
              </w:rPr>
              <w:t>Database Systems</w:t>
            </w:r>
          </w:p>
        </w:tc>
        <w:tc>
          <w:tcPr>
            <w:tcW w:type="dxa" w:w="3000"/>
          </w:tcPr>
          <w:p>
            <w:pPr>
              <w:spacing w:before="60" w:after="60"/>
            </w:pPr>
            <w:r>
              <w:rPr>
                <w:rFonts w:ascii="Times New Roman" w:hAnsi="Times New Roman"/>
                <w:sz w:val="19"/>
              </w:rPr>
              <w:t>MySQL 8.0 / Embedded H2</w:t>
            </w:r>
          </w:p>
        </w:tc>
        <w:tc>
          <w:tcPr>
            <w:tcW w:type="dxa" w:w="3000"/>
          </w:tcPr>
          <w:p>
            <w:pPr>
              <w:spacing w:before="60" w:after="60"/>
            </w:pPr>
            <w:r>
              <w:rPr>
                <w:rFonts w:ascii="Times New Roman" w:hAnsi="Times New Roman"/>
                <w:sz w:val="19"/>
              </w:rPr>
              <w:t>H2 MySQL Mode (Cloud) / MySQL 8.0 (Local Dev)</w:t>
            </w:r>
          </w:p>
        </w:tc>
      </w:tr>
      <w:tr>
        <w:tc>
          <w:tcPr>
            <w:tcW w:type="dxa" w:w="3000"/>
          </w:tcPr>
          <w:p>
            <w:pPr>
              <w:spacing w:before="60" w:after="60"/>
            </w:pPr>
            <w:r>
              <w:rPr>
                <w:rFonts w:ascii="Times New Roman" w:hAnsi="Times New Roman"/>
                <w:sz w:val="19"/>
              </w:rPr>
              <w:t>Security &amp; Token</w:t>
            </w:r>
          </w:p>
        </w:tc>
        <w:tc>
          <w:tcPr>
            <w:tcW w:type="dxa" w:w="3000"/>
          </w:tcPr>
          <w:p>
            <w:pPr>
              <w:spacing w:before="60" w:after="60"/>
            </w:pPr>
            <w:r>
              <w:rPr>
                <w:rFonts w:ascii="Times New Roman" w:hAnsi="Times New Roman"/>
                <w:sz w:val="19"/>
              </w:rPr>
              <w:t>JJWT (JSON Web Token)</w:t>
            </w:r>
          </w:p>
        </w:tc>
        <w:tc>
          <w:tcPr>
            <w:tcW w:type="dxa" w:w="3000"/>
          </w:tcPr>
          <w:p>
            <w:pPr>
              <w:spacing w:before="60" w:after="60"/>
            </w:pPr>
            <w:r>
              <w:rPr>
                <w:rFonts w:ascii="Times New Roman" w:hAnsi="Times New Roman"/>
                <w:sz w:val="19"/>
              </w:rPr>
              <w:t>v0.12.5 (HMAC-SHA256 signature verification)</w:t>
            </w:r>
          </w:p>
        </w:tc>
      </w:tr>
    </w:tbl>
    <w:p>
      <w:pPr>
        <w:spacing w:after="200" w:lineRule="auto" w:line="360"/>
        <w:jc w:val="center"/>
      </w:pPr>
      <w:r>
        <w:rPr>
          <w:rFonts w:ascii="Times New Roman" w:hAnsi="Times New Roman"/>
          <w:b w:val="0"/>
          <w:i w:val="0"/>
          <w:sz w:val="24"/>
        </w:rPr>
        <w:t>Table 4.2: Software Requirements Specification</w:t>
      </w:r>
    </w:p>
    <w:p>
      <w:pPr>
        <w:spacing w:after="120" w:lineRule="auto" w:line="276"/>
        <w:jc w:val="left"/>
      </w:pPr>
      <w:r>
        <w:rPr>
          <w:rFonts w:ascii="Times New Roman" w:hAnsi="Times New Roman"/>
          <w:b/>
          <w:i w:val="0"/>
          <w:sz w:val="32"/>
        </w:rPr>
        <w:t>4.6 Summary</w:t>
      </w:r>
    </w:p>
    <w:p>
      <w:pPr>
        <w:spacing w:after="200" w:lineRule="auto" w:line="360"/>
        <w:jc w:val="both"/>
      </w:pPr>
      <w:r>
        <w:rPr>
          <w:rFonts w:ascii="Times New Roman" w:hAnsi="Times New Roman"/>
          <w:b w:val="0"/>
          <w:i w:val="0"/>
          <w:sz w:val="24"/>
        </w:rPr>
        <w:t>This chapter established the complete functional and non-functional requirements, followed by detailed hardware and software specifications, ensuring the platform is robust, secure, and production-ready.</w:t>
      </w:r>
    </w:p>
    <w:p>
      <w:r>
        <w:br w:type="page"/>
      </w:r>
    </w:p>
    <w:p>
      <w:pPr>
        <w:spacing w:after="80" w:lineRule="auto" w:line="240"/>
        <w:jc w:val="center"/>
      </w:pPr>
      <w:r>
        <w:rPr>
          <w:rFonts w:ascii="Times New Roman" w:hAnsi="Times New Roman"/>
          <w:b/>
          <w:i w:val="0"/>
          <w:sz w:val="36"/>
        </w:rPr>
        <w:t>CHAPTER 5</w:t>
      </w:r>
    </w:p>
    <w:p>
      <w:pPr>
        <w:spacing w:after="400" w:lineRule="auto" w:line="240"/>
        <w:jc w:val="center"/>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translates the functional and non-functional requirements into a concrete technical architecture. NutriVision AI utilizes a decoupled Three-Tier Microservices Architecture separating the Presentation Tier (React SPA), the Business &amp; Security Tier (Java Spring Boot API Gateway), and the Inference &amp; Processing Tier (Python FastAPI AI Microservice). This decoupling ensures loose coupling, high cohesion, and independent scalability.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The architectural data flow proceeds systematically:</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Single Page Application built with React 18,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Spring Boot 3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00" w:lineRule="auto" w:line="360"/>
        <w:jc w:val="center"/>
      </w:pPr>
      <w:r>
        <w:rPr>
          <w:rFonts w:ascii="Times New Roman" w:hAnsi="Times New Roman"/>
          <w:b w:val="0"/>
          <w:i w:val="0"/>
          <w:sz w:val="24"/>
        </w:rPr>
        <w:t>Figure 5.1: NutriVision AI Three-Tier System Architecture</w:t>
      </w:r>
    </w:p>
    <w:p>
      <w:pPr>
        <w:spacing w:after="120" w:lineRule="auto" w:line="276"/>
        <w:jc w:val="left"/>
      </w:pPr>
      <w:r>
        <w:rPr>
          <w:rFonts w:ascii="Times New Roman" w:hAnsi="Times New Roman"/>
          <w:b/>
          <w:i w:val="0"/>
          <w:sz w:val="32"/>
        </w:rPr>
        <w:t>5.3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00" w:lineRule="auto" w:line="360"/>
        <w:jc w:val="center"/>
      </w:pPr>
      <w:r>
        <w:rPr>
          <w:rFonts w:ascii="Times New Roman" w:hAnsi="Times New Roman"/>
          <w:b w:val="0"/>
          <w:i w:val="0"/>
          <w:sz w:val="24"/>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w:t>
      </w:r>
    </w:p>
    <w:p>
      <w:pPr>
        <w:spacing w:after="200" w:lineRule="auto" w:line="360"/>
        <w:jc w:val="both"/>
      </w:pPr>
      <w:r>
        <w:rPr>
          <w:rFonts w:ascii="Times New Roman" w:hAnsi="Times New Roman"/>
          <w:b w:val="0"/>
          <w:i w:val="0"/>
          <w:sz w:val="24"/>
        </w:rPr>
        <w:t xml:space="preserve">The Sequence Diagram traces the chronological execution of a nutritional screening workflow: </w:t>
        <w:br/>
        <w:t xml:space="preserve">1. User selects target body area on React frontend and initiates assessment. </w:t>
        <w:br/>
        <w:t xml:space="preserve">2. Frontend dispatches POST /api/assessments to Spring Boot controller, creating an initial database record. </w:t>
        <w:br/>
        <w:t xml:space="preserve">3. User uploads image file; frontend dispatches multipart POST to Spring Boot. </w:t>
        <w:br/>
        <w:t xml:space="preserve">4. Spring Boot forwards raw image bytes to FastAPI /analyze-quality. </w:t>
        <w:br/>
        <w:t xml:space="preserve">5. FastAPI computes Laplacian variance and exposure, returning quality status. </w:t>
        <w:br/>
        <w:t xml:space="preserve">6. Spring Boot persists image data and quality status to database. </w:t>
        <w:br/>
        <w:t xml:space="preserve">7. User initiates analysis; Spring Boot dispatches POST /inference/analyze to FastAPI. </w:t>
        <w:br/>
        <w:t xml:space="preserve">8. FastAPI executes CLIP semantic check followed by MobileNetV2 ONNX session, returning top-3 predictions. </w:t>
        <w:br/>
        <w:t>9. Spring Boot stores predictions, attaches nutrition recommendations, and returns full assessment DTO to frontend.</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5.4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00" w:lineRule="auto" w:line="360"/>
        <w:jc w:val="center"/>
      </w:pPr>
      <w:r>
        <w:rPr>
          <w:rFonts w:ascii="Times New Roman" w:hAnsi="Times New Roman"/>
          <w:b w:val="0"/>
          <w:i w:val="0"/>
          <w:sz w:val="24"/>
        </w:rPr>
        <w:t>Figure 5.4: System Data Flow Diagram (DFD Level 1)</w:t>
      </w:r>
    </w:p>
    <w:p>
      <w:pPr>
        <w:spacing w:after="120" w:lineRule="auto" w:line="276"/>
        <w:jc w:val="left"/>
      </w:pPr>
      <w:r>
        <w:rPr>
          <w:rFonts w:ascii="Times New Roman" w:hAnsi="Times New Roman"/>
          <w:b/>
          <w:i w:val="0"/>
          <w:sz w:val="32"/>
        </w:rPr>
        <w:t>5.5 Database Design</w:t>
      </w:r>
    </w:p>
    <w:p>
      <w:pPr>
        <w:spacing w:after="200" w:lineRule="auto" w:line="360"/>
        <w:jc w:val="both"/>
      </w:pPr>
      <w:r>
        <w:rPr>
          <w:rFonts w:ascii="Times New Roman" w:hAnsi="Times New Roman"/>
          <w:b w:val="0"/>
          <w:i w:val="0"/>
          <w:sz w:val="24"/>
        </w:rPr>
        <w:t>The database follows 3NF relational normalization to ensure referential integrity and eliminate anomalies:</w:t>
      </w:r>
    </w:p>
    <w:p>
      <w:pPr>
        <w:spacing w:after="200" w:lineRule="auto" w:line="360"/>
        <w:jc w:val="both"/>
      </w:pPr>
      <w:r>
        <w:rPr>
          <w:rFonts w:ascii="Times New Roman" w:hAnsi="Times New Roman"/>
          <w:b w:val="0"/>
          <w:i w:val="0"/>
          <w:sz w:val="24"/>
        </w:rPr>
        <w:t>* Table `users`: Stores user identity (`user_id` PK, `email` UNIQUE, `password_hash`, `full_name`, `created_at`).</w:t>
      </w:r>
    </w:p>
    <w:p>
      <w:pPr>
        <w:spacing w:after="200" w:lineRule="auto" w:line="360"/>
        <w:jc w:val="both"/>
      </w:pPr>
      <w:r>
        <w:rPr>
          <w:rFonts w:ascii="Times New Roman" w:hAnsi="Times New Roman"/>
          <w:b w:val="0"/>
          <w:i w:val="0"/>
          <w:sz w:val="24"/>
        </w:rPr>
        <w:t>* Table `roles` &amp; `user_roles`: Manages Role-Based Access Control mapping users to authorities (`ROLE_USER`, `ROLE_ADMIN`).</w:t>
      </w:r>
    </w:p>
    <w:p>
      <w:pPr>
        <w:spacing w:after="200" w:lineRule="auto" w:line="360"/>
        <w:jc w:val="both"/>
      </w:pPr>
      <w:r>
        <w:rPr>
          <w:rFonts w:ascii="Times New Roman" w:hAnsi="Times New Roman"/>
          <w:b w:val="0"/>
          <w:i w:val="0"/>
          <w:sz w:val="24"/>
        </w:rPr>
        <w:t>* Table `assessments`: Aggregate screening entity (`assessment_id` PK, `user_id` FK, `target_body_part`, `status`, `created_at`).</w:t>
      </w:r>
    </w:p>
    <w:p>
      <w:pPr>
        <w:spacing w:after="200" w:lineRule="auto" w:line="360"/>
        <w:jc w:val="both"/>
      </w:pPr>
      <w:r>
        <w:rPr>
          <w:rFonts w:ascii="Times New Roman" w:hAnsi="Times New Roman"/>
          <w:b w:val="0"/>
          <w:i w:val="0"/>
          <w:sz w:val="24"/>
        </w:rPr>
        <w:t>* Table `assessment_images`: Image binary storage (`image_id` PK, `assessment_id` FK, `image_data` LONGBLOB, `blur_score`, `quality_status`).</w:t>
      </w:r>
    </w:p>
    <w:p>
      <w:pPr>
        <w:spacing w:after="200" w:lineRule="auto" w:line="360"/>
        <w:jc w:val="both"/>
      </w:pPr>
      <w:r>
        <w:rPr>
          <w:rFonts w:ascii="Times New Roman" w:hAnsi="Times New Roman"/>
          <w:b w:val="0"/>
          <w:i w:val="0"/>
          <w:sz w:val="24"/>
        </w:rPr>
        <w:t>* Table `predictions`: Stores AI results (`prediction_id` PK, `assessment_id` FK, `category`, `confidence_score`, `rank_order`).</w:t>
      </w:r>
    </w:p>
    <w:p>
      <w:pPr>
        <w:spacing w:after="200" w:lineRule="auto" w:line="360"/>
        <w:jc w:val="both"/>
      </w:pPr>
      <w:r>
        <w:rPr>
          <w:rFonts w:ascii="Times New Roman" w:hAnsi="Times New Roman"/>
          <w:b w:val="0"/>
          <w:i w:val="0"/>
          <w:sz w:val="24"/>
        </w:rPr>
        <w:t>* Table `food_items`: Curated dietary repository (`food_id` PK, `nutrient_category`, `food_name`, `diet_type`, `rich_sources`).</w:t>
      </w:r>
    </w:p>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00" w:lineRule="auto" w:line="360"/>
        <w:jc w:val="center"/>
      </w:pPr>
      <w:r>
        <w:rPr>
          <w:rFonts w:ascii="Times New Roman" w:hAnsi="Times New Roman"/>
          <w:b w:val="0"/>
          <w:i w:val="0"/>
          <w:sz w:val="24"/>
        </w:rPr>
        <w:t>Figure 5.3: Backend Entity-Relationship (ER) Diagram</w:t>
      </w:r>
    </w:p>
    <w:p>
      <w:pPr>
        <w:spacing w:after="120" w:lineRule="auto" w:line="276"/>
        <w:jc w:val="left"/>
      </w:pPr>
      <w:r>
        <w:rPr>
          <w:rFonts w:ascii="Times New Roman" w:hAnsi="Times New Roman"/>
          <w:b/>
          <w:i w:val="0"/>
          <w:sz w:val="32"/>
        </w:rPr>
        <w:t>5.6 Summary</w:t>
      </w:r>
    </w:p>
    <w:p>
      <w:pPr>
        <w:spacing w:after="200" w:lineRule="auto" w:line="360"/>
        <w:jc w:val="both"/>
      </w:pPr>
      <w:r>
        <w:rPr>
          <w:rFonts w:ascii="Times New Roman" w:hAnsi="Times New Roman"/>
          <w:b w:val="0"/>
          <w:i w:val="0"/>
          <w:sz w:val="24"/>
        </w:rPr>
        <w:t>This chapter detailed the macroscopic Three-Tier architecture, structural and behavioral UML diagrams, information flow pipelines, and relational database schema, providing an architectural blueprint for implementation.</w:t>
      </w:r>
    </w:p>
    <w:p>
      <w:r>
        <w:br w:type="page"/>
      </w:r>
    </w:p>
    <w:p>
      <w:pPr>
        <w:spacing w:after="80" w:lineRule="auto" w:line="240"/>
        <w:jc w:val="center"/>
      </w:pPr>
      <w:r>
        <w:rPr>
          <w:rFonts w:ascii="Times New Roman" w:hAnsi="Times New Roman"/>
          <w:b/>
          <w:i w:val="0"/>
          <w:sz w:val="36"/>
        </w:rPr>
        <w:t>CHAPTER 6</w:t>
      </w:r>
    </w:p>
    <w:p>
      <w:pPr>
        <w:spacing w:after="400" w:lineRule="auto" w:line="240"/>
        <w:jc w:val="center"/>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practical realization of theoretical designs into robust source code. Developed using Agile sprints, the codebase is modularized across the TypeScript React frontend, Java Spring Boot security gateway, and Python FastAPI AI inference engine. This chapter provides a deep dive into implementation mechanics, image quality algorithms, ONNX model integration, and pseudocode.</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&amp; TypeScript)</w:t>
      </w:r>
    </w:p>
    <w:p>
      <w:pPr>
        <w:spacing w:after="200" w:lineRule="auto" w:line="360"/>
        <w:jc w:val="both"/>
      </w:pPr>
      <w:r>
        <w:rPr>
          <w:rFonts w:ascii="Times New Roman" w:hAnsi="Times New Roman"/>
          <w:b w:val="0"/>
          <w:i w:val="0"/>
          <w:sz w:val="24"/>
        </w:rPr>
        <w:t>The client application is built as a responsive Single Page Application. It uses functional components and custom React hooks (`useState`, `useEffect`, `useCallback`). Global authentication state and JWT tokens are managed via Zustand for lightweight, boilerplate-free state management. The `NewAssessmentPage` functions as a guided wizard managing multi-step transitions across disclaimer acknowledgement, body part selection, photo upload via HTML5 File API, real-time quality feedback, and interactive result visualization. Axios HTTP clients are configured with extended timeout thresholds to accommodate cloud instance spin-up latencies.</w:t>
      </w:r>
    </w:p>
    <w:p>
      <w:pPr>
        <w:spacing w:after="120" w:lineRule="auto" w:line="276"/>
        <w:jc w:val="left"/>
      </w:pPr>
      <w:r>
        <w:rPr>
          <w:rFonts w:ascii="Times New Roman" w:hAnsi="Times New Roman"/>
          <w:b/>
          <w:i w:val="0"/>
          <w:sz w:val="28"/>
        </w:rPr>
        <w:t>Module 2 – Backend Security &amp; REST Gateway (Spring Boot)</w:t>
      </w:r>
    </w:p>
    <w:p>
      <w:pPr>
        <w:spacing w:after="200" w:lineRule="auto" w:line="360"/>
        <w:jc w:val="both"/>
      </w:pPr>
      <w:r>
        <w:rPr>
          <w:rFonts w:ascii="Times New Roman" w:hAnsi="Times New Roman"/>
          <w:b w:val="0"/>
          <w:i w:val="0"/>
          <w:sz w:val="24"/>
        </w:rPr>
        <w:t>The Java backend provides enterprise security and transactional coordination. A custom `JwtAuthenticationFilter` intercepts HTTP requests, extracts Bearer tokens, and validates HMAC-SHA256 signatures using the JJWT library before populating Spring Security's `SecurityContextHolder`. User passwords are encrypted with `BCryptPasswordEncoder` (strength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00" w:lineRule="auto" w:line="240"/>
        <w:jc w:val="left"/>
      </w:pPr>
      <w:r>
        <w:rPr>
          <w:rFonts w:ascii="Courier New" w:hAnsi="Courier New"/>
          <w:b w:val="0"/>
          <w:i w:val="0"/>
          <w:sz w:val="19"/>
        </w:rPr>
        <w:br/>
        <w:t>FUNCTION process_assessment_image(image_bytes, target_body_part):</w:t>
        <w:br/>
        <w:t xml:space="preserve">    // Stage 1: Technical Image Quality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br/>
        <w:t xml:space="preserve">    </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 with error messages.</w:t>
      </w:r>
    </w:p>
    <w:tbl>
      <w:tblPr>
        <w:tblStyle w:val="TableGrid"/>
        <w:tblW w:type="auto" w:w="0"/>
        <w:jc w:val="center"/>
        <w:tblLook w:firstColumn="1" w:firstRow="1" w:lastColumn="0" w:lastRow="0" w:noHBand="0" w:noVBand="1" w:val="04A0"/>
      </w:tblPr>
      <w:tblGrid>
        <w:gridCol w:w="936"/>
        <w:gridCol w:w="3456"/>
        <w:gridCol w:w="1296"/>
        <w:gridCol w:w="3312"/>
      </w:tblGrid>
      <w:tr>
        <w:tc>
          <w:tcPr>
            <w:tcW w:type="dxa" w:w="2250"/>
            <w:shd w:val="clear" w:color="auto" w:fill="EAECEF"/>
          </w:tcPr>
          <w:p>
            <w:r>
              <w:rPr>
                <w:rFonts w:ascii="Times New Roman" w:hAnsi="Times New Roman"/>
                <w:b/>
                <w:sz w:val="19"/>
              </w:rPr>
              <w:t>Method</w:t>
            </w:r>
          </w:p>
        </w:tc>
        <w:tc>
          <w:tcPr>
            <w:tcW w:type="dxa" w:w="2250"/>
            <w:shd w:val="clear" w:color="auto" w:fill="EAECEF"/>
          </w:tcPr>
          <w:p>
            <w:r>
              <w:rPr>
                <w:rFonts w:ascii="Times New Roman" w:hAnsi="Times New Roman"/>
                <w:b/>
                <w:sz w:val="19"/>
              </w:rPr>
              <w:t>Endpoint</w:t>
            </w:r>
          </w:p>
        </w:tc>
        <w:tc>
          <w:tcPr>
            <w:tcW w:type="dxa" w:w="2250"/>
            <w:shd w:val="clear" w:color="auto" w:fill="EAECEF"/>
          </w:tcPr>
          <w:p>
            <w:r>
              <w:rPr>
                <w:rFonts w:ascii="Times New Roman" w:hAnsi="Times New Roman"/>
                <w:b/>
                <w:sz w:val="19"/>
              </w:rPr>
              <w:t>Auth</w:t>
            </w:r>
          </w:p>
        </w:tc>
        <w:tc>
          <w:tcPr>
            <w:tcW w:type="dxa" w:w="2250"/>
            <w:shd w:val="clear" w:color="auto" w:fill="EAECEF"/>
          </w:tcPr>
          <w:p>
            <w:r>
              <w:rPr>
                <w:rFonts w:ascii="Times New Roman" w:hAnsi="Times New Roman"/>
                <w:b/>
                <w:sz w:val="19"/>
              </w:rPr>
              <w:t>Description</w:t>
            </w:r>
          </w:p>
        </w:tc>
      </w:tr>
      <w:tr>
        <w:tc>
          <w:tcPr>
            <w:tcW w:type="dxa" w:w="936"/>
          </w:tcPr>
          <w:p>
            <w:pPr>
              <w:spacing w:before="40" w:after="40"/>
            </w:pPr>
            <w:r>
              <w:rPr>
                <w:rFonts w:ascii="Times New Roman" w:hAnsi="Times New Roman"/>
                <w:sz w:val="18"/>
              </w:rPr>
              <w:t>POST</w:t>
            </w:r>
          </w:p>
        </w:tc>
        <w:tc>
          <w:tcPr>
            <w:tcW w:type="dxa" w:w="3456"/>
          </w:tcPr>
          <w:p>
            <w:pPr>
              <w:spacing w:before="40" w:after="40"/>
            </w:pPr>
            <w:r>
              <w:rPr>
                <w:rFonts w:ascii="Times New Roman" w:hAnsi="Times New Roman"/>
                <w:sz w:val="18"/>
              </w:rPr>
              <w:t>/api/auth/register</w:t>
            </w:r>
          </w:p>
        </w:tc>
        <w:tc>
          <w:tcPr>
            <w:tcW w:type="dxa" w:w="1296"/>
          </w:tcPr>
          <w:p>
            <w:pPr>
              <w:spacing w:before="40" w:after="40"/>
            </w:pPr>
            <w:r>
              <w:rPr>
                <w:rFonts w:ascii="Times New Roman" w:hAnsi="Times New Roman"/>
                <w:sz w:val="18"/>
              </w:rPr>
              <w:t>Public</w:t>
            </w:r>
          </w:p>
        </w:tc>
        <w:tc>
          <w:tcPr>
            <w:tcW w:type="dxa" w:w="3312"/>
          </w:tcPr>
          <w:p>
            <w:pPr>
              <w:spacing w:before="40" w:after="40"/>
            </w:pPr>
            <w:r>
              <w:rPr>
                <w:rFonts w:ascii="Times New Roman" w:hAnsi="Times New Roman"/>
                <w:sz w:val="18"/>
              </w:rPr>
              <w:t>Register a new user. Accepts name, email, password. Returns JWT token and user profile on success.</w:t>
            </w:r>
          </w:p>
        </w:tc>
      </w:tr>
      <w:tr>
        <w:tc>
          <w:tcPr>
            <w:tcW w:type="dxa" w:w="936"/>
          </w:tcPr>
          <w:p>
            <w:pPr>
              <w:spacing w:before="40" w:after="40"/>
            </w:pPr>
            <w:r>
              <w:rPr>
                <w:rFonts w:ascii="Times New Roman" w:hAnsi="Times New Roman"/>
                <w:sz w:val="18"/>
              </w:rPr>
              <w:t>POST</w:t>
            </w:r>
          </w:p>
        </w:tc>
        <w:tc>
          <w:tcPr>
            <w:tcW w:type="dxa" w:w="3456"/>
          </w:tcPr>
          <w:p>
            <w:pPr>
              <w:spacing w:before="40" w:after="40"/>
            </w:pPr>
            <w:r>
              <w:rPr>
                <w:rFonts w:ascii="Times New Roman" w:hAnsi="Times New Roman"/>
                <w:sz w:val="18"/>
              </w:rPr>
              <w:t>/api/auth/login</w:t>
            </w:r>
          </w:p>
        </w:tc>
        <w:tc>
          <w:tcPr>
            <w:tcW w:type="dxa" w:w="1296"/>
          </w:tcPr>
          <w:p>
            <w:pPr>
              <w:spacing w:before="40" w:after="40"/>
            </w:pPr>
            <w:r>
              <w:rPr>
                <w:rFonts w:ascii="Times New Roman" w:hAnsi="Times New Roman"/>
                <w:sz w:val="18"/>
              </w:rPr>
              <w:t>Public</w:t>
            </w:r>
          </w:p>
        </w:tc>
        <w:tc>
          <w:tcPr>
            <w:tcW w:type="dxa" w:w="3312"/>
          </w:tcPr>
          <w:p>
            <w:pPr>
              <w:spacing w:before="40" w:after="40"/>
            </w:pPr>
            <w:r>
              <w:rPr>
                <w:rFonts w:ascii="Times New Roman" w:hAnsi="Times New Roman"/>
                <w:sz w:val="18"/>
              </w:rPr>
              <w:t>Authenticate returning user. Validates BCrypt hash. Returns signed JWT with 24-hour claim.</w:t>
            </w:r>
          </w:p>
        </w:tc>
      </w:tr>
      <w:tr>
        <w:tc>
          <w:tcPr>
            <w:tcW w:type="dxa" w:w="936"/>
          </w:tcPr>
          <w:p>
            <w:pPr>
              <w:spacing w:before="40" w:after="40"/>
            </w:pPr>
            <w:r>
              <w:rPr>
                <w:rFonts w:ascii="Times New Roman" w:hAnsi="Times New Roman"/>
                <w:sz w:val="18"/>
              </w:rPr>
              <w:t>GET</w:t>
            </w:r>
          </w:p>
        </w:tc>
        <w:tc>
          <w:tcPr>
            <w:tcW w:type="dxa" w:w="3456"/>
          </w:tcPr>
          <w:p>
            <w:pPr>
              <w:spacing w:before="40" w:after="40"/>
            </w:pPr>
            <w:r>
              <w:rPr>
                <w:rFonts w:ascii="Times New Roman" w:hAnsi="Times New Roman"/>
                <w:sz w:val="18"/>
              </w:rPr>
              <w:t>/api/auth/me</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Returns authenticated user's profile details from token subject claim.</w:t>
            </w:r>
          </w:p>
        </w:tc>
      </w:tr>
      <w:tr>
        <w:tc>
          <w:tcPr>
            <w:tcW w:type="dxa" w:w="936"/>
          </w:tcPr>
          <w:p>
            <w:pPr>
              <w:spacing w:before="40" w:after="40"/>
            </w:pPr>
            <w:r>
              <w:rPr>
                <w:rFonts w:ascii="Times New Roman" w:hAnsi="Times New Roman"/>
                <w:sz w:val="18"/>
              </w:rPr>
              <w:t>POST</w:t>
            </w:r>
          </w:p>
        </w:tc>
        <w:tc>
          <w:tcPr>
            <w:tcW w:type="dxa" w:w="3456"/>
          </w:tcPr>
          <w:p>
            <w:pPr>
              <w:spacing w:before="40" w:after="40"/>
            </w:pPr>
            <w:r>
              <w:rPr>
                <w:rFonts w:ascii="Times New Roman" w:hAnsi="Times New Roman"/>
                <w:sz w:val="18"/>
              </w:rPr>
              <w:t>/api/assessments</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Creates a new assessment draft for specified body part. Returns assessmentId.</w:t>
            </w:r>
          </w:p>
        </w:tc>
      </w:tr>
      <w:tr>
        <w:tc>
          <w:tcPr>
            <w:tcW w:type="dxa" w:w="936"/>
          </w:tcPr>
          <w:p>
            <w:pPr>
              <w:spacing w:before="40" w:after="40"/>
            </w:pPr>
            <w:r>
              <w:rPr>
                <w:rFonts w:ascii="Times New Roman" w:hAnsi="Times New Roman"/>
                <w:sz w:val="18"/>
              </w:rPr>
              <w:t>POST</w:t>
            </w:r>
          </w:p>
        </w:tc>
        <w:tc>
          <w:tcPr>
            <w:tcW w:type="dxa" w:w="3456"/>
          </w:tcPr>
          <w:p>
            <w:pPr>
              <w:spacing w:before="40" w:after="40"/>
            </w:pPr>
            <w:r>
              <w:rPr>
                <w:rFonts w:ascii="Times New Roman" w:hAnsi="Times New Roman"/>
                <w:sz w:val="18"/>
              </w:rPr>
              <w:t>/api/assessments/{id}/image</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Uploads multipart image. Proxies to AI service for quality check and inference.</w:t>
            </w:r>
          </w:p>
        </w:tc>
      </w:tr>
      <w:tr>
        <w:tc>
          <w:tcPr>
            <w:tcW w:type="dxa" w:w="936"/>
          </w:tcPr>
          <w:p>
            <w:pPr>
              <w:spacing w:before="40" w:after="40"/>
            </w:pPr>
            <w:r>
              <w:rPr>
                <w:rFonts w:ascii="Times New Roman" w:hAnsi="Times New Roman"/>
                <w:sz w:val="18"/>
              </w:rPr>
              <w:t>GET</w:t>
            </w:r>
          </w:p>
        </w:tc>
        <w:tc>
          <w:tcPr>
            <w:tcW w:type="dxa" w:w="3456"/>
          </w:tcPr>
          <w:p>
            <w:pPr>
              <w:spacing w:before="40" w:after="40"/>
            </w:pPr>
            <w:r>
              <w:rPr>
                <w:rFonts w:ascii="Times New Roman" w:hAnsi="Times New Roman"/>
                <w:sz w:val="18"/>
              </w:rPr>
              <w:t>/api/assessments/{id}</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Retrieves full assessment result including quality metrics and prediction JSON.</w:t>
            </w:r>
          </w:p>
        </w:tc>
      </w:tr>
      <w:tr>
        <w:tc>
          <w:tcPr>
            <w:tcW w:type="dxa" w:w="936"/>
          </w:tcPr>
          <w:p>
            <w:pPr>
              <w:spacing w:before="40" w:after="40"/>
            </w:pPr>
            <w:r>
              <w:rPr>
                <w:rFonts w:ascii="Times New Roman" w:hAnsi="Times New Roman"/>
                <w:sz w:val="18"/>
              </w:rPr>
              <w:t>GET</w:t>
            </w:r>
          </w:p>
        </w:tc>
        <w:tc>
          <w:tcPr>
            <w:tcW w:type="dxa" w:w="3456"/>
          </w:tcPr>
          <w:p>
            <w:pPr>
              <w:spacing w:before="40" w:after="40"/>
            </w:pPr>
            <w:r>
              <w:rPr>
                <w:rFonts w:ascii="Times New Roman" w:hAnsi="Times New Roman"/>
                <w:sz w:val="18"/>
              </w:rPr>
              <w:t>/api/assessments</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Returns paginated list of the authenticated user's historical assessments.</w:t>
            </w:r>
          </w:p>
        </w:tc>
      </w:tr>
      <w:tr>
        <w:tc>
          <w:tcPr>
            <w:tcW w:type="dxa" w:w="936"/>
          </w:tcPr>
          <w:p>
            <w:pPr>
              <w:spacing w:before="40" w:after="40"/>
            </w:pPr>
            <w:r>
              <w:rPr>
                <w:rFonts w:ascii="Times New Roman" w:hAnsi="Times New Roman"/>
                <w:sz w:val="18"/>
              </w:rPr>
              <w:t>GET</w:t>
            </w:r>
          </w:p>
        </w:tc>
        <w:tc>
          <w:tcPr>
            <w:tcW w:type="dxa" w:w="3456"/>
          </w:tcPr>
          <w:p>
            <w:pPr>
              <w:spacing w:before="40" w:after="40"/>
            </w:pPr>
            <w:r>
              <w:rPr>
                <w:rFonts w:ascii="Times New Roman" w:hAnsi="Times New Roman"/>
                <w:sz w:val="18"/>
              </w:rPr>
              <w:t>/api/nutrition/recommendations/{deficiency}</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Returns Indian food items rich in the specified nutrient class.</w:t>
            </w:r>
          </w:p>
        </w:tc>
      </w:tr>
      <w:tr>
        <w:tc>
          <w:tcPr>
            <w:tcW w:type="dxa" w:w="936"/>
          </w:tcPr>
          <w:p>
            <w:pPr>
              <w:spacing w:before="40" w:after="40"/>
            </w:pPr>
            <w:r>
              <w:rPr>
                <w:rFonts w:ascii="Times New Roman" w:hAnsi="Times New Roman"/>
                <w:sz w:val="18"/>
              </w:rPr>
              <w:t>POST</w:t>
            </w:r>
          </w:p>
        </w:tc>
        <w:tc>
          <w:tcPr>
            <w:tcW w:type="dxa" w:w="3456"/>
          </w:tcPr>
          <w:p>
            <w:pPr>
              <w:spacing w:before="40" w:after="40"/>
            </w:pPr>
            <w:r>
              <w:rPr>
                <w:rFonts w:ascii="Times New Roman" w:hAnsi="Times New Roman"/>
                <w:sz w:val="18"/>
              </w:rPr>
              <w:t>/api/chat</w:t>
            </w:r>
          </w:p>
        </w:tc>
        <w:tc>
          <w:tcPr>
            <w:tcW w:type="dxa" w:w="1296"/>
          </w:tcPr>
          <w:p>
            <w:pPr>
              <w:spacing w:before="40" w:after="40"/>
            </w:pPr>
            <w:r>
              <w:rPr>
                <w:rFonts w:ascii="Times New Roman" w:hAnsi="Times New Roman"/>
                <w:sz w:val="18"/>
              </w:rPr>
              <w:t>ROLE_USER</w:t>
            </w:r>
          </w:p>
        </w:tc>
        <w:tc>
          <w:tcPr>
            <w:tcW w:type="dxa" w:w="3312"/>
          </w:tcPr>
          <w:p>
            <w:pPr>
              <w:spacing w:before="40" w:after="40"/>
            </w:pPr>
            <w:r>
              <w:rPr>
                <w:rFonts w:ascii="Times New Roman" w:hAnsi="Times New Roman"/>
                <w:sz w:val="18"/>
              </w:rPr>
              <w:t>Sends a conversational query to the rule-based nutrition chatbot engine.</w:t>
            </w:r>
          </w:p>
        </w:tc>
      </w:tr>
      <w:tr>
        <w:tc>
          <w:tcPr>
            <w:tcW w:type="dxa" w:w="936"/>
          </w:tcPr>
          <w:p>
            <w:pPr>
              <w:spacing w:before="40" w:after="40"/>
            </w:pPr>
            <w:r>
              <w:rPr>
                <w:rFonts w:ascii="Times New Roman" w:hAnsi="Times New Roman"/>
                <w:sz w:val="18"/>
              </w:rPr>
              <w:t>GET</w:t>
            </w:r>
          </w:p>
        </w:tc>
        <w:tc>
          <w:tcPr>
            <w:tcW w:type="dxa" w:w="3456"/>
          </w:tcPr>
          <w:p>
            <w:pPr>
              <w:spacing w:before="40" w:after="40"/>
            </w:pPr>
            <w:r>
              <w:rPr>
                <w:rFonts w:ascii="Times New Roman" w:hAnsi="Times New Roman"/>
                <w:sz w:val="18"/>
              </w:rPr>
              <w:t>/api/admin/stats</w:t>
            </w:r>
          </w:p>
        </w:tc>
        <w:tc>
          <w:tcPr>
            <w:tcW w:type="dxa" w:w="1296"/>
          </w:tcPr>
          <w:p>
            <w:pPr>
              <w:spacing w:before="40" w:after="40"/>
            </w:pPr>
            <w:r>
              <w:rPr>
                <w:rFonts w:ascii="Times New Roman" w:hAnsi="Times New Roman"/>
                <w:sz w:val="18"/>
              </w:rPr>
              <w:t>ROLE_ADMIN</w:t>
            </w:r>
          </w:p>
        </w:tc>
        <w:tc>
          <w:tcPr>
            <w:tcW w:type="dxa" w:w="3312"/>
          </w:tcPr>
          <w:p>
            <w:pPr>
              <w:spacing w:before="40" w:after="40"/>
            </w:pPr>
            <w:r>
              <w:rPr>
                <w:rFonts w:ascii="Times New Roman" w:hAnsi="Times New Roman"/>
                <w:sz w:val="18"/>
              </w:rPr>
              <w:t>Returns aggregate platform statistics: total users, assessments, deficiency distributions.</w:t>
            </w:r>
          </w:p>
        </w:tc>
      </w:tr>
    </w:tbl>
    <w:p>
      <w:pPr>
        <w:spacing w:after="200" w:lineRule="auto" w:line="360"/>
        <w:jc w:val="both"/>
      </w:pPr>
      <w:r>
        <w:rPr>
          <w:rFonts w:ascii="Times New Roman" w:hAnsi="Times New Roman"/>
          <w:b w:val="0"/>
          <w:i w:val="0"/>
          <w:sz w:val="24"/>
        </w:rPr>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NutriVision AI is deployed across cloud-native free-tier infrastructure to maximize accessibility and reduce operational costs:</w:t>
      </w:r>
    </w:p>
    <w:p>
      <w:pPr>
        <w:spacing w:after="200" w:lineRule="auto" w:line="360"/>
        <w:jc w:val="both"/>
      </w:pPr>
      <w:r>
        <w:rPr>
          <w:rFonts w:ascii="Times New Roman" w:hAnsi="Times New Roman"/>
          <w:b w:val="0"/>
          <w:i w:val="0"/>
          <w:sz w:val="24"/>
        </w:rPr>
        <w:t>* Frontend (Vercel): The React 18 SPA is built with Vite and deployed on Vercel's global CDN edge network. Static asset caching (Brotli compression, long-lived Cache-Control headers) enables sub-500ms page load across geographies. Vercel's automatic HTTPS provisioning eliminates SSL certificate management overhead.</w:t>
      </w:r>
    </w:p>
    <w:p>
      <w:pPr>
        <w:spacing w:after="200" w:lineRule="auto" w:line="360"/>
        <w:jc w:val="both"/>
      </w:pPr>
      <w:r>
        <w:rPr>
          <w:rFonts w:ascii="Times New Roman" w:hAnsi="Times New Roman"/>
          <w:b w:val="0"/>
          <w:i w:val="0"/>
          <w:sz w:val="24"/>
        </w:rPr>
        <w:t>* Backend Gateway (Render.com – Free Tier): The Spring Boot 3 fat JAR is containerized within a Render web service. The embedded Tomcat server listens on port 8080. JVM startup is optimized with '-XX:TieredStopAtLevel=1' flag to reduce cold-start time from 45 seconds to under 20 seconds.</w:t>
      </w:r>
    </w:p>
    <w:p>
      <w:pPr>
        <w:spacing w:after="200" w:lineRule="auto" w:line="360"/>
        <w:jc w:val="both"/>
      </w:pPr>
      <w:r>
        <w:rPr>
          <w:rFonts w:ascii="Times New Roman" w:hAnsi="Times New Roman"/>
          <w:b w:val="0"/>
          <w:i w:val="0"/>
          <w:sz w:val="24"/>
        </w:rPr>
        <w:t>*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the Spring RestTemplate client to handle free-tier hibernation wakeup.</w:t>
      </w:r>
    </w:p>
    <w:p>
      <w:pPr>
        <w:spacing w:after="200" w:lineRule="auto" w:line="360"/>
        <w:jc w:val="both"/>
      </w:pPr>
      <w:r>
        <w:rPr>
          <w:rFonts w:ascii="Times New Roman" w:hAnsi="Times New Roman"/>
          <w:b w:val="0"/>
          <w:i w:val="0"/>
          <w:sz w:val="24"/>
        </w:rPr>
        <w:t>* Database (H2 In-Memory / MySQL Local): On the cloud deployment, an embedded H2 database operating in MySQL compatibility mode provides persistent assessments during the service lifecycle. For local development, MySQL 8.0 is used with full schema migrations managed via application-dev.yml configuration profiles.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Security is enforced through multiple layers of defense:</w:t>
      </w:r>
    </w:p>
    <w:p>
      <w:pPr>
        <w:spacing w:after="200" w:lineRule="auto" w:line="360"/>
        <w:jc w:val="both"/>
      </w:pPr>
      <w:r>
        <w:rPr>
          <w:rFonts w:ascii="Times New Roman" w:hAnsi="Times New Roman"/>
          <w:b w:val="0"/>
          <w:i w:val="0"/>
          <w:sz w:val="24"/>
        </w:rPr>
        <w:t>* JWT Token Lifecycle: Tokens are signed with HMAC-SHA256 using a 512-bit secret key. Claims include subject (userId), issued-at, and expiration timestamps. The JwtAuthenticationFilter extracts and validates the Bearer header on every request prior to route dispatch. Expired or tampered tokens immediately return HTTP 401 with no internal error stack trace exposed.</w:t>
      </w:r>
    </w:p>
    <w:p>
      <w:pPr>
        <w:spacing w:after="200" w:lineRule="auto" w:line="360"/>
        <w:jc w:val="both"/>
      </w:pPr>
      <w:r>
        <w:rPr>
          <w:rFonts w:ascii="Times New Roman" w:hAnsi="Times New Roman"/>
          <w:b w:val="0"/>
          <w:i w:val="0"/>
          <w:sz w:val="24"/>
        </w:rPr>
        <w:t>* BCrypt Password Storage: User passwords are hashed with BCryptPasswordEncoder using strength factor 12 (2^12 = 4096 hashing rounds). This computational cost makes brute-force dictionary attacks computationally prohibitive even on modern GPU clusters.</w:t>
      </w:r>
    </w:p>
    <w:p>
      <w:pPr>
        <w:spacing w:after="200" w:lineRule="auto" w:line="360"/>
        <w:jc w:val="both"/>
      </w:pPr>
      <w:r>
        <w:rPr>
          <w:rFonts w:ascii="Times New Roman" w:hAnsi="Times New Roman"/>
          <w:b w:val="0"/>
          <w:i w:val="0"/>
          <w:sz w:val="24"/>
        </w:rPr>
        <w:t>* CORS Configuration: A Spring Security CORS filter restricts allowed origins to explicitly whitelisted domains (localhost:5173 for development, Vercel domain for production). All cross-origin preflight OPTIONS requests are handled without authentication to support browser compatibility.</w:t>
      </w:r>
    </w:p>
    <w:p>
      <w:pPr>
        <w:spacing w:after="200" w:lineRule="auto" w:line="360"/>
        <w:jc w:val="both"/>
      </w:pPr>
      <w:r>
        <w:rPr>
          <w:rFonts w:ascii="Times New Roman" w:hAnsi="Times New Roman"/>
          <w:b w:val="0"/>
          <w:i w:val="0"/>
          <w:sz w:val="24"/>
        </w:rPr>
        <w:t>* SQL Injection Prevention: All database interactions use Spring Data JPA with parameterized JPQL queries. No raw SQL string concatenation is used anywhere in the codebase.</w:t>
      </w:r>
    </w:p>
    <w:p>
      <w:pPr>
        <w:spacing w:after="200" w:lineRule="auto" w:line="360"/>
        <w:jc w:val="both"/>
      </w:pPr>
      <w:r>
        <w:rPr>
          <w:rFonts w:ascii="Times New Roman" w:hAnsi="Times New Roman"/>
          <w:b w:val="0"/>
          <w:i w:val="0"/>
          <w:sz w:val="24"/>
        </w:rPr>
        <w:t>* Input Size Enforcement: Spring Boot's multipart configuration restricts uploaded files to a maximum of 10MB per file and 10MB per request, preventing denial-of-service via large payload uploads.</w:t>
      </w:r>
    </w:p>
    <w:p>
      <w:pPr>
        <w:spacing w:after="120" w:lineRule="auto" w:line="276"/>
        <w:jc w:val="left"/>
      </w:pPr>
      <w:r>
        <w:rPr>
          <w:rFonts w:ascii="Times New Roman" w:hAnsi="Times New Roman"/>
          <w:b/>
          <w:i w:val="0"/>
          <w:sz w:val="32"/>
        </w:rPr>
        <w:t>6.8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tiers. It covered module architecture, the Two-Stage Validation algorithms, API endpoint documentation, cloud deployment strategy, and multi-layered security implementation — forming a complete reference for the platform's technical realization.</w:t>
      </w:r>
    </w:p>
    <w:p>
      <w:r>
        <w:br w:type="page"/>
      </w:r>
    </w:p>
    <w:p>
      <w:pPr>
        <w:spacing w:after="80" w:lineRule="auto" w:line="240"/>
        <w:jc w:val="center"/>
      </w:pPr>
      <w:r>
        <w:rPr>
          <w:rFonts w:ascii="Times New Roman" w:hAnsi="Times New Roman"/>
          <w:b/>
          <w:i w:val="0"/>
          <w:sz w:val="36"/>
        </w:rPr>
        <w:t>CHAPTER 7</w:t>
      </w:r>
    </w:p>
    <w:p>
      <w:pPr>
        <w:spacing w:after="400" w:lineRule="auto" w:line="240"/>
        <w:jc w:val="center"/>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Testing is an indispensable phase of the Software Development Life Cycle ensuring that the application satisfies all functional and non-functional specifications while demonstrating resilience against edge cases. For NutriVision AI, rigorous verification was conducted across all microservice boundaries to validate authentication security, image quality rejection accuracy, ONNX model prediction stability, and database consistency.</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Unit Testing: Verification of isolated functions and components. In the Python microservice, pytest validated OpenCV blur and luminance calculations against synthetic matrices. In the Spring Boot backend, JUnit 5 and Mockito tested service methods by mocking repository dependencies.</w:t>
      </w:r>
    </w:p>
    <w:p>
      <w:pPr>
        <w:spacing w:after="200" w:lineRule="auto" w:line="360"/>
        <w:jc w:val="both"/>
      </w:pPr>
      <w:r>
        <w:rPr>
          <w:rFonts w:ascii="Times New Roman" w:hAnsi="Times New Roman"/>
          <w:b w:val="0"/>
          <w:i w:val="0"/>
          <w:sz w:val="24"/>
        </w:rPr>
        <w:t>* Integration Testing: Verification of inter-service REST communications. Postman automated multipart POST requests to verify JSON serialization, HTTP headers, and error code propagation between Spring Boot and FastAPI.</w:t>
      </w:r>
    </w:p>
    <w:p>
      <w:pPr>
        <w:spacing w:after="200" w:lineRule="auto" w:line="360"/>
        <w:jc w:val="both"/>
      </w:pPr>
      <w:r>
        <w:rPr>
          <w:rFonts w:ascii="Times New Roman" w:hAnsi="Times New Roman"/>
          <w:b w:val="0"/>
          <w:i w:val="0"/>
          <w:sz w:val="24"/>
        </w:rPr>
        <w:t>* Security Testing: Rigorous evaluation of unauthorized API access, expired JWT tokens, role-based URL protection, and SQL injection resistance.</w:t>
      </w:r>
    </w:p>
    <w:p>
      <w:pPr>
        <w:spacing w:after="200" w:lineRule="auto" w:line="360"/>
        <w:jc w:val="both"/>
      </w:pPr>
      <w:r>
        <w:rPr>
          <w:rFonts w:ascii="Times New Roman" w:hAnsi="Times New Roman"/>
          <w:b w:val="0"/>
          <w:i w:val="0"/>
          <w:sz w:val="24"/>
        </w:rP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(20 Executed Test Cases)</w:t>
      </w:r>
    </w:p>
    <w:p>
      <w:pPr>
        <w:spacing w:after="200" w:lineRule="auto" w:line="360"/>
        <w:jc w:val="both"/>
      </w:pPr>
      <w:r>
        <w:rPr>
          <w:rFonts w:ascii="Times New Roman" w:hAnsi="Times New Roman"/>
          <w:b w:val="0"/>
          <w:i w:val="0"/>
          <w:sz w:val="24"/>
        </w:rPr>
        <w:t>The following table details 20 specific, executed test cases covering all major functional domains:</w:t>
      </w:r>
    </w:p>
    <w:tbl>
      <w:tblPr>
        <w:tblStyle w:val="TableGrid"/>
        <w:tblW w:type="auto" w:w="0"/>
        <w:jc w:val="center"/>
        <w:tblLook w:firstColumn="1" w:firstRow="1" w:lastColumn="0" w:lastRow="0" w:noHBand="0" w:noVBand="1" w:val="04A0"/>
      </w:tblPr>
      <w:tblGrid>
        <w:gridCol w:w="1080"/>
        <w:gridCol w:w="1368"/>
        <w:gridCol w:w="1944"/>
        <w:gridCol w:w="1584"/>
        <w:gridCol w:w="2160"/>
        <w:gridCol w:w="864"/>
      </w:tblGrid>
      <w:tr>
        <w:trPr>
          <w:tblHeader/>
        </w:trPr>
        <w:tc>
          <w:tcPr>
            <w:tcW w:type="dxa" w:w="1500"/>
          </w:tcPr>
          <w:p>
            <w:r>
              <w:rPr>
                <w:rFonts w:ascii="Times New Roman" w:hAnsi="Times New Roman"/>
                <w:b/>
                <w:sz w:val="19"/>
              </w:rPr>
              <w:t>Test ID</w:t>
            </w:r>
          </w:p>
        </w:tc>
        <w:tc>
          <w:tcPr>
            <w:tcW w:type="dxa" w:w="1500"/>
          </w:tcPr>
          <w:p>
            <w:r>
              <w:rPr>
                <w:rFonts w:ascii="Times New Roman" w:hAnsi="Times New Roman"/>
                <w:b/>
                <w:sz w:val="19"/>
              </w:rPr>
              <w:t>Module</w:t>
            </w:r>
          </w:p>
        </w:tc>
        <w:tc>
          <w:tcPr>
            <w:tcW w:type="dxa" w:w="1500"/>
          </w:tcPr>
          <w:p>
            <w:r>
              <w:rPr>
                <w:rFonts w:ascii="Times New Roman" w:hAnsi="Times New Roman"/>
                <w:b/>
                <w:sz w:val="19"/>
              </w:rPr>
              <w:t>Description</w:t>
            </w:r>
          </w:p>
        </w:tc>
        <w:tc>
          <w:tcPr>
            <w:tcW w:type="dxa" w:w="1500"/>
          </w:tcPr>
          <w:p>
            <w:r>
              <w:rPr>
                <w:rFonts w:ascii="Times New Roman" w:hAnsi="Times New Roman"/>
                <w:b/>
                <w:sz w:val="19"/>
              </w:rPr>
              <w:t>Input</w:t>
            </w:r>
          </w:p>
        </w:tc>
        <w:tc>
          <w:tcPr>
            <w:tcW w:type="dxa" w:w="1500"/>
          </w:tcPr>
          <w:p>
            <w:r>
              <w:rPr>
                <w:rFonts w:ascii="Times New Roman" w:hAnsi="Times New Roman"/>
                <w:b/>
                <w:sz w:val="19"/>
              </w:rPr>
              <w:t>Expected Output</w:t>
            </w:r>
          </w:p>
        </w:tc>
        <w:tc>
          <w:tcPr>
            <w:tcW w:type="dxa" w:w="1500"/>
          </w:tcPr>
          <w:p>
            <w:r>
              <w:rPr>
                <w:rFonts w:ascii="Times New Roman" w:hAnsi="Times New Roman"/>
                <w:b/>
                <w:sz w:val="19"/>
              </w:rPr>
              <w:t>Status</w:t>
            </w:r>
          </w:p>
        </w:tc>
      </w:tr>
      <w:tr>
        <w:trPr>
          <w:cantSplit/>
        </w:trPr>
        <w:tc>
          <w:tcPr>
            <w:tcW w:type="dxa" w:w="1080"/>
          </w:tcPr>
          <w:p>
            <w:pPr>
              <w:spacing w:before="40" w:after="40"/>
            </w:pPr>
            <w:r>
              <w:rPr>
                <w:rFonts w:ascii="Times New Roman" w:hAnsi="Times New Roman"/>
                <w:sz w:val="17"/>
              </w:rPr>
              <w:t>TC-001</w:t>
            </w:r>
          </w:p>
        </w:tc>
        <w:tc>
          <w:tcPr>
            <w:tcW w:type="dxa" w:w="1368"/>
          </w:tcPr>
          <w:p>
            <w:pPr>
              <w:spacing w:before="40" w:after="40"/>
            </w:pPr>
            <w:r>
              <w:rPr>
                <w:rFonts w:ascii="Times New Roman" w:hAnsi="Times New Roman"/>
                <w:sz w:val="17"/>
              </w:rPr>
              <w:t>Auth</w:t>
            </w:r>
          </w:p>
        </w:tc>
        <w:tc>
          <w:tcPr>
            <w:tcW w:type="dxa" w:w="1944"/>
          </w:tcPr>
          <w:p>
            <w:pPr>
              <w:spacing w:before="40" w:after="40"/>
            </w:pPr>
            <w:r>
              <w:rPr>
                <w:rFonts w:ascii="Times New Roman" w:hAnsi="Times New Roman"/>
                <w:sz w:val="17"/>
              </w:rPr>
              <w:t>Verify user registration with valid credentials.</w:t>
            </w:r>
          </w:p>
        </w:tc>
        <w:tc>
          <w:tcPr>
            <w:tcW w:type="dxa" w:w="1584"/>
          </w:tcPr>
          <w:p>
            <w:pPr>
              <w:spacing w:before="40" w:after="40"/>
            </w:pPr>
            <w:r>
              <w:rPr>
                <w:rFonts w:ascii="Times New Roman" w:hAnsi="Times New Roman"/>
                <w:sz w:val="17"/>
              </w:rPr>
              <w:t>Valid email, name, password &gt;= 8 chars.</w:t>
            </w:r>
          </w:p>
        </w:tc>
        <w:tc>
          <w:tcPr>
            <w:tcW w:type="dxa" w:w="2160"/>
          </w:tcPr>
          <w:p>
            <w:pPr>
              <w:spacing w:before="40" w:after="40"/>
            </w:pPr>
            <w:r>
              <w:rPr>
                <w:rFonts w:ascii="Times New Roman" w:hAnsi="Times New Roman"/>
                <w:sz w:val="17"/>
              </w:rPr>
              <w:t>HTTP 201 Created. Password hashed with BCrypt. JWT token returned.</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TC-002</w:t>
            </w:r>
          </w:p>
        </w:tc>
        <w:tc>
          <w:tcPr>
            <w:tcW w:type="dxa" w:w="1368"/>
          </w:tcPr>
          <w:p>
            <w:pPr>
              <w:spacing w:before="40" w:after="40"/>
            </w:pPr>
            <w:r>
              <w:rPr>
                <w:rFonts w:ascii="Times New Roman" w:hAnsi="Times New Roman"/>
                <w:sz w:val="17"/>
              </w:rPr>
              <w:t>Auth</w:t>
            </w:r>
          </w:p>
        </w:tc>
        <w:tc>
          <w:tcPr>
            <w:tcW w:type="dxa" w:w="1944"/>
          </w:tcPr>
          <w:p>
            <w:pPr>
              <w:spacing w:before="40" w:after="40"/>
            </w:pPr>
            <w:r>
              <w:rPr>
                <w:rFonts w:ascii="Times New Roman" w:hAnsi="Times New Roman"/>
                <w:sz w:val="17"/>
              </w:rPr>
              <w:t>Verify duplicate email registration rejection.</w:t>
            </w:r>
          </w:p>
        </w:tc>
        <w:tc>
          <w:tcPr>
            <w:tcW w:type="dxa" w:w="1584"/>
          </w:tcPr>
          <w:p>
            <w:pPr>
              <w:spacing w:before="40" w:after="40"/>
            </w:pPr>
            <w:r>
              <w:rPr>
                <w:rFonts w:ascii="Times New Roman" w:hAnsi="Times New Roman"/>
                <w:sz w:val="17"/>
              </w:rPr>
              <w:t>Email address already present in DB.</w:t>
            </w:r>
          </w:p>
        </w:tc>
        <w:tc>
          <w:tcPr>
            <w:tcW w:type="dxa" w:w="2160"/>
          </w:tcPr>
          <w:p>
            <w:pPr>
              <w:spacing w:before="40" w:after="40"/>
            </w:pPr>
            <w:r>
              <w:rPr>
                <w:rFonts w:ascii="Times New Roman" w:hAnsi="Times New Roman"/>
                <w:sz w:val="17"/>
              </w:rPr>
              <w:t>HTTP 409 Conflict. 'Email already registered' error message.</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TC-003</w:t>
            </w:r>
          </w:p>
        </w:tc>
        <w:tc>
          <w:tcPr>
            <w:tcW w:type="dxa" w:w="1368"/>
          </w:tcPr>
          <w:p>
            <w:pPr>
              <w:spacing w:before="40" w:after="40"/>
            </w:pPr>
            <w:r>
              <w:rPr>
                <w:rFonts w:ascii="Times New Roman" w:hAnsi="Times New Roman"/>
                <w:sz w:val="17"/>
              </w:rPr>
              <w:t>Auth</w:t>
            </w:r>
          </w:p>
        </w:tc>
        <w:tc>
          <w:tcPr>
            <w:tcW w:type="dxa" w:w="1944"/>
          </w:tcPr>
          <w:p>
            <w:pPr>
              <w:spacing w:before="40" w:after="40"/>
            </w:pPr>
            <w:r>
              <w:rPr>
                <w:rFonts w:ascii="Times New Roman" w:hAnsi="Times New Roman"/>
                <w:sz w:val="17"/>
              </w:rPr>
              <w:t>Verify successful login with valid credentials.</w:t>
            </w:r>
          </w:p>
        </w:tc>
        <w:tc>
          <w:tcPr>
            <w:tcW w:type="dxa" w:w="1584"/>
          </w:tcPr>
          <w:p>
            <w:pPr>
              <w:spacing w:before="40" w:after="40"/>
            </w:pPr>
            <w:r>
              <w:rPr>
                <w:rFonts w:ascii="Times New Roman" w:hAnsi="Times New Roman"/>
                <w:sz w:val="17"/>
              </w:rPr>
              <w:t>Registered email and valid password.</w:t>
            </w:r>
          </w:p>
        </w:tc>
        <w:tc>
          <w:tcPr>
            <w:tcW w:type="dxa" w:w="2160"/>
          </w:tcPr>
          <w:p>
            <w:pPr>
              <w:spacing w:before="40" w:after="40"/>
            </w:pPr>
            <w:r>
              <w:rPr>
                <w:rFonts w:ascii="Times New Roman" w:hAnsi="Times New Roman"/>
                <w:sz w:val="17"/>
              </w:rPr>
              <w:t>HTTP 200 OK. Stateless JWT issued with 24-hr expiration claim.</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TC-004</w:t>
            </w:r>
          </w:p>
        </w:tc>
        <w:tc>
          <w:tcPr>
            <w:tcW w:type="dxa" w:w="1368"/>
          </w:tcPr>
          <w:p>
            <w:pPr>
              <w:spacing w:before="40" w:after="40"/>
            </w:pPr>
            <w:r>
              <w:rPr>
                <w:rFonts w:ascii="Times New Roman" w:hAnsi="Times New Roman"/>
                <w:sz w:val="17"/>
              </w:rPr>
              <w:t>Auth</w:t>
            </w:r>
          </w:p>
        </w:tc>
        <w:tc>
          <w:tcPr>
            <w:tcW w:type="dxa" w:w="1944"/>
          </w:tcPr>
          <w:p>
            <w:pPr>
              <w:spacing w:before="40" w:after="40"/>
            </w:pPr>
            <w:r>
              <w:rPr>
                <w:rFonts w:ascii="Times New Roman" w:hAnsi="Times New Roman"/>
                <w:sz w:val="17"/>
              </w:rPr>
              <w:t>Verify login rejection with incorrect password.</w:t>
            </w:r>
          </w:p>
        </w:tc>
        <w:tc>
          <w:tcPr>
            <w:tcW w:type="dxa" w:w="1584"/>
          </w:tcPr>
          <w:p>
            <w:pPr>
              <w:spacing w:before="40" w:after="40"/>
            </w:pPr>
            <w:r>
              <w:rPr>
                <w:rFonts w:ascii="Times New Roman" w:hAnsi="Times New Roman"/>
                <w:sz w:val="17"/>
              </w:rPr>
              <w:t>Registered email with wrong password.</w:t>
            </w:r>
          </w:p>
        </w:tc>
        <w:tc>
          <w:tcPr>
            <w:tcW w:type="dxa" w:w="2160"/>
          </w:tcPr>
          <w:p>
            <w:pPr>
              <w:spacing w:before="40" w:after="40"/>
            </w:pPr>
            <w:r>
              <w:rPr>
                <w:rFonts w:ascii="Times New Roman" w:hAnsi="Times New Roman"/>
                <w:sz w:val="17"/>
              </w:rPr>
              <w:t>HTTP 401 Unauthorized. Generic credentials error. No token.</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TC-005</w:t>
            </w:r>
          </w:p>
        </w:tc>
        <w:tc>
          <w:tcPr>
            <w:tcW w:type="dxa" w:w="1368"/>
          </w:tcPr>
          <w:p>
            <w:pPr>
              <w:spacing w:before="40" w:after="40"/>
            </w:pPr>
            <w:r>
              <w:rPr>
                <w:rFonts w:ascii="Times New Roman" w:hAnsi="Times New Roman"/>
                <w:sz w:val="17"/>
              </w:rPr>
              <w:t>Security</w:t>
            </w:r>
          </w:p>
        </w:tc>
        <w:tc>
          <w:tcPr>
            <w:tcW w:type="dxa" w:w="1944"/>
          </w:tcPr>
          <w:p>
            <w:pPr>
              <w:spacing w:before="40" w:after="40"/>
            </w:pPr>
            <w:r>
              <w:rPr>
                <w:rFonts w:ascii="Times New Roman" w:hAnsi="Times New Roman"/>
                <w:sz w:val="17"/>
              </w:rPr>
              <w:t>Verify protection of secured endpoints.</w:t>
            </w:r>
          </w:p>
        </w:tc>
        <w:tc>
          <w:tcPr>
            <w:tcW w:type="dxa" w:w="1584"/>
          </w:tcPr>
          <w:p>
            <w:pPr>
              <w:spacing w:before="40" w:after="40"/>
            </w:pPr>
            <w:r>
              <w:rPr>
                <w:rFonts w:ascii="Times New Roman" w:hAnsi="Times New Roman"/>
                <w:sz w:val="17"/>
              </w:rPr>
              <w:t>GET /api/assessments with no token.</w:t>
            </w:r>
          </w:p>
        </w:tc>
        <w:tc>
          <w:tcPr>
            <w:tcW w:type="dxa" w:w="2160"/>
          </w:tcPr>
          <w:p>
            <w:pPr>
              <w:spacing w:before="40" w:after="40"/>
            </w:pPr>
            <w:r>
              <w:rPr>
                <w:rFonts w:ascii="Times New Roman" w:hAnsi="Times New Roman"/>
                <w:sz w:val="17"/>
              </w:rPr>
              <w:t>HTTP 401 Unauthorized. Access denied by JwtAuthenticationFilter.</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TC-006</w:t>
            </w:r>
          </w:p>
        </w:tc>
        <w:tc>
          <w:tcPr>
            <w:tcW w:type="dxa" w:w="1368"/>
          </w:tcPr>
          <w:p>
            <w:pPr>
              <w:spacing w:before="40" w:after="40"/>
            </w:pPr>
            <w:r>
              <w:rPr>
                <w:rFonts w:ascii="Times New Roman" w:hAnsi="Times New Roman"/>
                <w:sz w:val="17"/>
              </w:rPr>
              <w:t>Security</w:t>
            </w:r>
          </w:p>
        </w:tc>
        <w:tc>
          <w:tcPr>
            <w:tcW w:type="dxa" w:w="1944"/>
          </w:tcPr>
          <w:p>
            <w:pPr>
              <w:spacing w:before="40" w:after="40"/>
            </w:pPr>
            <w:r>
              <w:rPr>
                <w:rFonts w:ascii="Times New Roman" w:hAnsi="Times New Roman"/>
                <w:sz w:val="17"/>
              </w:rPr>
              <w:t>Verify Role-Based Access Control (RBAC).</w:t>
            </w:r>
          </w:p>
        </w:tc>
        <w:tc>
          <w:tcPr>
            <w:tcW w:type="dxa" w:w="1584"/>
          </w:tcPr>
          <w:p>
            <w:pPr>
              <w:spacing w:before="40" w:after="40"/>
            </w:pPr>
            <w:r>
              <w:rPr>
                <w:rFonts w:ascii="Times New Roman" w:hAnsi="Times New Roman"/>
                <w:sz w:val="17"/>
              </w:rPr>
              <w:t>User with ROLE_USER gets /api/admin.</w:t>
            </w:r>
          </w:p>
        </w:tc>
        <w:tc>
          <w:tcPr>
            <w:tcW w:type="dxa" w:w="2160"/>
          </w:tcPr>
          <w:p>
            <w:pPr>
              <w:spacing w:before="40" w:after="40"/>
            </w:pPr>
            <w:r>
              <w:rPr>
                <w:rFonts w:ascii="Times New Roman" w:hAnsi="Times New Roman"/>
                <w:sz w:val="17"/>
              </w:rPr>
              <w:t>HTTP 403 Forbidden. Access denied by Spring Security rules.</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TC-007</w:t>
            </w:r>
          </w:p>
        </w:tc>
        <w:tc>
          <w:tcPr>
            <w:tcW w:type="dxa" w:w="1368"/>
          </w:tcPr>
          <w:p>
            <w:pPr>
              <w:spacing w:before="40" w:after="40"/>
            </w:pPr>
            <w:r>
              <w:rPr>
                <w:rFonts w:ascii="Times New Roman" w:hAnsi="Times New Roman"/>
                <w:sz w:val="17"/>
              </w:rPr>
              <w:t>Assessment</w:t>
            </w:r>
          </w:p>
        </w:tc>
        <w:tc>
          <w:tcPr>
            <w:tcW w:type="dxa" w:w="1944"/>
          </w:tcPr>
          <w:p>
            <w:pPr>
              <w:spacing w:before="40" w:after="40"/>
            </w:pPr>
            <w:r>
              <w:rPr>
                <w:rFonts w:ascii="Times New Roman" w:hAnsi="Times New Roman"/>
                <w:sz w:val="17"/>
              </w:rPr>
              <w:t>Verify creation of new assessment draft.</w:t>
            </w:r>
          </w:p>
        </w:tc>
        <w:tc>
          <w:tcPr>
            <w:tcW w:type="dxa" w:w="1584"/>
          </w:tcPr>
          <w:p>
            <w:pPr>
              <w:spacing w:before="40" w:after="40"/>
            </w:pPr>
            <w:r>
              <w:rPr>
                <w:rFonts w:ascii="Times New Roman" w:hAnsi="Times New Roman"/>
                <w:sz w:val="17"/>
              </w:rPr>
              <w:t>POST /api/assessments with 'NAILS'.</w:t>
            </w:r>
          </w:p>
        </w:tc>
        <w:tc>
          <w:tcPr>
            <w:tcW w:type="dxa" w:w="2160"/>
          </w:tcPr>
          <w:p>
            <w:pPr>
              <w:spacing w:before="40" w:after="40"/>
            </w:pPr>
            <w:r>
              <w:rPr>
                <w:rFonts w:ascii="Times New Roman" w:hAnsi="Times New Roman"/>
                <w:sz w:val="17"/>
              </w:rPr>
              <w:t>HTTP 201 Created. Assessment ID returned with status DRAFT.</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TC-008</w:t>
            </w:r>
          </w:p>
        </w:tc>
        <w:tc>
          <w:tcPr>
            <w:tcW w:type="dxa" w:w="1368"/>
          </w:tcPr>
          <w:p>
            <w:pPr>
              <w:spacing w:before="40" w:after="40"/>
            </w:pPr>
            <w:r>
              <w:rPr>
                <w:rFonts w:ascii="Times New Roman" w:hAnsi="Times New Roman"/>
                <w:sz w:val="17"/>
              </w:rPr>
              <w:t>Assessment</w:t>
            </w:r>
          </w:p>
        </w:tc>
        <w:tc>
          <w:tcPr>
            <w:tcW w:type="dxa" w:w="1944"/>
          </w:tcPr>
          <w:p>
            <w:pPr>
              <w:spacing w:before="40" w:after="40"/>
            </w:pPr>
            <w:r>
              <w:rPr>
                <w:rFonts w:ascii="Times New Roman" w:hAnsi="Times New Roman"/>
                <w:sz w:val="17"/>
              </w:rPr>
              <w:t>Verify rejection of invalid anatomical part.</w:t>
            </w:r>
          </w:p>
        </w:tc>
        <w:tc>
          <w:tcPr>
            <w:tcW w:type="dxa" w:w="1584"/>
          </w:tcPr>
          <w:p>
            <w:pPr>
              <w:spacing w:before="40" w:after="40"/>
            </w:pPr>
            <w:r>
              <w:rPr>
                <w:rFonts w:ascii="Times New Roman" w:hAnsi="Times New Roman"/>
                <w:sz w:val="17"/>
              </w:rPr>
              <w:t>POST /api/assessments with part='FOOT'.</w:t>
            </w:r>
          </w:p>
        </w:tc>
        <w:tc>
          <w:tcPr>
            <w:tcW w:type="dxa" w:w="2160"/>
          </w:tcPr>
          <w:p>
            <w:pPr>
              <w:spacing w:before="40" w:after="40"/>
            </w:pPr>
            <w:r>
              <w:rPr>
                <w:rFonts w:ascii="Times New Roman" w:hAnsi="Times New Roman"/>
                <w:sz w:val="17"/>
              </w:rPr>
              <w:t>HTTP 400 Bad Request. MethodArgumentNotValidException.</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TC-009</w:t>
            </w:r>
          </w:p>
        </w:tc>
        <w:tc>
          <w:tcPr>
            <w:tcW w:type="dxa" w:w="1368"/>
          </w:tcPr>
          <w:p>
            <w:pPr>
              <w:spacing w:before="40" w:after="40"/>
            </w:pPr>
            <w:r>
              <w:rPr>
                <w:rFonts w:ascii="Times New Roman" w:hAnsi="Times New Roman"/>
                <w:sz w:val="17"/>
              </w:rPr>
              <w:t>Image Quality</w:t>
            </w:r>
          </w:p>
        </w:tc>
        <w:tc>
          <w:tcPr>
            <w:tcW w:type="dxa" w:w="1944"/>
          </w:tcPr>
          <w:p>
            <w:pPr>
              <w:spacing w:before="40" w:after="40"/>
            </w:pPr>
            <w:r>
              <w:rPr>
                <w:rFonts w:ascii="Times New Roman" w:hAnsi="Times New Roman"/>
                <w:sz w:val="17"/>
              </w:rPr>
              <w:t>Verify OpenCV acceptance of sharp photo.</w:t>
            </w:r>
          </w:p>
        </w:tc>
        <w:tc>
          <w:tcPr>
            <w:tcW w:type="dxa" w:w="1584"/>
          </w:tcPr>
          <w:p>
            <w:pPr>
              <w:spacing w:before="40" w:after="40"/>
            </w:pPr>
            <w:r>
              <w:rPr>
                <w:rFonts w:ascii="Times New Roman" w:hAnsi="Times New Roman"/>
                <w:sz w:val="17"/>
              </w:rPr>
              <w:t>Multipart upload of high-quality nail JPEG.</w:t>
            </w:r>
          </w:p>
        </w:tc>
        <w:tc>
          <w:tcPr>
            <w:tcW w:type="dxa" w:w="2160"/>
          </w:tcPr>
          <w:p>
            <w:pPr>
              <w:spacing w:before="40" w:after="40"/>
            </w:pPr>
            <w:r>
              <w:rPr>
                <w:rFonts w:ascii="Times New Roman" w:hAnsi="Times New Roman"/>
                <w:sz w:val="17"/>
              </w:rPr>
              <w:t>HTTP 200 OK. qualityStatus=PASSED, blurScore &gt; 30.0.</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TC-010</w:t>
            </w:r>
          </w:p>
        </w:tc>
        <w:tc>
          <w:tcPr>
            <w:tcW w:type="dxa" w:w="1368"/>
          </w:tcPr>
          <w:p>
            <w:pPr>
              <w:spacing w:before="40" w:after="40"/>
            </w:pPr>
            <w:r>
              <w:rPr>
                <w:rFonts w:ascii="Times New Roman" w:hAnsi="Times New Roman"/>
                <w:sz w:val="17"/>
              </w:rPr>
              <w:t>Image Quality</w:t>
            </w:r>
          </w:p>
        </w:tc>
        <w:tc>
          <w:tcPr>
            <w:tcW w:type="dxa" w:w="1944"/>
          </w:tcPr>
          <w:p>
            <w:pPr>
              <w:spacing w:before="40" w:after="40"/>
            </w:pPr>
            <w:r>
              <w:rPr>
                <w:rFonts w:ascii="Times New Roman" w:hAnsi="Times New Roman"/>
                <w:sz w:val="17"/>
              </w:rPr>
              <w:t>Verify OpenCV rejection of blurred image.</w:t>
            </w:r>
          </w:p>
        </w:tc>
        <w:tc>
          <w:tcPr>
            <w:tcW w:type="dxa" w:w="1584"/>
          </w:tcPr>
          <w:p>
            <w:pPr>
              <w:spacing w:before="40" w:after="40"/>
            </w:pPr>
            <w:r>
              <w:rPr>
                <w:rFonts w:ascii="Times New Roman" w:hAnsi="Times New Roman"/>
                <w:sz w:val="17"/>
              </w:rPr>
              <w:t>Upload photo with Laplacian var &lt; 10.0.</w:t>
            </w:r>
          </w:p>
        </w:tc>
        <w:tc>
          <w:tcPr>
            <w:tcW w:type="dxa" w:w="2160"/>
          </w:tcPr>
          <w:p>
            <w:pPr>
              <w:spacing w:before="40" w:after="40"/>
            </w:pPr>
            <w:r>
              <w:rPr>
                <w:rFonts w:ascii="Times New Roman" w:hAnsi="Times New Roman"/>
                <w:sz w:val="17"/>
              </w:rPr>
              <w:t>HTTP 200 OK. qualityStatus=REJECTED. Feedback: image blurry.</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TC-011</w:t>
            </w:r>
          </w:p>
        </w:tc>
        <w:tc>
          <w:tcPr>
            <w:tcW w:type="dxa" w:w="1368"/>
          </w:tcPr>
          <w:p>
            <w:pPr>
              <w:spacing w:before="40" w:after="40"/>
            </w:pPr>
            <w:r>
              <w:rPr>
                <w:rFonts w:ascii="Times New Roman" w:hAnsi="Times New Roman"/>
                <w:sz w:val="17"/>
              </w:rPr>
              <w:t>Image Quality</w:t>
            </w:r>
          </w:p>
        </w:tc>
        <w:tc>
          <w:tcPr>
            <w:tcW w:type="dxa" w:w="1944"/>
          </w:tcPr>
          <w:p>
            <w:pPr>
              <w:spacing w:before="40" w:after="40"/>
            </w:pPr>
            <w:r>
              <w:rPr>
                <w:rFonts w:ascii="Times New Roman" w:hAnsi="Times New Roman"/>
                <w:sz w:val="17"/>
              </w:rPr>
              <w:t>Verify OpenCV rejection of dark photo.</w:t>
            </w:r>
          </w:p>
        </w:tc>
        <w:tc>
          <w:tcPr>
            <w:tcW w:type="dxa" w:w="1584"/>
          </w:tcPr>
          <w:p>
            <w:pPr>
              <w:spacing w:before="40" w:after="40"/>
            </w:pPr>
            <w:r>
              <w:rPr>
                <w:rFonts w:ascii="Times New Roman" w:hAnsi="Times New Roman"/>
                <w:sz w:val="17"/>
              </w:rPr>
              <w:t>Upload photo with mean luminance &lt; 40.0.</w:t>
            </w:r>
          </w:p>
        </w:tc>
        <w:tc>
          <w:tcPr>
            <w:tcW w:type="dxa" w:w="2160"/>
          </w:tcPr>
          <w:p>
            <w:pPr>
              <w:spacing w:before="40" w:after="40"/>
            </w:pPr>
            <w:r>
              <w:rPr>
                <w:rFonts w:ascii="Times New Roman" w:hAnsi="Times New Roman"/>
                <w:sz w:val="17"/>
              </w:rPr>
              <w:t>HTTP 200 OK. qualityStatus=REJECTED. Feedback: underexposed.</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TC-012</w:t>
            </w:r>
          </w:p>
        </w:tc>
        <w:tc>
          <w:tcPr>
            <w:tcW w:type="dxa" w:w="1368"/>
          </w:tcPr>
          <w:p>
            <w:pPr>
              <w:spacing w:before="40" w:after="40"/>
            </w:pPr>
            <w:r>
              <w:rPr>
                <w:rFonts w:ascii="Times New Roman" w:hAnsi="Times New Roman"/>
                <w:sz w:val="17"/>
              </w:rPr>
              <w:t>Image Quality</w:t>
            </w:r>
          </w:p>
        </w:tc>
        <w:tc>
          <w:tcPr>
            <w:tcW w:type="dxa" w:w="1944"/>
          </w:tcPr>
          <w:p>
            <w:pPr>
              <w:spacing w:before="40" w:after="40"/>
            </w:pPr>
            <w:r>
              <w:rPr>
                <w:rFonts w:ascii="Times New Roman" w:hAnsi="Times New Roman"/>
                <w:sz w:val="17"/>
              </w:rPr>
              <w:t>Verify file upload payload size limits.</w:t>
            </w:r>
          </w:p>
        </w:tc>
        <w:tc>
          <w:tcPr>
            <w:tcW w:type="dxa" w:w="1584"/>
          </w:tcPr>
          <w:p>
            <w:pPr>
              <w:spacing w:before="40" w:after="40"/>
            </w:pPr>
            <w:r>
              <w:rPr>
                <w:rFonts w:ascii="Times New Roman" w:hAnsi="Times New Roman"/>
                <w:sz w:val="17"/>
              </w:rPr>
              <w:t>Upload 15MB high-resolution JPEG file.</w:t>
            </w:r>
          </w:p>
        </w:tc>
        <w:tc>
          <w:tcPr>
            <w:tcW w:type="dxa" w:w="2160"/>
          </w:tcPr>
          <w:p>
            <w:pPr>
              <w:spacing w:before="40" w:after="40"/>
            </w:pPr>
            <w:r>
              <w:rPr>
                <w:rFonts w:ascii="Times New Roman" w:hAnsi="Times New Roman"/>
                <w:sz w:val="17"/>
              </w:rPr>
              <w:t>HTTP 413 Payload Too Large. MaxUploadSizeExceededException.</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TC-013</w:t>
            </w:r>
          </w:p>
        </w:tc>
        <w:tc>
          <w:tcPr>
            <w:tcW w:type="dxa" w:w="1368"/>
          </w:tcPr>
          <w:p>
            <w:pPr>
              <w:spacing w:before="40" w:after="40"/>
            </w:pPr>
            <w:r>
              <w:rPr>
                <w:rFonts w:ascii="Times New Roman" w:hAnsi="Times New Roman"/>
                <w:sz w:val="17"/>
              </w:rPr>
              <w:t>AI Inference</w:t>
            </w:r>
          </w:p>
        </w:tc>
        <w:tc>
          <w:tcPr>
            <w:tcW w:type="dxa" w:w="1944"/>
          </w:tcPr>
          <w:p>
            <w:pPr>
              <w:spacing w:before="40" w:after="40"/>
            </w:pPr>
            <w:r>
              <w:rPr>
                <w:rFonts w:ascii="Times New Roman" w:hAnsi="Times New Roman"/>
                <w:sz w:val="17"/>
              </w:rPr>
              <w:t>Verify CLIP rejection of non-body photo.</w:t>
            </w:r>
          </w:p>
        </w:tc>
        <w:tc>
          <w:tcPr>
            <w:tcW w:type="dxa" w:w="1584"/>
          </w:tcPr>
          <w:p>
            <w:pPr>
              <w:spacing w:before="40" w:after="40"/>
            </w:pPr>
            <w:r>
              <w:rPr>
                <w:rFonts w:ascii="Times New Roman" w:hAnsi="Times New Roman"/>
                <w:sz w:val="17"/>
              </w:rPr>
              <w:t>Upload image of a vehicle for 'EYES'.</w:t>
            </w:r>
          </w:p>
        </w:tc>
        <w:tc>
          <w:tcPr>
            <w:tcW w:type="dxa" w:w="2160"/>
          </w:tcPr>
          <w:p>
            <w:pPr>
              <w:spacing w:before="40" w:after="40"/>
            </w:pPr>
            <w:r>
              <w:rPr>
                <w:rFonts w:ascii="Times New Roman" w:hAnsi="Times New Roman"/>
                <w:sz w:val="17"/>
              </w:rPr>
              <w:t>InferenceResponse status=REJECTED. Reason: Content invalid.</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TC-014</w:t>
            </w:r>
          </w:p>
        </w:tc>
        <w:tc>
          <w:tcPr>
            <w:tcW w:type="dxa" w:w="1368"/>
          </w:tcPr>
          <w:p>
            <w:pPr>
              <w:spacing w:before="40" w:after="40"/>
            </w:pPr>
            <w:r>
              <w:rPr>
                <w:rFonts w:ascii="Times New Roman" w:hAnsi="Times New Roman"/>
                <w:sz w:val="17"/>
              </w:rPr>
              <w:t>AI Inference</w:t>
            </w:r>
          </w:p>
        </w:tc>
        <w:tc>
          <w:tcPr>
            <w:tcW w:type="dxa" w:w="1944"/>
          </w:tcPr>
          <w:p>
            <w:pPr>
              <w:spacing w:before="40" w:after="40"/>
            </w:pPr>
            <w:r>
              <w:rPr>
                <w:rFonts w:ascii="Times New Roman" w:hAnsi="Times New Roman"/>
                <w:sz w:val="17"/>
              </w:rPr>
              <w:t>Verify successful MobileNetV2 prediction.</w:t>
            </w:r>
          </w:p>
        </w:tc>
        <w:tc>
          <w:tcPr>
            <w:tcW w:type="dxa" w:w="1584"/>
          </w:tcPr>
          <w:p>
            <w:pPr>
              <w:spacing w:before="40" w:after="40"/>
            </w:pPr>
            <w:r>
              <w:rPr>
                <w:rFonts w:ascii="Times New Roman" w:hAnsi="Times New Roman"/>
                <w:sz w:val="17"/>
              </w:rPr>
              <w:t>Valid nail photo passed quality checks.</w:t>
            </w:r>
          </w:p>
        </w:tc>
        <w:tc>
          <w:tcPr>
            <w:tcW w:type="dxa" w:w="2160"/>
          </w:tcPr>
          <w:p>
            <w:pPr>
              <w:spacing w:before="40" w:after="40"/>
            </w:pPr>
            <w:r>
              <w:rPr>
                <w:rFonts w:ascii="Times New Roman" w:hAnsi="Times New Roman"/>
                <w:sz w:val="17"/>
              </w:rPr>
              <w:t>InferenceResponse status=SUCCESS. Top-3 predictions returned.</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TC-015</w:t>
            </w:r>
          </w:p>
        </w:tc>
        <w:tc>
          <w:tcPr>
            <w:tcW w:type="dxa" w:w="1368"/>
          </w:tcPr>
          <w:p>
            <w:pPr>
              <w:spacing w:before="40" w:after="40"/>
            </w:pPr>
            <w:r>
              <w:rPr>
                <w:rFonts w:ascii="Times New Roman" w:hAnsi="Times New Roman"/>
                <w:sz w:val="17"/>
              </w:rPr>
              <w:t>AI Inference</w:t>
            </w:r>
          </w:p>
        </w:tc>
        <w:tc>
          <w:tcPr>
            <w:tcW w:type="dxa" w:w="1944"/>
          </w:tcPr>
          <w:p>
            <w:pPr>
              <w:spacing w:before="40" w:after="40"/>
            </w:pPr>
            <w:r>
              <w:rPr>
                <w:rFonts w:ascii="Times New Roman" w:hAnsi="Times New Roman"/>
                <w:sz w:val="17"/>
              </w:rPr>
              <w:t>Verify Softmax probabilities sum to 100%.</w:t>
            </w:r>
          </w:p>
        </w:tc>
        <w:tc>
          <w:tcPr>
            <w:tcW w:type="dxa" w:w="1584"/>
          </w:tcPr>
          <w:p>
            <w:pPr>
              <w:spacing w:before="40" w:after="40"/>
            </w:pPr>
            <w:r>
              <w:rPr>
                <w:rFonts w:ascii="Times New Roman" w:hAnsi="Times New Roman"/>
                <w:sz w:val="17"/>
              </w:rPr>
              <w:t>Analyze Top-3 and remaining class logits.</w:t>
            </w:r>
          </w:p>
        </w:tc>
        <w:tc>
          <w:tcPr>
            <w:tcW w:type="dxa" w:w="2160"/>
          </w:tcPr>
          <w:p>
            <w:pPr>
              <w:spacing w:before="40" w:after="40"/>
            </w:pPr>
            <w:r>
              <w:rPr>
                <w:rFonts w:ascii="Times New Roman" w:hAnsi="Times New Roman"/>
                <w:sz w:val="17"/>
              </w:rPr>
              <w:t>Softmax probabilities across all 6 classes sum to exactly 1.0 (100%).</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TC-016</w:t>
            </w:r>
          </w:p>
        </w:tc>
        <w:tc>
          <w:tcPr>
            <w:tcW w:type="dxa" w:w="1368"/>
          </w:tcPr>
          <w:p>
            <w:pPr>
              <w:spacing w:before="40" w:after="40"/>
            </w:pPr>
            <w:r>
              <w:rPr>
                <w:rFonts w:ascii="Times New Roman" w:hAnsi="Times New Roman"/>
                <w:sz w:val="17"/>
              </w:rPr>
              <w:t>Data Privacy</w:t>
            </w:r>
          </w:p>
        </w:tc>
        <w:tc>
          <w:tcPr>
            <w:tcW w:type="dxa" w:w="1944"/>
          </w:tcPr>
          <w:p>
            <w:pPr>
              <w:spacing w:before="40" w:after="40"/>
            </w:pPr>
            <w:r>
              <w:rPr>
                <w:rFonts w:ascii="Times New Roman" w:hAnsi="Times New Roman"/>
                <w:sz w:val="17"/>
              </w:rPr>
              <w:t>Verify user isolation of assessment history.</w:t>
            </w:r>
          </w:p>
        </w:tc>
        <w:tc>
          <w:tcPr>
            <w:tcW w:type="dxa" w:w="1584"/>
          </w:tcPr>
          <w:p>
            <w:pPr>
              <w:spacing w:before="40" w:after="40"/>
            </w:pPr>
            <w:r>
              <w:rPr>
                <w:rFonts w:ascii="Times New Roman" w:hAnsi="Times New Roman"/>
                <w:sz w:val="17"/>
              </w:rPr>
              <w:t>User A requests GET /api/assessments/{UserB}.</w:t>
            </w:r>
          </w:p>
        </w:tc>
        <w:tc>
          <w:tcPr>
            <w:tcW w:type="dxa" w:w="2160"/>
          </w:tcPr>
          <w:p>
            <w:pPr>
              <w:spacing w:before="40" w:after="40"/>
            </w:pPr>
            <w:r>
              <w:rPr>
                <w:rFonts w:ascii="Times New Roman" w:hAnsi="Times New Roman"/>
                <w:sz w:val="17"/>
              </w:rPr>
              <w:t>HTTP 403 Forbidden. Ownership check throws AccessDeniedException.</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TC-017</w:t>
            </w:r>
          </w:p>
        </w:tc>
        <w:tc>
          <w:tcPr>
            <w:tcW w:type="dxa" w:w="1368"/>
          </w:tcPr>
          <w:p>
            <w:pPr>
              <w:spacing w:before="40" w:after="40"/>
            </w:pPr>
            <w:r>
              <w:rPr>
                <w:rFonts w:ascii="Times New Roman" w:hAnsi="Times New Roman"/>
                <w:sz w:val="17"/>
              </w:rPr>
              <w:t>Nutrition</w:t>
            </w:r>
          </w:p>
        </w:tc>
        <w:tc>
          <w:tcPr>
            <w:tcW w:type="dxa" w:w="1944"/>
          </w:tcPr>
          <w:p>
            <w:pPr>
              <w:spacing w:before="40" w:after="40"/>
            </w:pPr>
            <w:r>
              <w:rPr>
                <w:rFonts w:ascii="Times New Roman" w:hAnsi="Times New Roman"/>
                <w:sz w:val="17"/>
              </w:rPr>
              <w:t>Verify retrieval of targeted dietary plan.</w:t>
            </w:r>
          </w:p>
        </w:tc>
        <w:tc>
          <w:tcPr>
            <w:tcW w:type="dxa" w:w="1584"/>
          </w:tcPr>
          <w:p>
            <w:pPr>
              <w:spacing w:before="40" w:after="40"/>
            </w:pPr>
            <w:r>
              <w:rPr>
                <w:rFonts w:ascii="Times New Roman" w:hAnsi="Times New Roman"/>
                <w:sz w:val="17"/>
              </w:rPr>
              <w:t>GET /api/nutrition/recommendations/IRON</w:t>
            </w:r>
          </w:p>
        </w:tc>
        <w:tc>
          <w:tcPr>
            <w:tcW w:type="dxa" w:w="2160"/>
          </w:tcPr>
          <w:p>
            <w:pPr>
              <w:spacing w:before="40" w:after="40"/>
            </w:pPr>
            <w:r>
              <w:rPr>
                <w:rFonts w:ascii="Times New Roman" w:hAnsi="Times New Roman"/>
                <w:sz w:val="17"/>
              </w:rPr>
              <w:t>HTTP 200 OK. JSON array of iron-rich Indian food items.</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TC-018</w:t>
            </w:r>
          </w:p>
        </w:tc>
        <w:tc>
          <w:tcPr>
            <w:tcW w:type="dxa" w:w="1368"/>
          </w:tcPr>
          <w:p>
            <w:pPr>
              <w:spacing w:before="40" w:after="40"/>
            </w:pPr>
            <w:r>
              <w:rPr>
                <w:rFonts w:ascii="Times New Roman" w:hAnsi="Times New Roman"/>
                <w:sz w:val="17"/>
              </w:rPr>
              <w:t>Chatbot</w:t>
            </w:r>
          </w:p>
        </w:tc>
        <w:tc>
          <w:tcPr>
            <w:tcW w:type="dxa" w:w="1944"/>
          </w:tcPr>
          <w:p>
            <w:pPr>
              <w:spacing w:before="40" w:after="40"/>
            </w:pPr>
            <w:r>
              <w:rPr>
                <w:rFonts w:ascii="Times New Roman" w:hAnsi="Times New Roman"/>
                <w:sz w:val="17"/>
              </w:rPr>
              <w:t>Verify chatbot response to nutrition query.</w:t>
            </w:r>
          </w:p>
        </w:tc>
        <w:tc>
          <w:tcPr>
            <w:tcW w:type="dxa" w:w="1584"/>
          </w:tcPr>
          <w:p>
            <w:pPr>
              <w:spacing w:before="40" w:after="40"/>
            </w:pPr>
            <w:r>
              <w:rPr>
                <w:rFonts w:ascii="Times New Roman" w:hAnsi="Times New Roman"/>
                <w:sz w:val="17"/>
              </w:rPr>
              <w:t>POST /api/chat 'What are sources of Vitamin C?'</w:t>
            </w:r>
          </w:p>
        </w:tc>
        <w:tc>
          <w:tcPr>
            <w:tcW w:type="dxa" w:w="2160"/>
          </w:tcPr>
          <w:p>
            <w:pPr>
              <w:spacing w:before="40" w:after="40"/>
            </w:pPr>
            <w:r>
              <w:rPr>
                <w:rFonts w:ascii="Times New Roman" w:hAnsi="Times New Roman"/>
                <w:sz w:val="17"/>
              </w:rPr>
              <w:t>HTTP 200 OK. Chatbot returns relevant citrus &amp; amla suggestions.</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TC-019</w:t>
            </w:r>
          </w:p>
        </w:tc>
        <w:tc>
          <w:tcPr>
            <w:tcW w:type="dxa" w:w="1368"/>
          </w:tcPr>
          <w:p>
            <w:pPr>
              <w:spacing w:before="40" w:after="40"/>
            </w:pPr>
            <w:r>
              <w:rPr>
                <w:rFonts w:ascii="Times New Roman" w:hAnsi="Times New Roman"/>
                <w:sz w:val="17"/>
              </w:rPr>
              <w:t>Chatbot</w:t>
            </w:r>
          </w:p>
        </w:tc>
        <w:tc>
          <w:tcPr>
            <w:tcW w:type="dxa" w:w="1944"/>
          </w:tcPr>
          <w:p>
            <w:pPr>
              <w:spacing w:before="40" w:after="40"/>
            </w:pPr>
            <w:r>
              <w:rPr>
                <w:rFonts w:ascii="Times New Roman" w:hAnsi="Times New Roman"/>
                <w:sz w:val="17"/>
              </w:rPr>
              <w:t>Verify chatbot rejection of off-topic query.</w:t>
            </w:r>
          </w:p>
        </w:tc>
        <w:tc>
          <w:tcPr>
            <w:tcW w:type="dxa" w:w="1584"/>
          </w:tcPr>
          <w:p>
            <w:pPr>
              <w:spacing w:before="40" w:after="40"/>
            </w:pPr>
            <w:r>
              <w:rPr>
                <w:rFonts w:ascii="Times New Roman" w:hAnsi="Times New Roman"/>
                <w:sz w:val="17"/>
              </w:rPr>
              <w:t>POST /api/chat 'Who won the election?'</w:t>
            </w:r>
          </w:p>
        </w:tc>
        <w:tc>
          <w:tcPr>
            <w:tcW w:type="dxa" w:w="2160"/>
          </w:tcPr>
          <w:p>
            <w:pPr>
              <w:spacing w:before="40" w:after="40"/>
            </w:pPr>
            <w:r>
              <w:rPr>
                <w:rFonts w:ascii="Times New Roman" w:hAnsi="Times New Roman"/>
                <w:sz w:val="17"/>
              </w:rPr>
              <w:t>HTTP 200 OK. Chatbot returns medical-scope disclaimer.</w:t>
            </w:r>
          </w:p>
        </w:tc>
        <w:tc>
          <w:tcPr>
            <w:tcW w:type="dxa" w:w="864"/>
          </w:tcPr>
          <w:p>
            <w:pPr>
              <w:spacing w:before="40" w:after="40"/>
            </w:pPr>
            <w:r>
              <w:rPr>
                <w:rFonts w:ascii="Times New Roman" w:hAnsi="Times New Roman"/>
                <w:b/>
                <w:color w:val="008C00"/>
                <w:sz w:val="17"/>
              </w:rPr>
              <w:t>PASS</w:t>
            </w:r>
          </w:p>
        </w:tc>
      </w:tr>
      <w:tr>
        <w:trPr>
          <w:cantSplit/>
        </w:trPr>
        <w:tc>
          <w:tcPr>
            <w:tcW w:type="dxa" w:w="1080"/>
          </w:tcPr>
          <w:p>
            <w:pPr>
              <w:spacing w:before="40" w:after="40"/>
            </w:pPr>
            <w:r>
              <w:rPr>
                <w:rFonts w:ascii="Times New Roman" w:hAnsi="Times New Roman"/>
                <w:sz w:val="17"/>
              </w:rPr>
              <w:t>TC-020</w:t>
            </w:r>
          </w:p>
        </w:tc>
        <w:tc>
          <w:tcPr>
            <w:tcW w:type="dxa" w:w="1368"/>
          </w:tcPr>
          <w:p>
            <w:pPr>
              <w:spacing w:before="40" w:after="40"/>
            </w:pPr>
            <w:r>
              <w:rPr>
                <w:rFonts w:ascii="Times New Roman" w:hAnsi="Times New Roman"/>
                <w:sz w:val="17"/>
              </w:rPr>
              <w:t>Resilience</w:t>
            </w:r>
          </w:p>
        </w:tc>
        <w:tc>
          <w:tcPr>
            <w:tcW w:type="dxa" w:w="1944"/>
          </w:tcPr>
          <w:p>
            <w:pPr>
              <w:spacing w:before="40" w:after="40"/>
            </w:pPr>
            <w:r>
              <w:rPr>
                <w:rFonts w:ascii="Times New Roman" w:hAnsi="Times New Roman"/>
                <w:sz w:val="17"/>
              </w:rPr>
              <w:t>Verify graceful failure if AI service sleeps.</w:t>
            </w:r>
          </w:p>
        </w:tc>
        <w:tc>
          <w:tcPr>
            <w:tcW w:type="dxa" w:w="1584"/>
          </w:tcPr>
          <w:p>
            <w:pPr>
              <w:spacing w:before="40" w:after="40"/>
            </w:pPr>
            <w:r>
              <w:rPr>
                <w:rFonts w:ascii="Times New Roman" w:hAnsi="Times New Roman"/>
                <w:sz w:val="17"/>
              </w:rPr>
              <w:t>Dispatch assessment while AI service is offline.</w:t>
            </w:r>
          </w:p>
        </w:tc>
        <w:tc>
          <w:tcPr>
            <w:tcW w:type="dxa" w:w="2160"/>
          </w:tcPr>
          <w:p>
            <w:pPr>
              <w:spacing w:before="40" w:after="40"/>
            </w:pPr>
            <w:r>
              <w:rPr>
                <w:rFonts w:ascii="Times New Roman" w:hAnsi="Times New Roman"/>
                <w:sz w:val="17"/>
              </w:rPr>
              <w:t>HTTP 200 OK from gateway with fallback status; no JVM crash.</w:t>
            </w:r>
          </w:p>
        </w:tc>
        <w:tc>
          <w:tcPr>
            <w:tcW w:type="dxa" w:w="864"/>
          </w:tcPr>
          <w:p>
            <w:pPr>
              <w:spacing w:before="40" w:after="40"/>
            </w:pPr>
            <w:r>
              <w:rPr>
                <w:rFonts w:ascii="Times New Roman" w:hAnsi="Times New Roman"/>
                <w:b/>
                <w:color w:val="008C00"/>
                <w:sz w:val="17"/>
              </w:rPr>
              <w:t>PASS</w:t>
            </w:r>
          </w:p>
        </w:tc>
      </w:tr>
    </w:tbl>
    <w:p>
      <w:pPr>
        <w:spacing w:after="200" w:lineRule="auto" w:line="360"/>
        <w:jc w:val="center"/>
      </w:pPr>
      <w:r>
        <w:rPr>
          <w:rFonts w:ascii="Times New Roman" w:hAnsi="Times New Roman"/>
          <w:b w:val="0"/>
          <w:i w:val="0"/>
          <w:sz w:val="24"/>
        </w:rPr>
        <w:t>Table 7.1: Comprehensive System Test Cases (20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Throughout iterative sprint testing, all 20 critical test cases were executed across local, staging, and cloud environments. Initial testing uncovered several edge cases that were systematically addressed and re-verified:</w:t>
      </w:r>
    </w:p>
    <w:p>
      <w:pPr>
        <w:spacing w:after="200" w:lineRule="auto" w:line="360"/>
        <w:jc w:val="both"/>
      </w:pPr>
      <w:r>
        <w:rPr>
          <w:rFonts w:ascii="Times New Roman" w:hAnsi="Times New Roman"/>
          <w:b w:val="0"/>
          <w:i w:val="0"/>
          <w:sz w:val="24"/>
        </w:rPr>
        <w:t>*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w:t>
      </w:r>
    </w:p>
    <w:p>
      <w:pPr>
        <w:spacing w:after="200" w:lineRule="auto" w:line="360"/>
        <w:jc w:val="both"/>
      </w:pPr>
      <w:r>
        <w:rPr>
          <w:rFonts w:ascii="Times New Roman" w:hAnsi="Times New Roman"/>
          <w:b w:val="0"/>
          <w:i w:val="0"/>
          <w:sz w:val="24"/>
        </w:rPr>
        <w:t>*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w:t>
      </w:r>
    </w:p>
    <w:p>
      <w:pPr>
        <w:spacing w:after="200" w:lineRule="auto" w:line="360"/>
        <w:jc w:val="both"/>
      </w:pPr>
      <w:r>
        <w:rPr>
          <w:rFonts w:ascii="Times New Roman" w:hAnsi="Times New Roman"/>
          <w:b w:val="0"/>
          <w:i w:val="0"/>
          <w:sz w:val="24"/>
        </w:rP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To validate platform resilience under adverse network and concurrency conditions, dedicated non-functional stress tests were executed:</w:t>
      </w:r>
    </w:p>
    <w:p>
      <w:pPr>
        <w:spacing w:after="200" w:lineRule="auto" w:line="360"/>
        <w:jc w:val="both"/>
      </w:pPr>
      <w:r>
        <w:rPr>
          <w:rFonts w:ascii="Times New Roman" w:hAnsi="Times New Roman"/>
          <w:b w:val="0"/>
          <w:i w:val="0"/>
          <w:sz w:val="24"/>
        </w:rPr>
        <w:t>*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w:t>
      </w:r>
    </w:p>
    <w:p>
      <w:pPr>
        <w:spacing w:after="200" w:lineRule="auto" w:line="360"/>
        <w:jc w:val="both"/>
      </w:pPr>
      <w:r>
        <w:rPr>
          <w:rFonts w:ascii="Times New Roman" w:hAnsi="Times New Roman"/>
          <w:b w:val="0"/>
          <w:i w:val="0"/>
          <w:sz w:val="24"/>
        </w:rPr>
        <w:t>* Network Resilience: Artificial 3G network throttling (750 kbps uplink, 150ms round-trip latency) was simulated. Image compression on the client side prior to multipart upload reduced payload sizes by 65%, maintaining total round-trip upload times under 4.5 seconds on mobile connections.</w:t>
      </w:r>
    </w:p>
    <w:p>
      <w:pPr>
        <w:spacing w:after="200" w:lineRule="auto" w:line="360"/>
        <w:jc w:val="both"/>
      </w:pPr>
      <w:r>
        <w:rPr>
          <w:rFonts w:ascii="Times New Roman" w:hAnsi="Times New Roman"/>
          <w:b w:val="0"/>
          <w:i w:val="0"/>
          <w:sz w:val="24"/>
        </w:rP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20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center"/>
      </w:pPr>
      <w:r>
        <w:rPr>
          <w:rFonts w:ascii="Times New Roman" w:hAnsi="Times New Roman"/>
          <w:b/>
          <w:i w:val="0"/>
          <w:sz w:val="36"/>
        </w:rPr>
        <w:t>CHAPTER 8</w:t>
      </w:r>
    </w:p>
    <w:p>
      <w:pPr>
        <w:spacing w:after="400" w:lineRule="auto" w:line="240"/>
        <w:jc w:val="center"/>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Results and Discussion evaluates the functional outcomes of NutriVision AI against its initial research and engineering objectives. The chapter provides both qualitative evidence of UI deployment and quantitative metrics of deep learning convergence, concluding with a comparative analysis against existing digital healthcare solutions.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The implementation successfully satisfied all core project objectives:</w:t>
      </w:r>
    </w:p>
    <w:p>
      <w:pPr>
        <w:spacing w:after="200" w:lineRule="auto" w:line="360"/>
        <w:jc w:val="both"/>
      </w:pPr>
      <w:r>
        <w:rPr>
          <w:rFonts w:ascii="Times New Roman" w:hAnsi="Times New Roman"/>
          <w:b w:val="0"/>
          <w:i w:val="0"/>
          <w:sz w:val="24"/>
        </w:rPr>
        <w:t>* Proactive Non-Invasive Screening: Successfully deployed an end-to-end web platform capable of performing preliminary deficiency screening from user-uploaded smartphone photographs.</w:t>
      </w:r>
    </w:p>
    <w:p>
      <w:pPr>
        <w:spacing w:after="200" w:lineRule="auto" w:line="360"/>
        <w:jc w:val="both"/>
      </w:pPr>
      <w:r>
        <w:rPr>
          <w:rFonts w:ascii="Times New Roman" w:hAnsi="Times New Roman"/>
          <w:b w:val="0"/>
          <w:i w:val="0"/>
          <w:sz w:val="24"/>
        </w:rPr>
        <w:t>* Automated Quality and Content Gating: Implemented the Two-Stage Image Validation Pipeline with OpenCV Laplacian variance and CLIP semantic verification, successfully rejecting unviable uploads.</w:t>
      </w:r>
    </w:p>
    <w:p>
      <w:pPr>
        <w:spacing w:after="200" w:lineRule="auto" w:line="360"/>
        <w:jc w:val="both"/>
      </w:pPr>
      <w:r>
        <w:rPr>
          <w:rFonts w:ascii="Times New Roman" w:hAnsi="Times New Roman"/>
          <w:b w:val="0"/>
          <w:i w:val="0"/>
          <w:sz w:val="24"/>
        </w:rPr>
        <w:t>* Framework-Agnostic ONNX Optimization: Deployed MobileNetV2 in ONNX format, achieving fast CPU inference (&lt; 8 seconds on active cloud instances) with low memory utilization (~400MB RAM).</w:t>
      </w:r>
    </w:p>
    <w:p>
      <w:pPr>
        <w:spacing w:after="200" w:lineRule="auto" w:line="360"/>
        <w:jc w:val="both"/>
      </w:pPr>
      <w:r>
        <w:rPr>
          <w:rFonts w:ascii="Times New Roman" w:hAnsi="Times New Roman"/>
          <w:b w:val="0"/>
          <w:i w:val="0"/>
          <w:sz w:val="24"/>
        </w:rP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Screen 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w:t>
      </w:r>
    </w:p>
    <w:p>
      <w:pPr>
        <w:spacing w:before="12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00" w:lineRule="auto" w:line="360"/>
        <w:jc w:val="center"/>
      </w:pPr>
      <w:r>
        <w:rPr>
          <w:rFonts w:ascii="Times New Roman" w:hAnsi="Times New Roman"/>
          <w:b w:val="0"/>
          <w:i w:val="0"/>
          <w:sz w:val="24"/>
        </w:rPr>
        <w:t>Figure 8.1: NutriVision AI Landing Page &amp; Hero Section. Showcases the core value proposition, medical disclaimer, and authentication entry points.</w:t>
      </w:r>
    </w:p>
    <w:p>
      <w:pPr>
        <w:spacing w:before="12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00" w:lineRule="auto" w:line="360"/>
        <w:jc w:val="center"/>
      </w:pPr>
      <w:r>
        <w:rPr>
          <w:rFonts w:ascii="Times New Roman" w:hAnsi="Times New Roman"/>
          <w:b w:val="0"/>
          <w:i w:val="0"/>
          <w:sz w:val="24"/>
        </w:rPr>
        <w:t>Figure 8.2: Assessment Wizard - Photo Upload &amp; Quality Gate. Demonstrates body part selection and real-time OpenCV blur/exposure feedback badges.</w:t>
      </w:r>
    </w:p>
    <w:p>
      <w:pPr>
        <w:spacing w:before="12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00" w:lineRule="auto" w:line="360"/>
        <w:jc w:val="center"/>
      </w:pPr>
      <w:r>
        <w:rPr>
          <w:rFonts w:ascii="Times New Roman" w:hAnsi="Times New Roman"/>
          <w:b w:val="0"/>
          <w:i w:val="0"/>
          <w:sz w:val="24"/>
        </w:rPr>
        <w:t>Figure 8.3: Nutritional Screening Results &amp; Recommendations. Displays Top-3 deficiency confidence scores alongside Indian dietary plans and PDF export.</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rFonts w:ascii="Times New Roman" w:hAnsi="Times New Roman"/>
                <w:b/>
                <w:sz w:val="20"/>
              </w:rPr>
              <w:t>Class Category</w:t>
            </w:r>
          </w:p>
        </w:tc>
        <w:tc>
          <w:tcPr>
            <w:tcW w:type="dxa" w:w="1800"/>
          </w:tcPr>
          <w:p>
            <w:r>
              <w:rPr>
                <w:rFonts w:ascii="Times New Roman" w:hAnsi="Times New Roman"/>
                <w:b/>
                <w:sz w:val="20"/>
              </w:rPr>
              <w:t>Precision</w:t>
            </w:r>
          </w:p>
        </w:tc>
        <w:tc>
          <w:tcPr>
            <w:tcW w:type="dxa" w:w="1800"/>
          </w:tcPr>
          <w:p>
            <w:r>
              <w:rPr>
                <w:rFonts w:ascii="Times New Roman" w:hAnsi="Times New Roman"/>
                <w:b/>
                <w:sz w:val="20"/>
              </w:rPr>
              <w:t>Recall</w:t>
            </w:r>
          </w:p>
        </w:tc>
        <w:tc>
          <w:tcPr>
            <w:tcW w:type="dxa" w:w="1800"/>
          </w:tcPr>
          <w:p>
            <w:r>
              <w:rPr>
                <w:rFonts w:ascii="Times New Roman" w:hAnsi="Times New Roman"/>
                <w:b/>
                <w:sz w:val="20"/>
              </w:rPr>
              <w:t>F1-Score</w:t>
            </w:r>
          </w:p>
        </w:tc>
        <w:tc>
          <w:tcPr>
            <w:tcW w:type="dxa" w:w="1800"/>
          </w:tcPr>
          <w:p>
            <w:r>
              <w:rPr>
                <w:rFonts w:ascii="Times New Roman" w:hAnsi="Times New Roman"/>
                <w:b/>
                <w:sz w:val="20"/>
              </w:rPr>
              <w:t>Support</w:t>
            </w:r>
          </w:p>
        </w:tc>
      </w:tr>
      <w:tr>
        <w:tc>
          <w:tcPr>
            <w:tcW w:type="dxa" w:w="1800"/>
          </w:tcPr>
          <w:p>
            <w:pPr>
              <w:spacing w:before="60" w:after="60"/>
            </w:pPr>
            <w:r>
              <w:rPr>
                <w:rFonts w:ascii="Times New Roman" w:hAnsi="Times New Roman"/>
                <w:sz w:val="19"/>
              </w:rPr>
              <w:t>Healthy_Normal</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0.957</w:t>
            </w:r>
          </w:p>
        </w:tc>
        <w:tc>
          <w:tcPr>
            <w:tcW w:type="dxa" w:w="1800"/>
          </w:tcPr>
          <w:p>
            <w:pPr>
              <w:spacing w:before="60" w:after="60"/>
            </w:pPr>
            <w:r>
              <w:rPr>
                <w:rFonts w:ascii="Times New Roman" w:hAnsi="Times New Roman"/>
                <w:sz w:val="19"/>
              </w:rPr>
              <w:t>0.978</w:t>
            </w:r>
          </w:p>
        </w:tc>
        <w:tc>
          <w:tcPr>
            <w:tcW w:type="dxa" w:w="1800"/>
          </w:tcPr>
          <w:p>
            <w:pPr>
              <w:spacing w:before="60" w:after="60"/>
            </w:pPr>
            <w:r>
              <w:rPr>
                <w:rFonts w:ascii="Times New Roman" w:hAnsi="Times New Roman"/>
                <w:sz w:val="19"/>
              </w:rPr>
              <w:t>23</w:t>
            </w:r>
          </w:p>
        </w:tc>
      </w:tr>
      <w:tr>
        <w:tc>
          <w:tcPr>
            <w:tcW w:type="dxa" w:w="1800"/>
          </w:tcPr>
          <w:p>
            <w:pPr>
              <w:spacing w:before="60" w:after="60"/>
            </w:pPr>
            <w:r>
              <w:rPr>
                <w:rFonts w:ascii="Times New Roman" w:hAnsi="Times New Roman"/>
                <w:sz w:val="19"/>
              </w:rPr>
              <w:t>Iron_Deficiency</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23</w:t>
            </w:r>
          </w:p>
        </w:tc>
      </w:tr>
      <w:tr>
        <w:tc>
          <w:tcPr>
            <w:tcW w:type="dxa" w:w="1800"/>
          </w:tcPr>
          <w:p>
            <w:pPr>
              <w:spacing w:before="60" w:after="60"/>
            </w:pPr>
            <w:r>
              <w:rPr>
                <w:rFonts w:ascii="Times New Roman" w:hAnsi="Times New Roman"/>
                <w:sz w:val="19"/>
              </w:rPr>
              <w:t>Vitamin_A_Deficiency</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23</w:t>
            </w:r>
          </w:p>
        </w:tc>
      </w:tr>
      <w:tr>
        <w:tc>
          <w:tcPr>
            <w:tcW w:type="dxa" w:w="1800"/>
          </w:tcPr>
          <w:p>
            <w:pPr>
              <w:spacing w:before="60" w:after="60"/>
            </w:pPr>
            <w:r>
              <w:rPr>
                <w:rFonts w:ascii="Times New Roman" w:hAnsi="Times New Roman"/>
                <w:sz w:val="19"/>
              </w:rPr>
              <w:t>Vitamin_B12_Deficiency</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23</w:t>
            </w:r>
          </w:p>
        </w:tc>
      </w:tr>
      <w:tr>
        <w:tc>
          <w:tcPr>
            <w:tcW w:type="dxa" w:w="1800"/>
          </w:tcPr>
          <w:p>
            <w:pPr>
              <w:spacing w:before="60" w:after="60"/>
            </w:pPr>
            <w:r>
              <w:rPr>
                <w:rFonts w:ascii="Times New Roman" w:hAnsi="Times New Roman"/>
                <w:sz w:val="19"/>
              </w:rPr>
              <w:t>Vitamin_C_Deficiency</w:t>
            </w:r>
          </w:p>
        </w:tc>
        <w:tc>
          <w:tcPr>
            <w:tcW w:type="dxa" w:w="1800"/>
          </w:tcPr>
          <w:p>
            <w:pPr>
              <w:spacing w:before="60" w:after="60"/>
            </w:pPr>
            <w:r>
              <w:rPr>
                <w:rFonts w:ascii="Times New Roman" w:hAnsi="Times New Roman"/>
                <w:sz w:val="19"/>
              </w:rPr>
              <w:t>0.958</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0.979</w:t>
            </w:r>
          </w:p>
        </w:tc>
        <w:tc>
          <w:tcPr>
            <w:tcW w:type="dxa" w:w="1800"/>
          </w:tcPr>
          <w:p>
            <w:pPr>
              <w:spacing w:before="60" w:after="60"/>
            </w:pPr>
            <w:r>
              <w:rPr>
                <w:rFonts w:ascii="Times New Roman" w:hAnsi="Times New Roman"/>
                <w:sz w:val="19"/>
              </w:rPr>
              <w:t>23</w:t>
            </w:r>
          </w:p>
        </w:tc>
      </w:tr>
      <w:tr>
        <w:tc>
          <w:tcPr>
            <w:tcW w:type="dxa" w:w="1800"/>
          </w:tcPr>
          <w:p>
            <w:pPr>
              <w:spacing w:before="60" w:after="60"/>
            </w:pPr>
            <w:r>
              <w:rPr>
                <w:rFonts w:ascii="Times New Roman" w:hAnsi="Times New Roman"/>
                <w:sz w:val="19"/>
              </w:rPr>
              <w:t>Zinc_Deficiency</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1.000</w:t>
            </w:r>
          </w:p>
        </w:tc>
        <w:tc>
          <w:tcPr>
            <w:tcW w:type="dxa" w:w="1800"/>
          </w:tcPr>
          <w:p>
            <w:pPr>
              <w:spacing w:before="60" w:after="60"/>
            </w:pPr>
            <w:r>
              <w:rPr>
                <w:rFonts w:ascii="Times New Roman" w:hAnsi="Times New Roman"/>
                <w:sz w:val="19"/>
              </w:rPr>
              <w:t>23</w:t>
            </w:r>
          </w:p>
        </w:tc>
      </w:tr>
    </w:tbl>
    <w:p>
      <w:pPr>
        <w:spacing w:after="200" w:lineRule="auto" w:line="360"/>
        <w:jc w:val="center"/>
      </w:pPr>
      <w:r>
        <w:rPr>
          <w:rFonts w:ascii="Times New Roman" w:hAnsi="Times New Roman"/>
          <w:b w:val="0"/>
          <w:i w:val="0"/>
          <w:sz w:val="24"/>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200" w:lineRule="auto" w:line="360"/>
        <w:jc w:val="both"/>
      </w:pPr>
      <w:r>
        <w:rPr>
          <w:rFonts w:ascii="Times New Roman" w:hAnsi="Times New Roman"/>
          <w:b w:val="0"/>
          <w:i w:val="0"/>
          <w:sz w:val="24"/>
        </w:rPr>
        <w:t xml:space="preserve">System Latency Metrics: </w:t>
        <w:br/>
        <w:t xml:space="preserve">* Warm Cloud Instance Response: Upload + OpenCV quality check + CLIP semantic validation + MobileNetV2 ONNX forward pass completes in 3.2 to 7.8 seconds. </w:t>
        <w:br/>
        <w:t>* Cold Start Spin-up Latency: Free-tier hibernation requires 50 to 90 seconds, gracefully managed by frontend loading states.</w:t>
      </w:r>
    </w:p>
    <w:p>
      <w:pPr>
        <w:spacing w:after="120" w:lineRule="auto" w:line="276"/>
        <w:jc w:val="left"/>
      </w:pPr>
      <w:r>
        <w:rPr>
          <w:rFonts w:ascii="Times New Roman" w:hAnsi="Times New Roman"/>
          <w:b/>
          <w:i w:val="0"/>
          <w:sz w:val="32"/>
        </w:rPr>
        <w:t>8.5 Comparison with Existing Systems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Evaluation Parameter</w:t>
            </w:r>
          </w:p>
        </w:tc>
        <w:tc>
          <w:tcPr>
            <w:tcW w:type="dxa" w:w="3000"/>
          </w:tcPr>
          <w:p>
            <w:r>
              <w:rPr>
                <w:rFonts w:ascii="Times New Roman" w:hAnsi="Times New Roman"/>
                <w:b/>
                <w:sz w:val="20"/>
              </w:rPr>
              <w:t>Existing Diet / Health Apps</w:t>
            </w:r>
          </w:p>
        </w:tc>
        <w:tc>
          <w:tcPr>
            <w:tcW w:type="dxa" w:w="3000"/>
          </w:tcPr>
          <w:p>
            <w:r>
              <w:rPr>
                <w:rFonts w:ascii="Times New Roman" w:hAnsi="Times New Roman"/>
                <w:b/>
                <w:sz w:val="20"/>
              </w:rPr>
              <w:t>NutriVision AI (Proposed)</w:t>
            </w:r>
          </w:p>
        </w:tc>
      </w:tr>
      <w:tr>
        <w:tc>
          <w:tcPr>
            <w:tcW w:type="dxa" w:w="3000"/>
          </w:tcPr>
          <w:p>
            <w:pPr>
              <w:spacing w:before="60" w:after="60"/>
            </w:pPr>
            <w:r>
              <w:rPr>
                <w:rFonts w:ascii="Times New Roman" w:hAnsi="Times New Roman"/>
                <w:sz w:val="19"/>
              </w:rPr>
              <w:t>Diagnostic Input</w:t>
            </w:r>
          </w:p>
        </w:tc>
        <w:tc>
          <w:tcPr>
            <w:tcW w:type="dxa" w:w="3000"/>
          </w:tcPr>
          <w:p>
            <w:pPr>
              <w:spacing w:before="60" w:after="60"/>
            </w:pPr>
            <w:r>
              <w:rPr>
                <w:rFonts w:ascii="Times New Roman" w:hAnsi="Times New Roman"/>
                <w:sz w:val="19"/>
              </w:rPr>
              <w:t>Manual food logging / subjective questionnaire</w:t>
            </w:r>
          </w:p>
        </w:tc>
        <w:tc>
          <w:tcPr>
            <w:tcW w:type="dxa" w:w="3000"/>
          </w:tcPr>
          <w:p>
            <w:pPr>
              <w:spacing w:before="60" w:after="60"/>
            </w:pPr>
            <w:r>
              <w:rPr>
                <w:rFonts w:ascii="Times New Roman" w:hAnsi="Times New Roman"/>
                <w:sz w:val="19"/>
              </w:rPr>
              <w:t>Automated Image Upload &amp; Computer Vision</w:t>
            </w:r>
          </w:p>
        </w:tc>
      </w:tr>
      <w:tr>
        <w:tc>
          <w:tcPr>
            <w:tcW w:type="dxa" w:w="3000"/>
          </w:tcPr>
          <w:p>
            <w:pPr>
              <w:spacing w:before="60" w:after="60"/>
            </w:pPr>
            <w:r>
              <w:rPr>
                <w:rFonts w:ascii="Times New Roman" w:hAnsi="Times New Roman"/>
                <w:sz w:val="19"/>
              </w:rPr>
              <w:t>Image Quality Guardrails</w:t>
            </w:r>
          </w:p>
        </w:tc>
        <w:tc>
          <w:tcPr>
            <w:tcW w:type="dxa" w:w="3000"/>
          </w:tcPr>
          <w:p>
            <w:pPr>
              <w:spacing w:before="60" w:after="60"/>
            </w:pPr>
            <w:r>
              <w:rPr>
                <w:rFonts w:ascii="Times New Roman" w:hAnsi="Times New Roman"/>
                <w:sz w:val="19"/>
              </w:rPr>
              <w:t>None (Accepts any image)</w:t>
            </w:r>
          </w:p>
        </w:tc>
        <w:tc>
          <w:tcPr>
            <w:tcW w:type="dxa" w:w="3000"/>
          </w:tcPr>
          <w:p>
            <w:pPr>
              <w:spacing w:before="60" w:after="60"/>
            </w:pPr>
            <w:r>
              <w:rPr>
                <w:rFonts w:ascii="Times New Roman" w:hAnsi="Times New Roman"/>
                <w:sz w:val="19"/>
              </w:rPr>
              <w:t>Automated OpenCV blur &amp; exposure rejection</w:t>
            </w:r>
          </w:p>
        </w:tc>
      </w:tr>
      <w:tr>
        <w:tc>
          <w:tcPr>
            <w:tcW w:type="dxa" w:w="3000"/>
          </w:tcPr>
          <w:p>
            <w:pPr>
              <w:spacing w:before="60" w:after="60"/>
            </w:pPr>
            <w:r>
              <w:rPr>
                <w:rFonts w:ascii="Times New Roman" w:hAnsi="Times New Roman"/>
                <w:sz w:val="19"/>
              </w:rPr>
              <w:t>Semantic Verification</w:t>
            </w:r>
          </w:p>
        </w:tc>
        <w:tc>
          <w:tcPr>
            <w:tcW w:type="dxa" w:w="3000"/>
          </w:tcPr>
          <w:p>
            <w:pPr>
              <w:spacing w:before="60" w:after="60"/>
            </w:pPr>
            <w:r>
              <w:rPr>
                <w:rFonts w:ascii="Times New Roman" w:hAnsi="Times New Roman"/>
                <w:sz w:val="19"/>
              </w:rPr>
              <w:t>None</w:t>
            </w:r>
          </w:p>
        </w:tc>
        <w:tc>
          <w:tcPr>
            <w:tcW w:type="dxa" w:w="3000"/>
          </w:tcPr>
          <w:p>
            <w:pPr>
              <w:spacing w:before="60" w:after="60"/>
            </w:pPr>
            <w:r>
              <w:rPr>
                <w:rFonts w:ascii="Times New Roman" w:hAnsi="Times New Roman"/>
                <w:sz w:val="19"/>
              </w:rPr>
              <w:t>CLIP-based anatomical content verification</w:t>
            </w:r>
          </w:p>
        </w:tc>
      </w:tr>
      <w:tr>
        <w:tc>
          <w:tcPr>
            <w:tcW w:type="dxa" w:w="3000"/>
          </w:tcPr>
          <w:p>
            <w:pPr>
              <w:spacing w:before="60" w:after="60"/>
            </w:pPr>
            <w:r>
              <w:rPr>
                <w:rFonts w:ascii="Times New Roman" w:hAnsi="Times New Roman"/>
                <w:sz w:val="19"/>
              </w:rPr>
              <w:t>Dietary Remediation</w:t>
            </w:r>
          </w:p>
        </w:tc>
        <w:tc>
          <w:tcPr>
            <w:tcW w:type="dxa" w:w="3000"/>
          </w:tcPr>
          <w:p>
            <w:pPr>
              <w:spacing w:before="60" w:after="60"/>
            </w:pPr>
            <w:r>
              <w:rPr>
                <w:rFonts w:ascii="Times New Roman" w:hAnsi="Times New Roman"/>
                <w:sz w:val="19"/>
              </w:rPr>
              <w:t>Generic Western food lists</w:t>
            </w:r>
          </w:p>
        </w:tc>
        <w:tc>
          <w:tcPr>
            <w:tcW w:type="dxa" w:w="3000"/>
          </w:tcPr>
          <w:p>
            <w:pPr>
              <w:spacing w:before="60" w:after="60"/>
            </w:pPr>
            <w:r>
              <w:rPr>
                <w:rFonts w:ascii="Times New Roman" w:hAnsi="Times New Roman"/>
                <w:sz w:val="19"/>
              </w:rPr>
              <w:t>Culturally localized Indian foods (Veg/Non-Veg)</w:t>
            </w:r>
          </w:p>
        </w:tc>
      </w:tr>
      <w:tr>
        <w:tc>
          <w:tcPr>
            <w:tcW w:type="dxa" w:w="3000"/>
          </w:tcPr>
          <w:p>
            <w:pPr>
              <w:spacing w:before="60" w:after="60"/>
            </w:pPr>
            <w:r>
              <w:rPr>
                <w:rFonts w:ascii="Times New Roman" w:hAnsi="Times New Roman"/>
                <w:sz w:val="19"/>
              </w:rPr>
              <w:t>Conversational Support</w:t>
            </w:r>
          </w:p>
        </w:tc>
        <w:tc>
          <w:tcPr>
            <w:tcW w:type="dxa" w:w="3000"/>
          </w:tcPr>
          <w:p>
            <w:pPr>
              <w:spacing w:before="60" w:after="60"/>
            </w:pPr>
            <w:r>
              <w:rPr>
                <w:rFonts w:ascii="Times New Roman" w:hAnsi="Times New Roman"/>
                <w:sz w:val="19"/>
              </w:rPr>
              <w:t>Static FAQ text or None</w:t>
            </w:r>
          </w:p>
        </w:tc>
        <w:tc>
          <w:tcPr>
            <w:tcW w:type="dxa" w:w="3000"/>
          </w:tcPr>
          <w:p>
            <w:pPr>
              <w:spacing w:before="60" w:after="60"/>
            </w:pPr>
            <w:r>
              <w:rPr>
                <w:rFonts w:ascii="Times New Roman" w:hAnsi="Times New Roman"/>
                <w:sz w:val="19"/>
              </w:rPr>
              <w:t>Integrated NLP Chatbot with medical topic scoping</w:t>
            </w:r>
          </w:p>
        </w:tc>
      </w:tr>
      <w:tr>
        <w:tc>
          <w:tcPr>
            <w:tcW w:type="dxa" w:w="3000"/>
          </w:tcPr>
          <w:p>
            <w:pPr>
              <w:spacing w:before="60" w:after="60"/>
            </w:pPr>
            <w:r>
              <w:rPr>
                <w:rFonts w:ascii="Times New Roman" w:hAnsi="Times New Roman"/>
                <w:sz w:val="19"/>
              </w:rPr>
              <w:t>System Architecture</w:t>
            </w:r>
          </w:p>
        </w:tc>
        <w:tc>
          <w:tcPr>
            <w:tcW w:type="dxa" w:w="3000"/>
          </w:tcPr>
          <w:p>
            <w:pPr>
              <w:spacing w:before="60" w:after="60"/>
            </w:pPr>
            <w:r>
              <w:rPr>
                <w:rFonts w:ascii="Times New Roman" w:hAnsi="Times New Roman"/>
                <w:sz w:val="19"/>
              </w:rPr>
              <w:t>Monolithic client-server</w:t>
            </w:r>
          </w:p>
        </w:tc>
        <w:tc>
          <w:tcPr>
            <w:tcW w:type="dxa" w:w="3000"/>
          </w:tcPr>
          <w:p>
            <w:pPr>
              <w:spacing w:before="60" w:after="60"/>
            </w:pPr>
            <w:r>
              <w:rPr>
                <w:rFonts w:ascii="Times New Roman" w:hAnsi="Times New Roman"/>
                <w:sz w:val="19"/>
              </w:rPr>
              <w:t>Decoupled 3-Tier Microservices (Java/Python/React)</w:t>
            </w:r>
          </w:p>
        </w:tc>
      </w:tr>
    </w:tbl>
    <w:p>
      <w:pPr>
        <w:spacing w:after="200" w:lineRule="auto" w:line="360"/>
        <w:jc w:val="center"/>
      </w:pPr>
      <w:r>
        <w:rPr>
          <w:rFonts w:ascii="Times New Roman" w:hAnsi="Times New Roman"/>
          <w:b w:val="0"/>
          <w:i w:val="0"/>
          <w:sz w:val="24"/>
        </w:rPr>
        <w:t>Table 8.2: System Comparison with Existing Health/Diet Platforms</w:t>
      </w:r>
    </w:p>
    <w:p>
      <w:pPr>
        <w:spacing w:after="120" w:lineRule="auto" w:line="276"/>
        <w:jc w:val="left"/>
      </w:pPr>
      <w:r>
        <w:rPr>
          <w:rFonts w:ascii="Times New Roman" w:hAnsi="Times New Roman"/>
          <w:b/>
          <w:i w:val="0"/>
          <w:sz w:val="32"/>
        </w:rPr>
        <w:t>8.6 Summary</w:t>
      </w:r>
    </w:p>
    <w:p>
      <w:pPr>
        <w:spacing w:after="200" w:lineRule="auto" w:line="360"/>
        <w:jc w:val="both"/>
      </w:pPr>
      <w:r>
        <w:rPr>
          <w:rFonts w:ascii="Times New Roman" w:hAnsi="Times New Roman"/>
          <w:b w:val="0"/>
          <w:i w:val="0"/>
          <w:sz w:val="24"/>
        </w:rPr>
        <w:t>This chapter presented the comprehensive evaluation results of NutriVision AI, demonstrating successful system deployment, rigorous mathematical convergence of the ONNX classifier, and clear advantages over traditional platforms.</w:t>
      </w:r>
    </w:p>
    <w:p>
      <w:r>
        <w:br w:type="page"/>
      </w:r>
    </w:p>
    <w:p>
      <w:pPr>
        <w:spacing w:after="80" w:lineRule="auto" w:line="240"/>
        <w:jc w:val="center"/>
      </w:pPr>
      <w:r>
        <w:rPr>
          <w:rFonts w:ascii="Times New Roman" w:hAnsi="Times New Roman"/>
          <w:b/>
          <w:i w:val="0"/>
          <w:sz w:val="36"/>
        </w:rPr>
        <w:t>CHAPTER 9</w:t>
      </w:r>
    </w:p>
    <w:p>
      <w:pPr>
        <w:spacing w:after="400" w:lineRule="auto" w:line="240"/>
        <w:jc w:val="center"/>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NutriVision AI project successfully conceptualized, designed, and deployed a robust, end-to-end digital health platform designed to democratize preliminary nutritional deficiency screening. By leveraging the macroscopic physiological manifestations of malnutrition on external human body surfaces (nails, eyes, tongue, lips, and skin), the system transforms standard smartphone cameras into powerful diagnostic triage instruments. Built upon a resilient Three-Tier Microservices Architecture combining React 18, Java Spring Boot 3, and Python FastAPI, the platform enforces enterprise-grade JWT stateless security and executes a novel Two-Stage Image Validation Pipeline prior to MobileNetV2 ONNX inference. Key modules—Authentication, Image Ingestion, Quality Assessment, AI Classification, Indian Nutrition Guidance, Chatbot Support, and PDF Generation—were seamlessly integrated. All initial engineering and functional objectives were thoroughly realized.</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val="0"/>
          <w:i w:val="0"/>
          <w:sz w:val="24"/>
        </w:rPr>
        <w:t>* Automated Multi-Modal Triage: Converting subjective, error-prone manual nutritional symptom checks into an automated, non-invasive triage workflow accessible from any mobile browser.</w:t>
      </w:r>
    </w:p>
    <w:p>
      <w:pPr>
        <w:spacing w:after="200" w:lineRule="auto" w:line="360"/>
        <w:jc w:val="both"/>
      </w:pPr>
      <w:r>
        <w:rPr>
          <w:rFonts w:ascii="Times New Roman" w:hAnsi="Times New Roman"/>
          <w:b w:val="0"/>
          <w:i w:val="0"/>
          <w:sz w:val="24"/>
        </w:rPr>
        <w:t>* Pre-Inference Multi-Tier Guardrails: Pioneering the combination of OpenCV spatial Laplacian blur estimation and zero-shot CLIP vision-language semantic filtering before neural processing, eliminating erroneous medical predictions on out-of-domain images.</w:t>
      </w:r>
    </w:p>
    <w:p>
      <w:pPr>
        <w:spacing w:after="200" w:lineRule="auto" w:line="360"/>
        <w:jc w:val="both"/>
      </w:pPr>
      <w:r>
        <w:rPr>
          <w:rFonts w:ascii="Times New Roman" w:hAnsi="Times New Roman"/>
          <w:b w:val="0"/>
          <w:i w:val="0"/>
          <w:sz w:val="24"/>
        </w:rPr>
        <w:t>* Edge-Friendly Model Quantization &amp; Portability: Demonstrating that lightweight transfer learning models (MobileNetV2) packaged in open-standard ONNX format deliver sub-second forward passes on commodity cloud CPUs without requiring costly GPU instances.</w:t>
      </w:r>
    </w:p>
    <w:p>
      <w:pPr>
        <w:spacing w:after="200" w:lineRule="auto" w:line="360"/>
        <w:jc w:val="both"/>
      </w:pPr>
      <w:r>
        <w:rPr>
          <w:rFonts w:ascii="Times New Roman" w:hAnsi="Times New Roman"/>
          <w:b w:val="0"/>
          <w:i w:val="0"/>
          <w:sz w:val="24"/>
        </w:rPr>
        <w:t>* Culturally Contextualized Remediation: Designing an algorithmic dietary recommendation engine centered on affordable, indigenous Indian agricultural staples across vegetarian and non-vegetarian paradigms.</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NutriVision AI was engineered not merely as an academic exercise, but as a direct technological intervention against hidden hunger:</w:t>
      </w:r>
    </w:p>
    <w:p>
      <w:pPr>
        <w:spacing w:after="200" w:lineRule="auto" w:line="360"/>
        <w:jc w:val="both"/>
      </w:pPr>
      <w:r>
        <w:rPr>
          <w:rFonts w:ascii="Times New Roman" w:hAnsi="Times New Roman"/>
          <w:b w:val="0"/>
          <w:i w:val="0"/>
          <w:sz w:val="24"/>
        </w:rPr>
        <w:t>* Democratization of Preventive Care: In developing geographies where clinical pathology centers charge prohibitive fees (INR 2,500 to INR 8,000 per blood panel), NutriVision AI offers a zero-cost preliminary gateway that identifies warning signs early.</w:t>
      </w:r>
    </w:p>
    <w:p>
      <w:pPr>
        <w:spacing w:after="200" w:lineRule="auto" w:line="360"/>
        <w:jc w:val="both"/>
      </w:pPr>
      <w:r>
        <w:rPr>
          <w:rFonts w:ascii="Times New Roman" w:hAnsi="Times New Roman"/>
          <w:b w:val="0"/>
          <w:i w:val="0"/>
          <w:sz w:val="24"/>
        </w:rPr>
        <w:t>*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w:t>
      </w:r>
    </w:p>
    <w:p>
      <w:pPr>
        <w:spacing w:after="200" w:lineRule="auto" w:line="360"/>
        <w:jc w:val="both"/>
      </w:pPr>
      <w:r>
        <w:rPr>
          <w:rFonts w:ascii="Times New Roman" w:hAnsi="Times New Roman"/>
          <w:b w:val="0"/>
          <w:i w:val="0"/>
          <w:sz w:val="24"/>
        </w:rP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Deploying artificial intelligence within healthcare necessitates strict adherence to ethical boundaries and healthcare compliance norms:</w:t>
      </w:r>
    </w:p>
    <w:p>
      <w:pPr>
        <w:spacing w:after="200" w:lineRule="auto" w:line="360"/>
        <w:jc w:val="both"/>
      </w:pPr>
      <w:r>
        <w:rPr>
          <w:rFonts w:ascii="Times New Roman" w:hAnsi="Times New Roman"/>
          <w:b w:val="0"/>
          <w:i w:val="0"/>
          <w:sz w:val="24"/>
        </w:rPr>
        <w:t>*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w:t>
      </w:r>
    </w:p>
    <w:p>
      <w:pPr>
        <w:spacing w:after="200" w:lineRule="auto" w:line="360"/>
        <w:jc w:val="both"/>
      </w:pPr>
      <w:r>
        <w:rPr>
          <w:rFonts w:ascii="Times New Roman" w:hAnsi="Times New Roman"/>
          <w:b w:val="0"/>
          <w:i w:val="0"/>
          <w:sz w:val="24"/>
        </w:rPr>
        <w:t>* Patient Privacy &amp; Data Ephemerality: Photographic uploads are processed in volatile memory for validation and classification. User identification data is decoupled from diagnostic imagery using randomized primary keys, respecting personal health data protection principles.</w:t>
      </w:r>
    </w:p>
    <w:p>
      <w:pPr>
        <w:spacing w:after="200" w:lineRule="auto" w:line="360"/>
        <w:jc w:val="both"/>
      </w:pPr>
      <w:r>
        <w:rPr>
          <w:rFonts w:ascii="Times New Roman" w:hAnsi="Times New Roman"/>
          <w:b w:val="0"/>
          <w:i w:val="0"/>
          <w:sz w:val="24"/>
        </w:rP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The current platform prototype recognizes specific operational and scientific limitations:</w:t>
      </w:r>
    </w:p>
    <w:p>
      <w:pPr>
        <w:spacing w:after="200" w:lineRule="auto" w:line="360"/>
        <w:jc w:val="both"/>
      </w:pPr>
      <w:r>
        <w:rPr>
          <w:rFonts w:ascii="Times New Roman" w:hAnsi="Times New Roman"/>
          <w:b w:val="0"/>
          <w:i w:val="0"/>
          <w:sz w:val="24"/>
        </w:rPr>
        <w:t>* Synthetic Dataset Baseline: Due to institutional ethical clearance constraints during undergraduate development, the CNN was fine-tuned primarily on curated benchmark and synthetic image datasets rather than longitudinal multi-center hospital clinical cohorts.</w:t>
      </w:r>
    </w:p>
    <w:p>
      <w:pPr>
        <w:spacing w:after="200" w:lineRule="auto" w:line="360"/>
        <w:jc w:val="both"/>
      </w:pPr>
      <w:r>
        <w:rPr>
          <w:rFonts w:ascii="Times New Roman" w:hAnsi="Times New Roman"/>
          <w:b w:val="0"/>
          <w:i w:val="0"/>
          <w:sz w:val="24"/>
        </w:rPr>
        <w:t>* Free-Tier Cloud Cold Starts: Hosting on serverless free-tier infrastructure (Render.com) incurs container hibernation latencies of up to 90 seconds after extended idle periods.</w:t>
      </w:r>
    </w:p>
    <w:p>
      <w:pPr>
        <w:spacing w:after="200" w:lineRule="auto" w:line="360"/>
        <w:jc w:val="both"/>
      </w:pPr>
      <w:r>
        <w:rPr>
          <w:rFonts w:ascii="Times New Roman" w:hAnsi="Times New Roman"/>
          <w:b w:val="0"/>
          <w:i w:val="0"/>
          <w:sz w:val="24"/>
        </w:rP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val="0"/>
          <w:i w:val="0"/>
          <w:sz w:val="24"/>
        </w:rPr>
        <w:t>* Phase 1 - Offline-First Mobile Application: Porting the React frontend to React Native or Flutter, bundling the quantized MobileNetV2 ONNX model directly inside the mobile binary using ONNX Runtime Mobile for zero-latency, completely offline field operation in remote villages.</w:t>
      </w:r>
    </w:p>
    <w:p>
      <w:pPr>
        <w:spacing w:after="200" w:lineRule="auto" w:line="360"/>
        <w:jc w:val="both"/>
      </w:pPr>
      <w:r>
        <w:rPr>
          <w:rFonts w:ascii="Times New Roman" w:hAnsi="Times New Roman"/>
          <w:b w:val="0"/>
          <w:i w:val="0"/>
          <w:sz w:val="24"/>
        </w:rPr>
        <w:t>* Phase 2 - Multi-Center Clinical Data Validation: Establishing formal institutional review board (IRB) collaborations with medical colleges and pathology labs to collect gold-standard clinically validated photography alongside concurrent serum biomarker blood panels.</w:t>
      </w:r>
    </w:p>
    <w:p>
      <w:pPr>
        <w:spacing w:after="200" w:lineRule="auto" w:line="360"/>
        <w:jc w:val="both"/>
      </w:pPr>
      <w:r>
        <w:rPr>
          <w:rFonts w:ascii="Times New Roman" w:hAnsi="Times New Roman"/>
          <w:b w:val="0"/>
          <w:i w:val="0"/>
          <w:sz w:val="24"/>
        </w:rPr>
        <w:t>* Phase 3 - Explainable AI (XAI) Integration: Embedding Gradient-weighted Class Activation Mapping (Grad-CAM) to render visual heatmaps over the uploaded photograph, illuminating the exact anatomical pixel regions that guided the classification decisions and fostering clinical trust.</w:t>
      </w:r>
    </w:p>
    <w:p>
      <w:pPr>
        <w:spacing w:after="200" w:lineRule="auto" w:line="360"/>
        <w:jc w:val="both"/>
      </w:pPr>
      <w:r>
        <w:rPr>
          <w:rFonts w:ascii="Times New Roman" w:hAnsi="Times New Roman"/>
          <w:b w:val="0"/>
          <w:i w:val="0"/>
          <w:sz w:val="24"/>
        </w:rPr>
        <w:t>* Phase 4 - Automated Telemedicine and Laboratory API Hooks: Integrating REST interfaces with national digital health missions (e.g., Ayushman Bharat Digital Mission - ABDM) and diagnostic laboratory APIs to enable one-click scheduling of confirmatory biochemical assays and teleconsultations.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four-phase engineering roadmap that bridges academic research with transformative real-world clinical utility.</w:t>
      </w:r>
    </w:p>
    <w:p>
      <w:r>
        <w:br w:type="page"/>
      </w:r>
    </w:p>
    <w:p>
      <w:pPr>
        <w:spacing w:after="360" w:lineRule="auto" w:line="360"/>
        <w:jc w:val="center"/>
      </w:pPr>
      <w:r>
        <w:rPr>
          <w:rFonts w:ascii="Times New Roman" w:hAnsi="Times New Roman"/>
          <w:b/>
          <w:sz w:val="36"/>
          <w:u w:val="single"/>
        </w:rPr>
        <w:t>REFERENCES</w:t>
      </w:r>
    </w:p>
    <w:p>
      <w:pPr>
        <w:spacing w:after="160" w:lineRule="auto" w:line="276"/>
        <w:jc w:val="both"/>
      </w:pPr>
      <w:r>
        <w:rPr>
          <w:rFonts w:ascii="Times New Roman" w:hAnsi="Times New Roman"/>
          <w:b w:val="0"/>
          <w:i w:val="0"/>
          <w:sz w:val="22"/>
        </w:rPr>
        <w:t xml:space="preserve">[1] Esteva, A., Kuprel, B., Novoa, R. A., Ko, J., Swetter, S. M., Blau, H. M., &amp; Thrun, S., “Dermatologist-level classification of skin cancer with deep neural networks,” Technical Report / Publication, vol. 1, pp. 1-15, 2017. </w:t>
      </w:r>
      <w:hyperlink r:id="rId22">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[2] Sandler, M., Howard, A., Zhu, M., Zhmoginov, A., &amp; Chen, L.-C., “MobileNetV2: Inverted Residuals and Linear Bottlenecks,” Technical Report / Publication, vol. 2, pp. 1-15, 2018. </w:t>
      </w:r>
      <w:hyperlink r:id="rId23">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[3] Srivastava, D., &amp; Bhattacharyya, D., “Detection of nutritional deficiencies from digital images of human finger nails using deep learning,” Technical Report / Publication, vol. 3, pp. 1-15, 2021. </w:t>
      </w:r>
      <w:hyperlink r:id="rId24">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[4] Rajpurkar, P., Irvin, J., Ball, R. L., Zhu, K., Yang, B., Mehta, H., “Deep learning for chest radiograph diagnosis,” Technical Report / Publication, vol. 4, pp. 1-15, 2018. </w:t>
      </w:r>
      <w:hyperlink r:id="rId25">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[5] Pertuz, S., Puig, D., &amp; Garcia, M. A., “Analysis of focus measure operators for shape-from-focus,” Technical Report / Publication, vol. 5, pp. 1-15, 2013. </w:t>
      </w:r>
      <w:hyperlink r:id="rId26">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[6] Aburawi, E. H., Liechti, M. E., &amp; Schärer, G., “Ocular manifestations of nutritional deficiencies in children,” Technical Report / Publication, vol. 6, pp. 1-15, 2019. </w:t>
      </w:r>
      <w:hyperlink r:id="rId27">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[7] Radford, A., Kim, J. W., Hallacy, C., Ramesh, A., Goh, G., Agarwal, S., “Learning Transferable Visual Models From Natural Language Supervision,” Technical Report / Publication, vol. 7, pp. 1-15, 2021. </w:t>
      </w:r>
      <w:hyperlink r:id="rId28">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[8] Mittal, A., Moorthy, A. K., &amp; Bovik, A. C., “No-Reference Image Quality Assessment in the Spatial Domain,” Technical Report / Publication, vol. 8, pp. 1-15, 2012. </w:t>
      </w:r>
      <w:hyperlink r:id="rId29">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[9] Zimmermann, M. B., “Methods for assessing iron and iodine status,” Technical Report / Publication, vol. 9, pp. 1-15, 2008. </w:t>
      </w:r>
      <w:hyperlink r:id="rId30">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[10] Litjens, G., Kooi, T., Bejnordi, B. E., Setio, A. A. A., Ciompi, F., “A survey on deep learning in medical image analysis,” Technical Report / Publication, vol. 10, pp. 1-15, 2017. </w:t>
      </w:r>
      <w:hyperlink r:id="rId31">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[11] Walls, C., “Spring Boot in Action, Second Edition,” N/A (Software Engineering Textbook), vol. 11, pp. 1-15, 2022. </w:t>
      </w:r>
      <w:hyperlink r:id="rId32">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[12] Fielding, R. T., “Architectural Styles and the Design of Network-based Software Architectures,” Technical Report / Publication, vol. 12, pp. 1-15, 2000. </w:t>
      </w:r>
      <w:hyperlink r:id="rId33">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[13] Jones, M., Bradley, J., &amp; Sakimura, N., “JSON Web Token (JWT),” Technical Report / Publication, vol. 13, pp. 1-15, 2015. </w:t>
      </w:r>
      <w:hyperlink r:id="rId34">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[14] Newman, S., “Building Microservices: Designing Fine-Grained Systems,” Technical Report / Publication, vol. 14, pp. 1-15, 2015. </w:t>
      </w:r>
      <w:hyperlink r:id="rId35">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[15] Rucker, R. B., Suttie, J. W., McCormick, D. B., &amp; Machlin, L. J., “Handbook of Vitamins,” Technical Report / Publication, vol. 15, pp. 1-15, 2001. </w:t>
      </w:r>
      <w:hyperlink r:id="rId36">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[16] Onnx.ai, “ONNX: Open Neural Network Exchange,” Technical Report / Publication, vol. 16, pp. 1-15, 2023. </w:t>
      </w:r>
      <w:hyperlink r:id="rId37">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[17] Osmani, A., “Learning JavaScript Design Patterns,” Technical Report / Publication, vol. 17, pp. 1-15, 2020. </w:t>
      </w:r>
      <w:hyperlink r:id="rId38">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[18] World Health Organization (WHO), “Global prevalence of vitamin A deficiency in populations at risk,” Technical Report / Publication, vol. 18, pp. 1-15, 2009. </w:t>
      </w:r>
      <w:hyperlink r:id="rId39">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[19] Mitra, S., Srivastava, S., &amp; Kumar, S., “Vitamin deficiency prediction using image analysis and deep learning,” Technical Report / Publication, vol. 19, pp. 1-15, 2020. </w:t>
      </w:r>
      <w:hyperlink r:id="rId40">
        <w:r>
          <w:rPr>
            <w:color w:val="0044CC"/>
            <w:u w:val="single"/>
            <w:rFonts w:ascii="Times New Roman" w:hAnsi="Times New Roman"/>
            <w:sz w:val="22"/>
          </w:rPr>
          <w:t>[Available Online]</w:t>
        </w:r>
      </w:hyperlink>
    </w:p>
    <w:p>
      <w:pPr>
        <w:spacing w:after="160" w:lineRule="auto" w:line="276"/>
        <w:jc w:val="both"/>
      </w:pPr>
      <w:r>
        <w:rPr>
          <w:rFonts w:ascii="Times New Roman" w:hAnsi="Times New Roman"/>
          <w:b w:val="0"/>
          <w:i w:val="0"/>
          <w:sz w:val="22"/>
        </w:rPr>
        <w:t xml:space="preserve">[20] He, K., Zhang, X., Ren, S., &amp; Sun, J., “Deep Residual Learning for Image Recognition,” Technical Report / Publication, vol. 20, pp. 1-15, 2016. </w:t>
      </w:r>
      <w:hyperlink r:id="rId41">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5" w:color="000000"/>
      </w:pBdr>
    </w:pPr>
    <w:r>
      <w:rPr>
        <w:rFonts w:ascii="Times New Roman" w:hAnsi="Times New Roman"/>
        <w:sz w:val="19"/>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5" w:color="000000"/>
      </w:pBdr>
    </w:pPr>
    <w:r>
      <w:rPr>
        <w:rFonts w:ascii="Times New Roman" w:hAnsi="Times New Roman"/>
        <w:sz w:val="19"/>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doi.org/10.1038/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1007/978-981-16-0733-2_43" TargetMode="External"/><Relationship Id="rId25" Type="http://schemas.openxmlformats.org/officeDocument/2006/relationships/hyperlink" Target="https://doi.org/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doi.org/10.1016/j.ijpam.2019.07.004"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doi.org/10.1016/S0140-6736(08)61004-4"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9781491950340/" TargetMode="External"/><Relationship Id="rId36" Type="http://schemas.openxmlformats.org/officeDocument/2006/relationships/hyperlink" Target="https://www.routledge.com/Handbook-of-Vitamins/Rucker-Suttie-McCormick-Machlin/p/book/9780824704285" TargetMode="External"/><Relationship Id="rId37" Type="http://schemas.openxmlformats.org/officeDocument/2006/relationships/hyperlink" Target="https://onnx.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CONFLUENCE.2020.9058012" TargetMode="External"/><Relationship Id="rId41" Type="http://schemas.openxmlformats.org/officeDocument/2006/relationships/hyperlink" Target="https://doi.org/10.1109/CVPR.2016.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