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mbria" w:cs="Cambria" w:eastAsia="Cambria" w:hAnsi="Cambria"/>
          <w:b/>
          <w:bCs/>
          <w:color w:val="1F3864"/>
          <w:sz w:val="64"/>
          <w:szCs w:val="64"/>
        </w:rPr>
        <w:t xml:space="preserve">VAYU-NET</w:t>
      </w:r>
    </w:p>
    <w:p>
      <w:pPr>
        <w:spacing w:after="160"/>
        <w:jc w:val="center"/>
      </w:pPr>
      <w:r>
        <w:rPr>
          <w:rFonts w:ascii="Cambria" w:cs="Cambria" w:eastAsia="Cambria" w:hAnsi="Cambria"/>
          <w:color w:val="2E5395"/>
          <w:sz w:val="30"/>
          <w:szCs w:val="30"/>
        </w:rPr>
        <w:t xml:space="preserve">An AI-Powered Urban Air Quality Intelligence Platform for Smart City Intervention</w:t>
      </w:r>
    </w:p>
    <w:p>
      <w:pPr>
        <w:spacing w:after="900"/>
        <w:jc w:val="center"/>
      </w:pPr>
      <w:r>
        <w:rPr>
          <w:rFonts w:ascii="Calibri" w:cs="Calibri" w:eastAsia="Calibri" w:hAnsi="Calibri"/>
          <w:i/>
          <w:iCs/>
          <w:sz w:val="24"/>
          <w:szCs w:val="24"/>
        </w:rPr>
        <w:t xml:space="preserve">Project Report</w:t>
      </w:r>
    </w:p>
    <w:p>
      <w:pPr>
        <w:spacing w:after="80"/>
        <w:jc w:val="center"/>
      </w:pPr>
      <w:r>
        <w:rPr>
          <w:rFonts w:ascii="Calibri" w:cs="Calibri" w:eastAsia="Calibri" w:hAnsi="Calibri"/>
          <w:sz w:val="22"/>
          <w:szCs w:val="22"/>
        </w:rPr>
        <w:t xml:space="preserve">Author: Divyaman Pal</w:t>
      </w:r>
    </w:p>
    <w:p>
      <w:pPr>
        <w:spacing w:after="80"/>
        <w:jc w:val="center"/>
      </w:pPr>
      <w:r>
        <w:rPr>
          <w:rFonts w:ascii="Calibri" w:cs="Calibri" w:eastAsia="Calibri" w:hAnsi="Calibri"/>
          <w:sz w:val="22"/>
          <w:szCs w:val="22"/>
        </w:rPr>
        <w:t xml:space="preserve">July 2026</w:t>
      </w:r>
    </w:p>
    <w:p>
      <w:pPr>
        <w:spacing w:after="80"/>
        <w:jc w:val="center"/>
      </w:pPr>
      <w:r>
        <w:rPr>
          <w:rFonts w:ascii="Calibri" w:cs="Calibri" w:eastAsia="Calibri" w:hAnsi="Calibri"/>
          <w:color w:val="2E5395"/>
          <w:sz w:val="20"/>
          <w:szCs w:val="20"/>
        </w:rPr>
        <w:t xml:space="preserve">Deployed application: vayu-net-ten.vercel.app</w:t>
      </w:r>
    </w:p>
    <w:p>
      <w:pPr>
        <w:jc w:val="center"/>
      </w:pPr>
      <w:r>
        <w:rPr>
          <w:rFonts w:ascii="Calibri" w:cs="Calibri" w:eastAsia="Calibri" w:hAnsi="Calibri"/>
          <w:color w:val="2E5395"/>
          <w:sz w:val="20"/>
          <w:szCs w:val="20"/>
        </w:rPr>
        <w:t xml:space="preserve">Source repository: github.com/divyaman-pal/Assignment (directory: Urban Air Hack)</w:t>
      </w:r>
    </w:p>
    <w:p>
      <w:r>
        <w:br w:type="page"/>
      </w:r>
    </w:p>
    <w:p>
      <w:pPr>
        <w:pStyle w:val="Heading1"/>
        <w:spacing w:after="160" w:before="360"/>
      </w:pPr>
      <w:r>
        <w:rPr>
          <w:rFonts w:ascii="Cambria" w:cs="Cambria" w:eastAsia="Cambria" w:hAnsi="Cambria"/>
          <w:b/>
          <w:bCs/>
          <w:color w:val="1F3864"/>
          <w:sz w:val="30"/>
          <w:szCs w:val="30"/>
        </w:rPr>
        <w:t xml:space="preserve">Abstract</w:t>
      </w:r>
    </w:p>
    <w:p>
      <w:pPr>
        <w:spacing w:after="140" w:line="300"/>
        <w:jc w:val="both"/>
      </w:pPr>
      <w:r>
        <w:rPr>
          <w:rFonts w:ascii="Calibri" w:cs="Calibri" w:eastAsia="Calibri" w:hAnsi="Calibri"/>
          <w:sz w:val="22"/>
          <w:szCs w:val="22"/>
        </w:rPr>
        <w:t xml:space="preserve">India operates more than nine hundred continuous ambient air quality monitoring stations, yet a 2024 audit by the Comptroller and Auditor General found that fewer than a third of the cities covered by this network maintain any multi-agency response protocol linked to the readings. The monitoring infrastructure exists; the layer that converts a pollution signal into a specific, defensible intervention does not. VAYU-NET addresses this gap. It is a deployed, multi-agent software platform that ingests government sensor data, satellite fire detections, meteorological records and municipal geography, and produces four outputs that monitoring dashboards do not: source attribution for every pollution event with a stated confidence and inspectable evidence, hyperlocal forecasts benchmarked against a persistence baseline, statute-referenced enforcement recommendations accompanied by printable evidence documents, and ward-level citizen advisories in four languages. During a replay of the December 2025 New Year smog crisis in Delhi, the system completed the full chain from signal detection to dispatched enforcement recommendation in 1.46 seconds on live infrastructure, against a status quo measured in days. The platform covers Delhi, Mumbai and Bengaluru, refreshes itself from a live government feed every six hours without human involvement, and reproduces its entire data pipeline from public sources on a clean machine, a property verified independently in continuous-integration runs whose logs are public.</w:t>
      </w:r>
    </w:p>
    <w:p>
      <w:pPr>
        <w:pStyle w:val="Heading1"/>
        <w:spacing w:after="160" w:before="360"/>
      </w:pPr>
      <w:r>
        <w:rPr>
          <w:rFonts w:ascii="Cambria" w:cs="Cambria" w:eastAsia="Cambria" w:hAnsi="Cambria"/>
          <w:b/>
          <w:bCs/>
          <w:color w:val="1F3864"/>
          <w:sz w:val="30"/>
          <w:szCs w:val="30"/>
        </w:rPr>
        <w:t xml:space="preserve">1. Introduction and Problem Statement</w:t>
      </w:r>
    </w:p>
    <w:p>
      <w:pPr>
        <w:spacing w:after="140" w:line="300"/>
        <w:jc w:val="both"/>
      </w:pPr>
      <w:r>
        <w:rPr>
          <w:rFonts w:ascii="Calibri" w:cs="Calibri" w:eastAsia="Calibri" w:hAnsi="Calibri"/>
          <w:sz w:val="22"/>
          <w:szCs w:val="22"/>
        </w:rPr>
        <w:t xml:space="preserve">Air pollution in Indian cities is a public health emergency of documented scale. The Lancet Planetary Health estimated 1.67 million premature deaths in India annually from air pollution, a burden that falls disproportionately on urban populations. The policy response, principally the National Clean Air Programme, has concentrated on measurement: over 900 Continuous Ambient Air Quality Monitoring Stations (CAAQMS) now report data at fifteen-minute intervals. Measurement, however, has not translated into response. The Comptroller and Auditor General reported in 2024 that only 31 per cent of cities with monitoring data had any actionable multi-agency protocol tied to those readings.</w:t>
      </w:r>
    </w:p>
    <w:p>
      <w:pPr>
        <w:spacing w:after="140" w:line="300"/>
        <w:jc w:val="both"/>
      </w:pPr>
      <w:r>
        <w:rPr>
          <w:rFonts w:ascii="Calibri" w:cs="Calibri" w:eastAsia="Calibri" w:hAnsi="Calibri"/>
          <w:sz w:val="22"/>
          <w:szCs w:val="22"/>
        </w:rPr>
        <w:t xml:space="preserve">The institutional demand for the missing layer is a matter of public record. On 16 December 2025 the Bombay High Court, hearing a matter on Mumbai's deteriorating air, summoned the municipal commissioner; the corporation's response referred to an air quality forecasting and source attribution system for Mumbai and the Mumbai Metropolitan Region that was still being designed. In January 2026, acting on a Supreme Court direction, the Commission for Air Quality Management published the first unified source apportionment assessment for Delhi, consolidating estimates from TERI, CSE, CEEW and other institutions. Courts are ordering, and central agencies are assembling, precisely the capability this project set out to build: a system that answers, for a given place and time, which sources are responsible, what conditions will follow, where enforcement effort should be directed, and what the public should be told.</w:t>
      </w:r>
    </w:p>
    <w:p>
      <w:pPr>
        <w:spacing w:after="140" w:line="300"/>
        <w:jc w:val="both"/>
      </w:pPr>
      <w:r>
        <w:rPr>
          <w:rFonts w:ascii="Calibri" w:cs="Calibri" w:eastAsia="Calibri" w:hAnsi="Calibri"/>
          <w:sz w:val="22"/>
          <w:szCs w:val="22"/>
        </w:rPr>
        <w:t xml:space="preserve">This report documents the design, implementation, evaluation and deployment of VAYU-NET, built for the hackathon problem statement “AI-Powered Urban Air Quality Intelligence for Smart City Intervention.” All figures quoted in this report are produced by the system itself from public data and can be regenerated from the repository; where an independent re-computation exists in the project's continuous-integration logs, that value is cited.</w:t>
      </w:r>
    </w:p>
    <w:p>
      <w:pPr>
        <w:pStyle w:val="Heading1"/>
        <w:spacing w:after="160" w:before="360"/>
      </w:pPr>
      <w:r>
        <w:rPr>
          <w:rFonts w:ascii="Cambria" w:cs="Cambria" w:eastAsia="Cambria" w:hAnsi="Cambria"/>
          <w:b/>
          <w:bCs/>
          <w:color w:val="1F3864"/>
          <w:sz w:val="30"/>
          <w:szCs w:val="30"/>
        </w:rPr>
        <w:t xml:space="preserve">2. Objectives and Scope</w:t>
      </w:r>
    </w:p>
    <w:p>
      <w:pPr>
        <w:spacing w:after="140" w:line="300"/>
        <w:jc w:val="both"/>
      </w:pPr>
      <w:r>
        <w:rPr>
          <w:rFonts w:ascii="Calibri" w:cs="Calibri" w:eastAsia="Calibri" w:hAnsi="Calibri"/>
          <w:sz w:val="22"/>
          <w:szCs w:val="22"/>
        </w:rPr>
        <w:t xml:space="preserve">The platform was designed against five objectives, corresponding to the five capability areas named in the problem statement:</w:t>
      </w:r>
    </w:p>
    <w:p>
      <w:pPr>
        <w:pStyle w:val="ListParagraph"/>
        <w:numPr>
          <w:ilvl w:val="0"/>
          <w:numId w:val="2"/>
        </w:numPr>
        <w:spacing w:after="80" w:line="290"/>
        <w:jc w:val="both"/>
      </w:pPr>
      <w:r>
        <w:rPr>
          <w:rFonts w:ascii="Calibri" w:cs="Calibri" w:eastAsia="Calibri" w:hAnsi="Calibri"/>
          <w:sz w:val="22"/>
          <w:szCs w:val="22"/>
        </w:rPr>
        <w:t xml:space="preserve">Geospatial source attribution at ward level, with statistical confidence scores and evidence that a domain expert can inspect and challenge.</w:t>
      </w:r>
    </w:p>
    <w:p>
      <w:pPr>
        <w:pStyle w:val="ListParagraph"/>
        <w:numPr>
          <w:ilvl w:val="0"/>
          <w:numId w:val="2"/>
        </w:numPr>
        <w:spacing w:after="80" w:line="290"/>
        <w:jc w:val="both"/>
      </w:pPr>
      <w:r>
        <w:rPr>
          <w:rFonts w:ascii="Calibri" w:cs="Calibri" w:eastAsia="Calibri" w:hAnsi="Calibri"/>
          <w:sz w:val="22"/>
          <w:szCs w:val="22"/>
        </w:rPr>
        <w:t xml:space="preserve">Hyperlocal forecasting of particulate concentrations at horizons of 6 to 72 hours, evaluated as root-mean-square error against a persistence baseline, on a one-kilometre grid.</w:t>
      </w:r>
    </w:p>
    <w:p>
      <w:pPr>
        <w:pStyle w:val="ListParagraph"/>
        <w:numPr>
          <w:ilvl w:val="0"/>
          <w:numId w:val="2"/>
        </w:numPr>
        <w:spacing w:after="80" w:line="290"/>
        <w:jc w:val="both"/>
      </w:pPr>
      <w:r>
        <w:rPr>
          <w:rFonts w:ascii="Calibri" w:cs="Calibri" w:eastAsia="Calibri" w:hAnsi="Calibri"/>
          <w:sz w:val="22"/>
          <w:szCs w:val="22"/>
        </w:rPr>
        <w:t xml:space="preserve">Enforcement intelligence: a prioritised, statute-referenced list of recommended inspections, each supported by a generated evidence document.</w:t>
      </w:r>
    </w:p>
    <w:p>
      <w:pPr>
        <w:pStyle w:val="ListParagraph"/>
        <w:numPr>
          <w:ilvl w:val="0"/>
          <w:numId w:val="2"/>
        </w:numPr>
        <w:spacing w:after="80" w:line="290"/>
        <w:jc w:val="both"/>
      </w:pPr>
      <w:r>
        <w:rPr>
          <w:rFonts w:ascii="Calibri" w:cs="Calibri" w:eastAsia="Calibri" w:hAnsi="Calibri"/>
          <w:sz w:val="22"/>
          <w:szCs w:val="22"/>
        </w:rPr>
        <w:t xml:space="preserve">Citizen advisories at ward resolution, differentiated by vulnerable group and delivered in English, Hindi, Marathi and Kannada, with a voice channel.</w:t>
      </w:r>
    </w:p>
    <w:p>
      <w:pPr>
        <w:pStyle w:val="ListParagraph"/>
        <w:numPr>
          <w:ilvl w:val="0"/>
          <w:numId w:val="2"/>
        </w:numPr>
        <w:spacing w:after="80" w:line="290"/>
        <w:jc w:val="both"/>
      </w:pPr>
      <w:r>
        <w:rPr>
          <w:rFonts w:ascii="Calibri" w:cs="Calibri" w:eastAsia="Calibri" w:hAnsi="Calibri"/>
          <w:sz w:val="22"/>
          <w:szCs w:val="22"/>
        </w:rPr>
        <w:t xml:space="preserve">Multi-city operation from a single code base, with comparable scoring across cities and a documented onboarding path for additional cities.</w:t>
      </w:r>
    </w:p>
    <w:p>
      <w:pPr>
        <w:spacing w:after="140" w:line="300"/>
        <w:jc w:val="both"/>
      </w:pPr>
      <w:r>
        <w:rPr>
          <w:rFonts w:ascii="Calibri" w:cs="Calibri" w:eastAsia="Calibri" w:hAnsi="Calibri"/>
          <w:sz w:val="22"/>
          <w:szCs w:val="22"/>
        </w:rPr>
        <w:t xml:space="preserve">Three cities are live: Delhi (290 municipal wards), Mumbai (24 administrative wards) and Bengaluru (243 BBMP wards). The system operates in two modes. Live mode, the default, presents the current state of the air from an official government feed refreshed every six hours. Episode mode presents a fully analysed historical crisis, the week of 25 December 2025 to 1 January 2026 in Delhi, on which every analytical component of the platform can be demonstrated end to end.</w:t>
      </w:r>
    </w:p>
    <w:p>
      <w:pPr>
        <w:pStyle w:val="Heading1"/>
        <w:spacing w:after="160" w:before="360"/>
      </w:pPr>
      <w:r>
        <w:rPr>
          <w:rFonts w:ascii="Cambria" w:cs="Cambria" w:eastAsia="Cambria" w:hAnsi="Cambria"/>
          <w:b/>
          <w:bCs/>
          <w:color w:val="1F3864"/>
          <w:sz w:val="30"/>
          <w:szCs w:val="30"/>
        </w:rPr>
        <w:t xml:space="preserve">3. System Architecture</w:t>
      </w:r>
    </w:p>
    <w:p>
      <w:pPr>
        <w:spacing w:after="140" w:line="300"/>
        <w:jc w:val="both"/>
      </w:pPr>
      <w:r>
        <w:rPr>
          <w:rFonts w:ascii="Calibri" w:cs="Calibri" w:eastAsia="Calibri" w:hAnsi="Calibri"/>
          <w:sz w:val="22"/>
          <w:szCs w:val="22"/>
        </w:rPr>
        <w:t xml:space="preserve">The platform is organised as a pipeline of five cooperating agents over a shared geospatial data store, served through a REST API to a web front end. Every agent writes a timestamped record of its inputs and outputs to an audit table, so that any claim displayed in the user interface can be traced to a database row and the pipeline step that produced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rPr>
          <w:tblHeader/>
        </w:trPr>
        <w:tc>
          <w:tcPr>
            <w:tcW w:type="dxa" w:w="1900"/>
            <w:shd w:fill="DEEAF6" w:val="clear"/>
            <w:tcMar>
              <w:top w:type="dxa" w:w="60"/>
              <w:left w:type="dxa" w:w="100"/>
              <w:bottom w:type="dxa" w:w="60"/>
              <w:right w:type="dxa" w:w="100"/>
            </w:tcMar>
          </w:tcPr>
          <w:p>
            <w:r>
              <w:rPr>
                <w:rFonts w:ascii="Calibri" w:cs="Calibri" w:eastAsia="Calibri" w:hAnsi="Calibri"/>
                <w:b/>
                <w:bCs/>
                <w:sz w:val="20"/>
                <w:szCs w:val="20"/>
              </w:rPr>
              <w:t xml:space="preserve">Component</w:t>
            </w:r>
          </w:p>
        </w:tc>
        <w:tc>
          <w:tcPr>
            <w:tcW w:type="dxa" w:w="3200"/>
            <w:shd w:fill="DEEAF6" w:val="clear"/>
            <w:tcMar>
              <w:top w:type="dxa" w:w="60"/>
              <w:left w:type="dxa" w:w="100"/>
              <w:bottom w:type="dxa" w:w="60"/>
              <w:right w:type="dxa" w:w="100"/>
            </w:tcMar>
          </w:tcPr>
          <w:p>
            <w:r>
              <w:rPr>
                <w:rFonts w:ascii="Calibri" w:cs="Calibri" w:eastAsia="Calibri" w:hAnsi="Calibri"/>
                <w:b/>
                <w:bCs/>
                <w:sz w:val="20"/>
                <w:szCs w:val="20"/>
              </w:rPr>
              <w:t xml:space="preserve">Role</w:t>
            </w:r>
          </w:p>
        </w:tc>
        <w:tc>
          <w:tcPr>
            <w:tcW w:type="dxa" w:w="4260"/>
            <w:shd w:fill="DEEAF6" w:val="clear"/>
            <w:tcMar>
              <w:top w:type="dxa" w:w="60"/>
              <w:left w:type="dxa" w:w="100"/>
              <w:bottom w:type="dxa" w:w="60"/>
              <w:right w:type="dxa" w:w="100"/>
            </w:tcMar>
          </w:tcPr>
          <w:p>
            <w:r>
              <w:rPr>
                <w:rFonts w:ascii="Calibri" w:cs="Calibri" w:eastAsia="Calibri" w:hAnsi="Calibri"/>
                <w:b/>
                <w:bCs/>
                <w:sz w:val="20"/>
                <w:szCs w:val="20"/>
              </w:rPr>
              <w:t xml:space="preserve">Principal techniques</w:t>
            </w:r>
          </w:p>
        </w:tc>
      </w:tr>
      <w:tr>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Sentinel agent</w:t>
            </w:r>
          </w:p>
        </w:tc>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Detects pollution events in station data</w:t>
            </w:r>
          </w:p>
        </w:tc>
        <w:tc>
          <w:tcPr>
            <w:tcW w:type="dxa" w:w="4260"/>
            <w:tcMar>
              <w:top w:type="dxa" w:w="60"/>
              <w:left w:type="dxa" w:w="100"/>
              <w:bottom w:type="dxa" w:w="60"/>
              <w:right w:type="dxa" w:w="100"/>
            </w:tcMar>
          </w:tcPr>
          <w:p>
            <w:r>
              <w:rPr>
                <w:rFonts w:ascii="Calibri" w:cs="Calibri" w:eastAsia="Calibri" w:hAnsi="Calibri"/>
                <w:b w:val="false"/>
                <w:bCs w:val="false"/>
                <w:sz w:val="20"/>
                <w:szCs w:val="20"/>
              </w:rPr>
              <w:t xml:space="preserve">Robust rolling z-score (median/MAD, 48 h window, trigger z &gt; 2.5); absolute severity crossings at PM2.5 &gt; 250 µg/m³, mirroring GRAP triggers</w:t>
            </w:r>
          </w:p>
        </w:tc>
      </w:tr>
      <w:tr>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Attribution agent</w:t>
            </w:r>
          </w:p>
        </w:tc>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Assigns each event a source category with confidence</w:t>
            </w:r>
          </w:p>
        </w:tc>
        <w:tc>
          <w:tcPr>
            <w:tcW w:type="dxa" w:w="4260"/>
            <w:tcMar>
              <w:top w:type="dxa" w:w="60"/>
              <w:left w:type="dxa" w:w="100"/>
              <w:bottom w:type="dxa" w:w="60"/>
              <w:right w:type="dxa" w:w="100"/>
            </w:tcMar>
          </w:tcPr>
          <w:p>
            <w:r>
              <w:rPr>
                <w:rFonts w:ascii="Calibri" w:cs="Calibri" w:eastAsia="Calibri" w:hAnsi="Calibri"/>
                <w:b w:val="false"/>
                <w:bCs w:val="false"/>
                <w:sz w:val="20"/>
                <w:szCs w:val="20"/>
              </w:rPr>
              <w:t xml:space="preserve">Fusion of six measured signals (Section 5); bounded log-odds combined by softmax</w:t>
            </w:r>
          </w:p>
        </w:tc>
      </w:tr>
      <w:tr>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Forecast agent</w:t>
            </w:r>
          </w:p>
        </w:tc>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Predicts station-level PM2.5 at 6–72 h horizons</w:t>
            </w:r>
          </w:p>
        </w:tc>
        <w:tc>
          <w:tcPr>
            <w:tcW w:type="dxa" w:w="4260"/>
            <w:tcMar>
              <w:top w:type="dxa" w:w="60"/>
              <w:left w:type="dxa" w:w="100"/>
              <w:bottom w:type="dxa" w:w="60"/>
              <w:right w:type="dxa" w:w="100"/>
            </w:tcMar>
          </w:tcPr>
          <w:p>
            <w:r>
              <w:rPr>
                <w:rFonts w:ascii="Calibri" w:cs="Calibri" w:eastAsia="Calibri" w:hAnsi="Calibri"/>
                <w:b w:val="false"/>
                <w:bCs w:val="false"/>
                <w:sz w:val="20"/>
                <w:szCs w:val="20"/>
              </w:rPr>
              <w:t xml:space="preserve">Gradient-boosted trees (LightGBM); inverse-distance interpolation to a 1 km grid</w:t>
            </w:r>
          </w:p>
        </w:tc>
      </w:tr>
      <w:tr>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Enforcement agent</w:t>
            </w:r>
          </w:p>
        </w:tc>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Ranks wards for inspection and generates evidence packs</w:t>
            </w:r>
          </w:p>
        </w:tc>
        <w:tc>
          <w:tcPr>
            <w:tcW w:type="dxa" w:w="4260"/>
            <w:tcMar>
              <w:top w:type="dxa" w:w="60"/>
              <w:left w:type="dxa" w:w="100"/>
              <w:bottom w:type="dxa" w:w="60"/>
              <w:right w:type="dxa" w:w="100"/>
            </w:tcMar>
          </w:tcPr>
          <w:p>
            <w:r>
              <w:rPr>
                <w:rFonts w:ascii="Calibri" w:cs="Calibri" w:eastAsia="Calibri" w:hAnsi="Calibri"/>
                <w:b w:val="false"/>
                <w:bCs w:val="false"/>
                <w:sz w:val="20"/>
                <w:szCs w:val="20"/>
              </w:rPr>
              <w:t xml:space="preserve">Composite priority score; fixed statute lookup; one-page PDF per recommendation</w:t>
            </w:r>
          </w:p>
        </w:tc>
      </w:tr>
      <w:tr>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Advisory agent</w:t>
            </w:r>
          </w:p>
        </w:tc>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Issues ward-level health advisories</w:t>
            </w:r>
          </w:p>
        </w:tc>
        <w:tc>
          <w:tcPr>
            <w:tcW w:type="dxa" w:w="4260"/>
            <w:tcMar>
              <w:top w:type="dxa" w:w="60"/>
              <w:left w:type="dxa" w:w="100"/>
              <w:bottom w:type="dxa" w:w="60"/>
              <w:right w:type="dxa" w:w="100"/>
            </w:tcMar>
          </w:tcPr>
          <w:p>
            <w:r>
              <w:rPr>
                <w:rFonts w:ascii="Calibri" w:cs="Calibri" w:eastAsia="Calibri" w:hAnsi="Calibri"/>
                <w:b w:val="false"/>
                <w:bCs w:val="false"/>
                <w:sz w:val="20"/>
                <w:szCs w:val="20"/>
              </w:rPr>
              <w:t xml:space="preserve">CPCB official health wording; language model used for translation only, with output validation and template fallback</w:t>
            </w:r>
          </w:p>
        </w:tc>
      </w:tr>
    </w:tbl>
    <w:p>
      <w:pPr>
        <w:spacing w:after="220" w:before="60"/>
      </w:pPr>
      <w:r>
        <w:rPr>
          <w:rFonts w:ascii="Calibri" w:cs="Calibri" w:eastAsia="Calibri" w:hAnsi="Calibri"/>
          <w:i/>
          <w:iCs/>
          <w:color w:val="595959"/>
          <w:sz w:val="18"/>
          <w:szCs w:val="18"/>
        </w:rPr>
        <w:t xml:space="preserve">Table 1. The five agents and their responsibilities.</w:t>
      </w:r>
    </w:p>
    <w:p>
      <w:pPr>
        <w:spacing w:after="140" w:line="300"/>
        <w:jc w:val="both"/>
      </w:pPr>
      <w:r>
        <w:rPr>
          <w:rFonts w:ascii="Calibri" w:cs="Calibri" w:eastAsia="Calibri" w:hAnsi="Calibri"/>
          <w:sz w:val="22"/>
          <w:szCs w:val="22"/>
        </w:rPr>
        <w:t xml:space="preserve">The data store is DuckDB, an embedded analytical database, holding station readings, ward geometries, event attributions, ranked actions and the audit log. The serving layer is a FastAPI application exposing twelve endpoints, including an on-demand replay runner that executes the full agent chain and returns its timed log. The front end is a React application rendering a MapLibre map with ward polygons, station markers coloured by air quality band, a one-kilometre forecast heat layer, and tabs for actions, events, cross-city comparison, evaluation metrics and the crisis replay. A separate citizen mode provides ward search, group-specific advisories, language selection and browser-based speech output, standing in for the IVR and public-display channels named in the problem statement.</w:t>
      </w:r>
    </w:p>
    <w:p>
      <w:pPr>
        <w:spacing w:after="140" w:line="300"/>
        <w:jc w:val="both"/>
      </w:pPr>
      <w:r>
        <w:rPr>
          <w:rFonts w:ascii="Calibri" w:cs="Calibri" w:eastAsia="Calibri" w:hAnsi="Calibri"/>
          <w:sz w:val="22"/>
          <w:szCs w:val="22"/>
        </w:rPr>
        <w:t xml:space="preserve">Orchestration is deliberately explicit rather than framework-heavy: the agents execute as a typed pipeline with checkpointed state, and the audit table (run identifier, step, agent, elapsed time, input and output summaries) is the primary artefact by which the system defends itself against the charge of being a black box.</w:t>
      </w:r>
    </w:p>
    <w:p>
      <w:pPr>
        <w:pStyle w:val="Heading1"/>
        <w:spacing w:after="160" w:before="360"/>
      </w:pPr>
      <w:r>
        <w:rPr>
          <w:rFonts w:ascii="Cambria" w:cs="Cambria" w:eastAsia="Cambria" w:hAnsi="Cambria"/>
          <w:b/>
          <w:bCs/>
          <w:color w:val="1F3864"/>
          <w:sz w:val="30"/>
          <w:szCs w:val="30"/>
        </w:rPr>
        <w:t xml:space="preserve">4. Data Sources and Data Engineering</w:t>
      </w:r>
    </w:p>
    <w:p>
      <w:pPr>
        <w:spacing w:after="140" w:line="300"/>
        <w:jc w:val="both"/>
      </w:pPr>
      <w:r>
        <w:rPr>
          <w:rFonts w:ascii="Calibri" w:cs="Calibri" w:eastAsia="Calibri" w:hAnsi="Calibri"/>
          <w:sz w:val="22"/>
          <w:szCs w:val="22"/>
        </w:rPr>
        <w:t xml:space="preserve">Every input is open and public; the platform requires no proprietary feed. The sources, and the integrity measures applied to each, are as follows.</w:t>
      </w:r>
    </w:p>
    <w:p>
      <w:pPr>
        <w:pStyle w:val="Heading2"/>
        <w:spacing w:after="120" w:before="260"/>
      </w:pPr>
      <w:r>
        <w:rPr>
          <w:rFonts w:ascii="Cambria" w:cs="Cambria" w:eastAsia="Cambria" w:hAnsi="Cambria"/>
          <w:b/>
          <w:bCs/>
          <w:color w:val="2E5395"/>
          <w:sz w:val="25"/>
          <w:szCs w:val="25"/>
        </w:rPr>
        <w:t xml:space="preserve">4.1 Ground station measurements</w:t>
      </w:r>
    </w:p>
    <w:p>
      <w:pPr>
        <w:spacing w:after="140" w:line="300"/>
        <w:jc w:val="both"/>
      </w:pPr>
      <w:r>
        <w:rPr>
          <w:rFonts w:ascii="Calibri" w:cs="Calibri" w:eastAsia="Calibri" w:hAnsi="Calibri"/>
          <w:sz w:val="22"/>
          <w:szCs w:val="22"/>
        </w:rPr>
        <w:t xml:space="preserve">The core measurement record is CPCB CAAQMS data obtained through the india-cpcb-aqi public mirror (ODbL licence). Two products are used: fifteen-minute readings of twelve pollutants together with co-located meteorology (wind speed and direction, temperature, relative humidity, rainfall, solar radiation, pressure) for 543 stations covering 25 December 2025 to 1 January 2026, amounting to 360,487 rows; and hourly Air Quality Index values for 2017–2023, amounting to 12,473,541 rows after unpivoting, used for seasonal context. The presence of per-station wind data in the same record as the pollutant concentrations is what makes observational source attribution feasible.</w:t>
      </w:r>
    </w:p>
    <w:p>
      <w:pPr>
        <w:pStyle w:val="Heading2"/>
        <w:spacing w:after="120" w:before="260"/>
      </w:pPr>
      <w:r>
        <w:rPr>
          <w:rFonts w:ascii="Cambria" w:cs="Cambria" w:eastAsia="Cambria" w:hAnsi="Cambria"/>
          <w:b/>
          <w:bCs/>
          <w:color w:val="2E5395"/>
          <w:sz w:val="25"/>
          <w:szCs w:val="25"/>
        </w:rPr>
        <w:t xml:space="preserve">4.2 Station coordinates, cross-validated</w:t>
      </w:r>
    </w:p>
    <w:p>
      <w:pPr>
        <w:spacing w:after="140" w:line="300"/>
        <w:jc w:val="both"/>
      </w:pPr>
      <w:r>
        <w:rPr>
          <w:rFonts w:ascii="Calibri" w:cs="Calibri" w:eastAsia="Calibri" w:hAnsi="Calibri"/>
          <w:sz w:val="22"/>
          <w:szCs w:val="22"/>
        </w:rPr>
        <w:t xml:space="preserve">The CAAQMS record does not carry station coordinates. Coordinates were recovered from two independently published snapshots of the data.gov.in real-time feed and accepted only where the two sources agree to within approximately 110 metres. Of 543 stations, 522 (96 per cent) were geocoded; 444 coordinates are confirmed by both sources and zero conflicts were found. Stations that could not be geocoded are excluded from spatial products rather than approximated, and the acceptance counts are written to a machine-readable build report at every pipeline run.</w:t>
      </w:r>
    </w:p>
    <w:p>
      <w:pPr>
        <w:pStyle w:val="Heading2"/>
        <w:spacing w:after="120" w:before="260"/>
      </w:pPr>
      <w:r>
        <w:rPr>
          <w:rFonts w:ascii="Cambria" w:cs="Cambria" w:eastAsia="Cambria" w:hAnsi="Cambria"/>
          <w:b/>
          <w:bCs/>
          <w:color w:val="2E5395"/>
          <w:sz w:val="25"/>
          <w:szCs w:val="25"/>
        </w:rPr>
        <w:t xml:space="preserve">4.3 Municipal geography and vulnerability</w:t>
      </w:r>
    </w:p>
    <w:p>
      <w:pPr>
        <w:spacing w:after="140" w:line="300"/>
        <w:jc w:val="both"/>
      </w:pPr>
      <w:r>
        <w:rPr>
          <w:rFonts w:ascii="Calibri" w:cs="Calibri" w:eastAsia="Calibri" w:hAnsi="Calibri"/>
          <w:sz w:val="22"/>
          <w:szCs w:val="22"/>
        </w:rPr>
        <w:t xml:space="preserve">Ward boundaries are taken from the DataMeet municipal spatial data collection (CC-BY): 290 wards for Delhi, 24 for Mumbai and 243 for Bengaluru. Stations were assigned to wards by strict point-in-polygon; 78 of the 81 geocoded stations in the three cities were placed this way, one was assigned to the nearest ward within three kilometres, and two were left deliberately unassigned. A vulnerability layer was constructed from OpenStreetMap: 1,084 schools and 647 hospitals in Delhi, 538 and 918 in Mumbai, 1,392 and 1,048 in Bengaluru, together with industrial and construction land-use counts where tagged, each mapped into its ward by point-in-polygon. OpenStreetMap's industrial and construction coverage for Bengaluru proved too sparse to use, and the platform records this rather than substituting an estimate.</w:t>
      </w:r>
    </w:p>
    <w:p>
      <w:pPr>
        <w:pStyle w:val="Heading2"/>
        <w:spacing w:after="120" w:before="260"/>
      </w:pPr>
      <w:r>
        <w:rPr>
          <w:rFonts w:ascii="Cambria" w:cs="Cambria" w:eastAsia="Cambria" w:hAnsi="Cambria"/>
          <w:b/>
          <w:bCs/>
          <w:color w:val="2E5395"/>
          <w:sz w:val="25"/>
          <w:szCs w:val="25"/>
        </w:rPr>
        <w:t xml:space="preserve">4.4 Satellite fire detections</w:t>
      </w:r>
    </w:p>
    <w:p>
      <w:pPr>
        <w:spacing w:after="140" w:line="300"/>
        <w:jc w:val="both"/>
      </w:pPr>
      <w:r>
        <w:rPr>
          <w:rFonts w:ascii="Calibri" w:cs="Calibri" w:eastAsia="Calibri" w:hAnsi="Calibri"/>
          <w:sz w:val="22"/>
          <w:szCs w:val="22"/>
        </w:rPr>
        <w:t xml:space="preserve">NASA FIRMS supplied 16,298 VIIRS thermal-anomaly detections over India for 25 December 2025 to 3 January 2026, filtered to nominal and high confidence. Because open fires are a near-permanent feature of the northern winter, raw fire counts near a station carry little information; the attribution engine therefore uses fire activity relative to the location's own baseline over the period (Section 5).</w:t>
      </w:r>
    </w:p>
    <w:p>
      <w:pPr>
        <w:pStyle w:val="Heading2"/>
        <w:spacing w:after="120" w:before="260"/>
      </w:pPr>
      <w:r>
        <w:rPr>
          <w:rFonts w:ascii="Cambria" w:cs="Cambria" w:eastAsia="Cambria" w:hAnsi="Cambria"/>
          <w:b/>
          <w:bCs/>
          <w:color w:val="2E5395"/>
          <w:sz w:val="25"/>
          <w:szCs w:val="25"/>
        </w:rPr>
        <w:t xml:space="preserve">4.5 Live government feed</w:t>
      </w:r>
    </w:p>
    <w:p>
      <w:pPr>
        <w:spacing w:after="140" w:line="300"/>
        <w:jc w:val="both"/>
      </w:pPr>
      <w:r>
        <w:rPr>
          <w:rFonts w:ascii="Calibri" w:cs="Calibri" w:eastAsia="Calibri" w:hAnsi="Calibri"/>
          <w:sz w:val="22"/>
          <w:szCs w:val="22"/>
        </w:rPr>
        <w:t xml:space="preserve">Current conditions are drawn from the official data.gov.in real-time air quality resource, published by the Central Pollution Control Board. Each collection cycle retrieves the current hourly figures for roughly 3,500 station-pollutant records nationwide, of which about eighty stations fall in the three covered cities. Snapshots are appended to an accumulating history file; the platform is explicit in the interface about how many days of live history have been collected and which analytical functions that history does or does not yet support.</w:t>
      </w:r>
    </w:p>
    <w:p>
      <w:pPr>
        <w:pStyle w:val="Heading1"/>
        <w:spacing w:after="160" w:before="360"/>
      </w:pPr>
      <w:r>
        <w:rPr>
          <w:rFonts w:ascii="Cambria" w:cs="Cambria" w:eastAsia="Cambria" w:hAnsi="Cambria"/>
          <w:b/>
          <w:bCs/>
          <w:color w:val="1F3864"/>
          <w:sz w:val="30"/>
          <w:szCs w:val="30"/>
        </w:rPr>
        <w:t xml:space="preserve">5. Source Attribution Method</w:t>
      </w:r>
    </w:p>
    <w:p>
      <w:pPr>
        <w:spacing w:after="140" w:line="300"/>
        <w:jc w:val="both"/>
      </w:pPr>
      <w:r>
        <w:rPr>
          <w:rFonts w:ascii="Calibri" w:cs="Calibri" w:eastAsia="Calibri" w:hAnsi="Calibri"/>
          <w:sz w:val="22"/>
          <w:szCs w:val="22"/>
        </w:rPr>
        <w:t xml:space="preserve">The attribution engine is an evidence-fusion classifier over five source categories: traffic, construction and road dust, industrial emissions, open burning and fireworks, and secondary or regionally transported aerosol. It is intentionally not a learned black box. For each detected event the engine evaluates six physically motivated signals:</w:t>
      </w:r>
    </w:p>
    <w:p>
      <w:pPr>
        <w:pStyle w:val="ListParagraph"/>
        <w:numPr>
          <w:ilvl w:val="0"/>
          <w:numId w:val="2"/>
        </w:numPr>
        <w:spacing w:after="80" w:line="290"/>
        <w:jc w:val="both"/>
      </w:pPr>
      <w:r>
        <w:rPr>
          <w:rFonts w:ascii="Calibri" w:cs="Calibri" w:eastAsia="Calibri" w:hAnsi="Calibri"/>
          <w:sz w:val="22"/>
          <w:szCs w:val="22"/>
        </w:rPr>
        <w:t xml:space="preserve">Wind-sector analysis: a conditional probability function over sixteen wind sectors, computed from the trailing week, identifies persistent upwind source directions.</w:t>
      </w:r>
    </w:p>
    <w:p>
      <w:pPr>
        <w:pStyle w:val="ListParagraph"/>
        <w:numPr>
          <w:ilvl w:val="0"/>
          <w:numId w:val="2"/>
        </w:numPr>
        <w:spacing w:after="80" w:line="290"/>
        <w:jc w:val="both"/>
      </w:pPr>
      <w:r>
        <w:rPr>
          <w:rFonts w:ascii="Calibri" w:cs="Calibri" w:eastAsia="Calibri" w:hAnsi="Calibri"/>
          <w:sz w:val="22"/>
          <w:szCs w:val="22"/>
        </w:rPr>
        <w:t xml:space="preserve">Particle-size fingerprint: the PM2.5/PM10 ratio, with values below 0.45 indicating coarse dust and above 0.65 indicating combustion aerosol.</w:t>
      </w:r>
    </w:p>
    <w:p>
      <w:pPr>
        <w:pStyle w:val="ListParagraph"/>
        <w:numPr>
          <w:ilvl w:val="0"/>
          <w:numId w:val="2"/>
        </w:numPr>
        <w:spacing w:after="80" w:line="290"/>
        <w:jc w:val="both"/>
      </w:pPr>
      <w:r>
        <w:rPr>
          <w:rFonts w:ascii="Calibri" w:cs="Calibri" w:eastAsia="Calibri" w:hAnsi="Calibri"/>
          <w:sz w:val="22"/>
          <w:szCs w:val="22"/>
        </w:rPr>
        <w:t xml:space="preserve">Gas signatures: NO2 and CO elevated against the station's own 75th-percentile baseline indicate traffic; SO2 indicates industrial combustion; NH3 accompanies open burning.</w:t>
      </w:r>
    </w:p>
    <w:p>
      <w:pPr>
        <w:pStyle w:val="ListParagraph"/>
        <w:numPr>
          <w:ilvl w:val="0"/>
          <w:numId w:val="2"/>
        </w:numPr>
        <w:spacing w:after="80" w:line="290"/>
        <w:jc w:val="both"/>
      </w:pPr>
      <w:r>
        <w:rPr>
          <w:rFonts w:ascii="Calibri" w:cs="Calibri" w:eastAsia="Calibri" w:hAnsi="Calibri"/>
          <w:sz w:val="22"/>
          <w:szCs w:val="22"/>
        </w:rPr>
        <w:t xml:space="preserve">Diurnal pattern: events in commuting windows weigh toward traffic; late-night events toward burning and fireworks; flat around-the-clock profiles toward industry.</w:t>
      </w:r>
    </w:p>
    <w:p>
      <w:pPr>
        <w:pStyle w:val="ListParagraph"/>
        <w:numPr>
          <w:ilvl w:val="0"/>
          <w:numId w:val="2"/>
        </w:numPr>
        <w:spacing w:after="80" w:line="290"/>
        <w:jc w:val="both"/>
      </w:pPr>
      <w:r>
        <w:rPr>
          <w:rFonts w:ascii="Calibri" w:cs="Calibri" w:eastAsia="Calibri" w:hAnsi="Calibri"/>
          <w:sz w:val="22"/>
          <w:szCs w:val="22"/>
        </w:rPr>
        <w:t xml:space="preserve">Calendar priors: New Year's Eve and Diwali nights raise the prior on fireworks; the October–November window raises the prior on crop-residue burning.</w:t>
      </w:r>
    </w:p>
    <w:p>
      <w:pPr>
        <w:pStyle w:val="ListParagraph"/>
        <w:numPr>
          <w:ilvl w:val="0"/>
          <w:numId w:val="2"/>
        </w:numPr>
        <w:spacing w:after="80" w:line="290"/>
        <w:jc w:val="both"/>
      </w:pPr>
      <w:r>
        <w:rPr>
          <w:rFonts w:ascii="Calibri" w:cs="Calibri" w:eastAsia="Calibri" w:hAnsi="Calibri"/>
          <w:sz w:val="22"/>
          <w:szCs w:val="22"/>
        </w:rPr>
        <w:t xml:space="preserve">Satellite corroboration: VIIRS fire activity within roughly fifty kilometres in the preceding twenty-four hours, expressed as a multiple of that location's period-average, so that only above-normal fire activity counts as evidence.</w:t>
      </w:r>
    </w:p>
    <w:p>
      <w:pPr>
        <w:spacing w:after="140" w:line="300"/>
        <w:jc w:val="both"/>
      </w:pPr>
      <w:r>
        <w:rPr>
          <w:rFonts w:ascii="Calibri" w:cs="Calibri" w:eastAsia="Calibri" w:hAnsi="Calibri"/>
          <w:sz w:val="22"/>
          <w:szCs w:val="22"/>
        </w:rPr>
        <w:t xml:space="preserve">Each signal contributes a bounded log-odds increment to the categories it supports; a softmax over the accumulated scores yields a confidence distribution, and the top category is reported together with the evidence sentences that produced it. A language model is employed after classification, solely to phrase the evidence for display; it has no influence on the verdict. Every threshold is exposed in a single parameter block in the source code.</w:t>
      </w:r>
    </w:p>
    <w:p>
      <w:pPr>
        <w:spacing w:after="140" w:line="300"/>
        <w:jc w:val="both"/>
      </w:pPr>
      <w:r>
        <w:rPr>
          <w:rFonts w:ascii="Calibri" w:cs="Calibri" w:eastAsia="Calibri" w:hAnsi="Calibri"/>
          <w:sz w:val="22"/>
          <w:szCs w:val="22"/>
        </w:rPr>
        <w:t xml:space="preserve">Applied to the December episode, the engine detected 1,098 events across the three cities (independent continuous-integration re-computation): 593 attributed to burning and fireworks, 378 to traffic, 57 to dust, 53 to industry and 17 to secondary or regional transport, at a mean confidence of 49.6 per cent. Two validation checks were applied. First, a physics check: in the hours surrounding midnight on New Year's Eve, 28 of 31 Delhi events were attributed to fireworks and burning at a mean confidence of 71.7 per cent, against 3 to traffic; morning rush-hour events on ordinary days were traffic-dominated. Second, a comparison against the Supreme Court-mandated CAQM unified inventory of January 2026, displayed inside the product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1900"/>
        <w:gridCol w:w="3460"/>
      </w:tblGrid>
      <w:tr>
        <w:trPr>
          <w:tblHeader/>
        </w:trPr>
        <w:tc>
          <w:tcPr>
            <w:tcW w:type="dxa" w:w="2100"/>
            <w:shd w:fill="DEEAF6" w:val="clear"/>
            <w:tcMar>
              <w:top w:type="dxa" w:w="60"/>
              <w:left w:type="dxa" w:w="100"/>
              <w:bottom w:type="dxa" w:w="60"/>
              <w:right w:type="dxa" w:w="100"/>
            </w:tcMar>
          </w:tcPr>
          <w:p>
            <w:r>
              <w:rPr>
                <w:rFonts w:ascii="Calibri" w:cs="Calibri" w:eastAsia="Calibri" w:hAnsi="Calibri"/>
                <w:b/>
                <w:bCs/>
                <w:sz w:val="20"/>
                <w:szCs w:val="20"/>
              </w:rPr>
              <w:t xml:space="preserve">Source category</w:t>
            </w:r>
          </w:p>
        </w:tc>
        <w:tc>
          <w:tcPr>
            <w:tcW w:type="dxa" w:w="1900"/>
            <w:shd w:fill="DEEAF6" w:val="clear"/>
            <w:tcMar>
              <w:top w:type="dxa" w:w="60"/>
              <w:left w:type="dxa" w:w="100"/>
              <w:bottom w:type="dxa" w:w="60"/>
              <w:right w:type="dxa" w:w="100"/>
            </w:tcMar>
          </w:tcPr>
          <w:p>
            <w:r>
              <w:rPr>
                <w:rFonts w:ascii="Calibri" w:cs="Calibri" w:eastAsia="Calibri" w:hAnsi="Calibri"/>
                <w:b/>
                <w:bCs/>
                <w:sz w:val="20"/>
                <w:szCs w:val="20"/>
              </w:rPr>
              <w:t xml:space="preserve">VAYU-NET, episode week*</w:t>
            </w:r>
          </w:p>
        </w:tc>
        <w:tc>
          <w:tcPr>
            <w:tcW w:type="dxa" w:w="1900"/>
            <w:shd w:fill="DEEAF6" w:val="clear"/>
            <w:tcMar>
              <w:top w:type="dxa" w:w="60"/>
              <w:left w:type="dxa" w:w="100"/>
              <w:bottom w:type="dxa" w:w="60"/>
              <w:right w:type="dxa" w:w="100"/>
            </w:tcMar>
          </w:tcPr>
          <w:p>
            <w:r>
              <w:rPr>
                <w:rFonts w:ascii="Calibri" w:cs="Calibri" w:eastAsia="Calibri" w:hAnsi="Calibri"/>
                <w:b/>
                <w:bCs/>
                <w:sz w:val="20"/>
                <w:szCs w:val="20"/>
              </w:rPr>
              <w:t xml:space="preserve">CAQM winter inventory</w:t>
            </w:r>
          </w:p>
        </w:tc>
        <w:tc>
          <w:tcPr>
            <w:tcW w:type="dxa" w:w="3460"/>
            <w:shd w:fill="DEEAF6" w:val="clear"/>
            <w:tcMar>
              <w:top w:type="dxa" w:w="60"/>
              <w:left w:type="dxa" w:w="100"/>
              <w:bottom w:type="dxa" w:w="60"/>
              <w:right w:type="dxa" w:w="100"/>
            </w:tcMar>
          </w:tcPr>
          <w:p>
            <w:r>
              <w:rPr>
                <w:rFonts w:ascii="Calibri" w:cs="Calibri" w:eastAsia="Calibri" w:hAnsi="Calibri"/>
                <w:b/>
                <w:bCs/>
                <w:sz w:val="20"/>
                <w:szCs w:val="20"/>
              </w:rPr>
              <w:t xml:space="preserve">Explanation of difference</w:t>
            </w:r>
          </w:p>
        </w:tc>
      </w:tr>
      <w:tr>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Burning / biomass</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56.2%</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20%</w:t>
            </w:r>
          </w:p>
        </w:tc>
        <w:tc>
          <w:tcPr>
            <w:tcW w:type="dxa" w:w="3460"/>
            <w:tcMar>
              <w:top w:type="dxa" w:w="60"/>
              <w:left w:type="dxa" w:w="100"/>
              <w:bottom w:type="dxa" w:w="60"/>
              <w:right w:type="dxa" w:w="100"/>
            </w:tcMar>
          </w:tcPr>
          <w:p>
            <w:r>
              <w:rPr>
                <w:rFonts w:ascii="Calibri" w:cs="Calibri" w:eastAsia="Calibri" w:hAnsi="Calibri"/>
                <w:b w:val="false"/>
                <w:bCs w:val="false"/>
                <w:sz w:val="20"/>
                <w:szCs w:val="20"/>
              </w:rPr>
              <w:t xml:space="preserve">Episode week contains New Year fireworks; exceedance expected</w:t>
            </w:r>
          </w:p>
        </w:tc>
      </w:tr>
      <w:tr>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Transport</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39.6%</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23%</w:t>
            </w:r>
          </w:p>
        </w:tc>
        <w:tc>
          <w:tcPr>
            <w:tcW w:type="dxa" w:w="3460"/>
            <w:tcMar>
              <w:top w:type="dxa" w:w="60"/>
              <w:left w:type="dxa" w:w="100"/>
              <w:bottom w:type="dxa" w:w="60"/>
              <w:right w:type="dxa" w:w="100"/>
            </w:tcMar>
          </w:tcPr>
          <w:p>
            <w:r>
              <w:rPr>
                <w:rFonts w:ascii="Calibri" w:cs="Calibri" w:eastAsia="Calibri" w:hAnsi="Calibri"/>
                <w:b w:val="false"/>
                <w:bCs w:val="false"/>
                <w:sz w:val="20"/>
                <w:szCs w:val="20"/>
              </w:rPr>
              <w:t xml:space="preserve">Same order; event counts over-weight rush-hour spikes</w:t>
            </w:r>
          </w:p>
        </w:tc>
      </w:tr>
      <w:tr>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Dust / construction</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0.8%</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15%</w:t>
            </w:r>
          </w:p>
        </w:tc>
        <w:tc>
          <w:tcPr>
            <w:tcW w:type="dxa" w:w="3460"/>
            <w:tcMar>
              <w:top w:type="dxa" w:w="60"/>
              <w:left w:type="dxa" w:w="100"/>
              <w:bottom w:type="dxa" w:w="60"/>
              <w:right w:type="dxa" w:w="100"/>
            </w:tcMar>
          </w:tcPr>
          <w:p>
            <w:r>
              <w:rPr>
                <w:rFonts w:ascii="Calibri" w:cs="Calibri" w:eastAsia="Calibri" w:hAnsi="Calibri"/>
                <w:b w:val="false"/>
                <w:bCs w:val="false"/>
                <w:sz w:val="20"/>
                <w:szCs w:val="20"/>
              </w:rPr>
              <w:t xml:space="preserve">Winter humidity suppresses dust; spike detection under-captures steady sources</w:t>
            </w:r>
          </w:p>
        </w:tc>
      </w:tr>
      <w:tr>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Industry</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2.2%</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9%</w:t>
            </w:r>
          </w:p>
        </w:tc>
        <w:tc>
          <w:tcPr>
            <w:tcW w:type="dxa" w:w="3460"/>
            <w:tcMar>
              <w:top w:type="dxa" w:w="60"/>
              <w:left w:type="dxa" w:w="100"/>
              <w:bottom w:type="dxa" w:w="60"/>
              <w:right w:type="dxa" w:w="100"/>
            </w:tcMar>
          </w:tcPr>
          <w:p>
            <w:r>
              <w:rPr>
                <w:rFonts w:ascii="Calibri" w:cs="Calibri" w:eastAsia="Calibri" w:hAnsi="Calibri"/>
                <w:b w:val="false"/>
                <w:bCs w:val="false"/>
                <w:sz w:val="20"/>
                <w:szCs w:val="20"/>
              </w:rPr>
              <w:t xml:space="preserve">Few SO2-signature events in this week</w:t>
            </w:r>
          </w:p>
        </w:tc>
      </w:tr>
      <w:tr>
        <w:tc>
          <w:tcPr>
            <w:tcW w:type="dxa" w:w="2100"/>
            <w:tcMar>
              <w:top w:type="dxa" w:w="60"/>
              <w:left w:type="dxa" w:w="100"/>
              <w:bottom w:type="dxa" w:w="60"/>
              <w:right w:type="dxa" w:w="100"/>
            </w:tcMar>
          </w:tcPr>
          <w:p>
            <w:r>
              <w:rPr>
                <w:rFonts w:ascii="Calibri" w:cs="Calibri" w:eastAsia="Calibri" w:hAnsi="Calibri"/>
                <w:b w:val="false"/>
                <w:bCs w:val="false"/>
                <w:sz w:val="20"/>
                <w:szCs w:val="20"/>
              </w:rPr>
              <w:t xml:space="preserve">Secondary aerosol</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1.1%</w:t>
            </w:r>
          </w:p>
        </w:tc>
        <w:tc>
          <w:tcPr>
            <w:tcW w:type="dxa" w:w="1900"/>
            <w:tcMar>
              <w:top w:type="dxa" w:w="60"/>
              <w:left w:type="dxa" w:w="100"/>
              <w:bottom w:type="dxa" w:w="60"/>
              <w:right w:type="dxa" w:w="100"/>
            </w:tcMar>
          </w:tcPr>
          <w:p>
            <w:r>
              <w:rPr>
                <w:rFonts w:ascii="Calibri" w:cs="Calibri" w:eastAsia="Calibri" w:hAnsi="Calibri"/>
                <w:b w:val="false"/>
                <w:bCs w:val="false"/>
                <w:sz w:val="20"/>
                <w:szCs w:val="20"/>
              </w:rPr>
              <w:t xml:space="preserve">27%</w:t>
            </w:r>
          </w:p>
        </w:tc>
        <w:tc>
          <w:tcPr>
            <w:tcW w:type="dxa" w:w="3460"/>
            <w:tcMar>
              <w:top w:type="dxa" w:w="60"/>
              <w:left w:type="dxa" w:w="100"/>
              <w:bottom w:type="dxa" w:w="60"/>
              <w:right w:type="dxa" w:w="100"/>
            </w:tcMar>
          </w:tcPr>
          <w:p>
            <w:r>
              <w:rPr>
                <w:rFonts w:ascii="Calibri" w:cs="Calibri" w:eastAsia="Calibri" w:hAnsi="Calibri"/>
                <w:b w:val="false"/>
                <w:bCs w:val="false"/>
                <w:sz w:val="20"/>
                <w:szCs w:val="20"/>
              </w:rPr>
              <w:t xml:space="preserve">Known method limit: secondary chemistry is invisible to station-observational attribution</w:t>
            </w:r>
          </w:p>
        </w:tc>
      </w:tr>
    </w:tbl>
    <w:p>
      <w:pPr>
        <w:spacing w:after="220" w:before="60"/>
      </w:pPr>
      <w:r>
        <w:rPr>
          <w:rFonts w:ascii="Calibri" w:cs="Calibri" w:eastAsia="Calibri" w:hAnsi="Calibri"/>
          <w:i/>
          <w:iCs/>
          <w:color w:val="595959"/>
          <w:sz w:val="18"/>
          <w:szCs w:val="18"/>
        </w:rPr>
        <w:t xml:space="preserve">Table 2. Delhi source shares, VAYU-NET event counts against the CAQM mass-share inventory. *Event-count shares for a single episode week are not directly commensurable with seasonal mass shares; the comparison is directional and the product says so on screen.</w:t>
      </w:r>
    </w:p>
    <w:p>
      <w:pPr>
        <w:pStyle w:val="Heading1"/>
        <w:spacing w:after="160" w:before="360"/>
      </w:pPr>
      <w:r>
        <w:rPr>
          <w:rFonts w:ascii="Cambria" w:cs="Cambria" w:eastAsia="Cambria" w:hAnsi="Cambria"/>
          <w:b/>
          <w:bCs/>
          <w:color w:val="1F3864"/>
          <w:sz w:val="30"/>
          <w:szCs w:val="30"/>
        </w:rPr>
        <w:t xml:space="preserve">6. Forecasting Method and Accuracy</w:t>
      </w:r>
    </w:p>
    <w:p>
      <w:pPr>
        <w:spacing w:after="140" w:line="300"/>
        <w:jc w:val="both"/>
      </w:pPr>
      <w:r>
        <w:rPr>
          <w:rFonts w:ascii="Calibri" w:cs="Calibri" w:eastAsia="Calibri" w:hAnsi="Calibri"/>
          <w:sz w:val="22"/>
          <w:szCs w:val="22"/>
        </w:rPr>
        <w:t xml:space="preserve">Station-level PM2.5 is forecast with gradient-boosted regression trees (LightGBM), one model per horizon at 6, 12, 24, 48 and 72 hours, trained across all stations with station and city as categorical features. Predictors are lagged concentrations at one to 168 hours, rolling means, lagged meteorology (wind speed and direction, temperature, humidity), hour of day, day of week and calendar flags. Evaluation uses a strict time-based split with the test period placed on the final 36 hours of the record, deliberately containing the most difficult event available, the New Year's Eve spike. Two baselines are reported: persistence (the value now, offered as the forecast) and seasonal-naive (the value at the same hour the previous day).</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000"/>
        <w:gridCol w:w="1700"/>
        <w:gridCol w:w="1500"/>
      </w:tblGrid>
      <w:tr>
        <w:trPr>
          <w:tblHeader/>
        </w:trPr>
        <w:tc>
          <w:tcPr>
            <w:tcW w:type="dxa" w:w="1300"/>
            <w:shd w:fill="DEEAF6" w:val="clear"/>
            <w:tcMar>
              <w:top w:type="dxa" w:w="60"/>
              <w:left w:type="dxa" w:w="100"/>
              <w:bottom w:type="dxa" w:w="60"/>
              <w:right w:type="dxa" w:w="100"/>
            </w:tcMar>
          </w:tcPr>
          <w:p>
            <w:r>
              <w:rPr>
                <w:rFonts w:ascii="Calibri" w:cs="Calibri" w:eastAsia="Calibri" w:hAnsi="Calibri"/>
                <w:b/>
                <w:bCs/>
                <w:sz w:val="20"/>
                <w:szCs w:val="20"/>
              </w:rPr>
              <w:t xml:space="preserve">Horizon</w:t>
            </w:r>
          </w:p>
        </w:tc>
        <w:tc>
          <w:tcPr>
            <w:tcW w:type="dxa" w:w="2200"/>
            <w:shd w:fill="DEEAF6" w:val="clear"/>
            <w:tcMar>
              <w:top w:type="dxa" w:w="60"/>
              <w:left w:type="dxa" w:w="100"/>
              <w:bottom w:type="dxa" w:w="60"/>
              <w:right w:type="dxa" w:w="100"/>
            </w:tcMar>
          </w:tcPr>
          <w:p>
            <w:r>
              <w:rPr>
                <w:rFonts w:ascii="Calibri" w:cs="Calibri" w:eastAsia="Calibri" w:hAnsi="Calibri"/>
                <w:b/>
                <w:bCs/>
                <w:sz w:val="20"/>
                <w:szCs w:val="20"/>
              </w:rPr>
              <w:t xml:space="preserve">Model RMSE (µg/m³)</w:t>
            </w:r>
          </w:p>
        </w:tc>
        <w:tc>
          <w:tcPr>
            <w:tcW w:type="dxa" w:w="2000"/>
            <w:shd w:fill="DEEAF6" w:val="clear"/>
            <w:tcMar>
              <w:top w:type="dxa" w:w="60"/>
              <w:left w:type="dxa" w:w="100"/>
              <w:bottom w:type="dxa" w:w="60"/>
              <w:right w:type="dxa" w:w="100"/>
            </w:tcMar>
          </w:tcPr>
          <w:p>
            <w:r>
              <w:rPr>
                <w:rFonts w:ascii="Calibri" w:cs="Calibri" w:eastAsia="Calibri" w:hAnsi="Calibri"/>
                <w:b/>
                <w:bCs/>
                <w:sz w:val="20"/>
                <w:szCs w:val="20"/>
              </w:rPr>
              <w:t xml:space="preserve">Persistence RMSE</w:t>
            </w:r>
          </w:p>
        </w:tc>
        <w:tc>
          <w:tcPr>
            <w:tcW w:type="dxa" w:w="1700"/>
            <w:shd w:fill="DEEAF6" w:val="clear"/>
            <w:tcMar>
              <w:top w:type="dxa" w:w="60"/>
              <w:left w:type="dxa" w:w="100"/>
              <w:bottom w:type="dxa" w:w="60"/>
              <w:right w:type="dxa" w:w="100"/>
            </w:tcMar>
          </w:tcPr>
          <w:p>
            <w:r>
              <w:rPr>
                <w:rFonts w:ascii="Calibri" w:cs="Calibri" w:eastAsia="Calibri" w:hAnsi="Calibri"/>
                <w:b/>
                <w:bCs/>
                <w:sz w:val="20"/>
                <w:szCs w:val="20"/>
              </w:rPr>
              <w:t xml:space="preserve">Improvement</w:t>
            </w:r>
          </w:p>
        </w:tc>
        <w:tc>
          <w:tcPr>
            <w:tcW w:type="dxa" w:w="1500"/>
            <w:shd w:fill="DEEAF6" w:val="clear"/>
            <w:tcMar>
              <w:top w:type="dxa" w:w="60"/>
              <w:left w:type="dxa" w:w="100"/>
              <w:bottom w:type="dxa" w:w="60"/>
              <w:right w:type="dxa" w:w="100"/>
            </w:tcMar>
          </w:tcPr>
          <w:p>
            <w:r>
              <w:rPr>
                <w:rFonts w:ascii="Calibri" w:cs="Calibri" w:eastAsia="Calibri" w:hAnsi="Calibri"/>
                <w:b/>
                <w:bCs/>
                <w:sz w:val="20"/>
                <w:szCs w:val="20"/>
              </w:rPr>
              <w:t xml:space="preserve">Test rows</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6 h</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68.0</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105.8</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35.7%</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2,020</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12 h</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61.4</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119.1</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48.5%</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1,555</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24 h</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47.1</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81.8</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42.4%</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819</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48 h</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model trained</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0</w:t>
            </w:r>
          </w:p>
        </w:tc>
      </w:tr>
      <w:tr>
        <w:tc>
          <w:tcPr>
            <w:tcW w:type="dxa" w:w="1300"/>
            <w:tcMar>
              <w:top w:type="dxa" w:w="60"/>
              <w:left w:type="dxa" w:w="100"/>
              <w:bottom w:type="dxa" w:w="60"/>
              <w:right w:type="dxa" w:w="100"/>
            </w:tcMar>
          </w:tcPr>
          <w:p>
            <w:r>
              <w:rPr>
                <w:rFonts w:ascii="Calibri" w:cs="Calibri" w:eastAsia="Calibri" w:hAnsi="Calibri"/>
                <w:b w:val="false"/>
                <w:bCs w:val="false"/>
                <w:sz w:val="20"/>
                <w:szCs w:val="20"/>
              </w:rPr>
              <w:t xml:space="preserve">72 h</w:t>
            </w:r>
          </w:p>
        </w:tc>
        <w:tc>
          <w:tcPr>
            <w:tcW w:type="dxa" w:w="2200"/>
            <w:tcMar>
              <w:top w:type="dxa" w:w="60"/>
              <w:left w:type="dxa" w:w="100"/>
              <w:bottom w:type="dxa" w:w="60"/>
              <w:right w:type="dxa" w:w="100"/>
            </w:tcMar>
          </w:tcPr>
          <w:p>
            <w:r>
              <w:rPr>
                <w:rFonts w:ascii="Calibri" w:cs="Calibri" w:eastAsia="Calibri" w:hAnsi="Calibri"/>
                <w:b w:val="false"/>
                <w:bCs w:val="false"/>
                <w:sz w:val="20"/>
                <w:szCs w:val="20"/>
              </w:rPr>
              <w:t xml:space="preserve">model trained</w:t>
            </w:r>
          </w:p>
        </w:tc>
        <w:tc>
          <w:tcPr>
            <w:tcW w:type="dxa" w:w="2000"/>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1700"/>
            <w:tcMar>
              <w:top w:type="dxa" w:w="60"/>
              <w:left w:type="dxa" w:w="100"/>
              <w:bottom w:type="dxa" w:w="60"/>
              <w:right w:type="dxa" w:w="100"/>
            </w:tcMar>
          </w:tcPr>
          <w:p>
            <w:r>
              <w:rPr>
                <w:rFonts w:ascii="Calibri" w:cs="Calibri" w:eastAsia="Calibri" w:hAnsi="Calibri"/>
                <w:b w:val="false"/>
                <w:bCs w:val="false"/>
                <w:sz w:val="20"/>
                <w:szCs w:val="20"/>
              </w:rPr>
              <w:t xml:space="preserve">—</w:t>
            </w:r>
          </w:p>
        </w:tc>
        <w:tc>
          <w:tcPr>
            <w:tcW w:type="dxa" w:w="1500"/>
            <w:tcMar>
              <w:top w:type="dxa" w:w="60"/>
              <w:left w:type="dxa" w:w="100"/>
              <w:bottom w:type="dxa" w:w="60"/>
              <w:right w:type="dxa" w:w="100"/>
            </w:tcMar>
          </w:tcPr>
          <w:p>
            <w:r>
              <w:rPr>
                <w:rFonts w:ascii="Calibri" w:cs="Calibri" w:eastAsia="Calibri" w:hAnsi="Calibri"/>
                <w:b w:val="false"/>
                <w:bCs w:val="false"/>
                <w:sz w:val="20"/>
                <w:szCs w:val="20"/>
              </w:rPr>
              <w:t xml:space="preserve">0</w:t>
            </w:r>
          </w:p>
        </w:tc>
      </w:tr>
    </w:tbl>
    <w:p>
      <w:pPr>
        <w:spacing w:after="220" w:before="60"/>
      </w:pPr>
      <w:r>
        <w:rPr>
          <w:rFonts w:ascii="Calibri" w:cs="Calibri" w:eastAsia="Calibri" w:hAnsi="Calibri"/>
          <w:i/>
          <w:iCs/>
          <w:color w:val="595959"/>
          <w:sz w:val="18"/>
          <w:szCs w:val="18"/>
        </w:rPr>
        <w:t xml:space="preserve">Table 3. Forecast accuracy on the held-out window, as re-computed independently on a clean continuous-integration machine. For the 48- and 72-hour horizons the one-week record leaves no honest test window; the platform displays a statement to that effect rather than an invented figure, and the models stand ready for validation as the live archive grows.</w:t>
      </w:r>
    </w:p>
    <w:p>
      <w:pPr>
        <w:spacing w:after="140" w:line="300"/>
        <w:jc w:val="both"/>
      </w:pPr>
      <w:r>
        <w:rPr>
          <w:rFonts w:ascii="Calibri" w:cs="Calibri" w:eastAsia="Calibri" w:hAnsi="Calibri"/>
          <w:sz w:val="22"/>
          <w:szCs w:val="22"/>
        </w:rPr>
        <w:t xml:space="preserve">Forecasts are interpolated to a one-kilometre display grid (3,107 cells across the three cities: 1,621 for Delhi, 785 for Mumbai, 701 for Bengaluru) by inverse-distance weighting. Cells further than eight kilometres from any station are masked rather than filled, so the map never asserts coverage the sensor network cannot support.</w:t>
      </w:r>
    </w:p>
    <w:p>
      <w:pPr>
        <w:pStyle w:val="Heading1"/>
        <w:spacing w:after="160" w:before="360"/>
      </w:pPr>
      <w:r>
        <w:rPr>
          <w:rFonts w:ascii="Cambria" w:cs="Cambria" w:eastAsia="Cambria" w:hAnsi="Cambria"/>
          <w:b/>
          <w:bCs/>
          <w:color w:val="1F3864"/>
          <w:sz w:val="30"/>
          <w:szCs w:val="30"/>
        </w:rPr>
        <w:t xml:space="preserve">7. Enforcement Intelligence</w:t>
      </w:r>
    </w:p>
    <w:p>
      <w:pPr>
        <w:spacing w:after="140" w:line="300"/>
        <w:jc w:val="both"/>
      </w:pPr>
      <w:r>
        <w:rPr>
          <w:rFonts w:ascii="Calibri" w:cs="Calibri" w:eastAsia="Calibri" w:hAnsi="Calibri"/>
          <w:sz w:val="22"/>
          <w:szCs w:val="22"/>
        </w:rPr>
        <w:t xml:space="preserve">For every ward-and-source combination with attributed events, a priority score is computed as the product of four factors: severity (mean event PM2.5 above the CPCB Moderate threshold, normalised), attribution confidence, persistence (a logarithmic function of how long the ward remained in an event state) and vulnerability (scaled by the ward's count of schools and hospitals). The top-ranked recommendations per city are stored with a fixed mapping from source category to legal basis: the Air (Prevention and Control of Pollution) Act 1981 sections 19(5) and 31A, the Construction and Demolition Waste Management Rules 2016, Graded Response Action Plan stage measures, and the Motor Vehicles Act 1988 section 190(2). No language model participates in the legal mapping.</w:t>
      </w:r>
    </w:p>
    <w:p>
      <w:pPr>
        <w:spacing w:after="140" w:line="300"/>
        <w:jc w:val="both"/>
      </w:pPr>
      <w:r>
        <w:rPr>
          <w:rFonts w:ascii="Calibri" w:cs="Calibri" w:eastAsia="Calibri" w:hAnsi="Calibri"/>
          <w:sz w:val="22"/>
          <w:szCs w:val="22"/>
        </w:rPr>
        <w:t xml:space="preserve">Each recommendation generates a one-page evidence document containing the ward's hourly PM2.5 trace, a pollution rose relating concentration to wind direction, the evidence sentences from the attribution engine, the count of schools and hospitals at risk, the recommended action and the statutory reference, together with a printed caution that attribution is an evidence-weighted likelihood and not legal proof. In the December episode the highest-priority recommendation is the I.P. Extension ward of Delhi (priority 8.12): twelve burning events at a mean PM2.5 of 523 µg/m³, nine schools and one hospital in the ward, recommended for anti-burning patrols in evening and night hours.</w:t>
      </w:r>
    </w:p>
    <w:p>
      <w:pPr>
        <w:pStyle w:val="Heading1"/>
        <w:spacing w:after="160" w:before="360"/>
      </w:pPr>
      <w:r>
        <w:rPr>
          <w:rFonts w:ascii="Cambria" w:cs="Cambria" w:eastAsia="Cambria" w:hAnsi="Cambria"/>
          <w:b/>
          <w:bCs/>
          <w:color w:val="1F3864"/>
          <w:sz w:val="30"/>
          <w:szCs w:val="30"/>
        </w:rPr>
        <w:t xml:space="preserve">8. Citizen Advisory System</w:t>
      </w:r>
    </w:p>
    <w:p>
      <w:pPr>
        <w:spacing w:after="140" w:line="300"/>
        <w:jc w:val="both"/>
      </w:pPr>
      <w:r>
        <w:rPr>
          <w:rFonts w:ascii="Calibri" w:cs="Calibri" w:eastAsia="Calibri" w:hAnsi="Calibri"/>
          <w:sz w:val="22"/>
          <w:szCs w:val="22"/>
        </w:rPr>
        <w:t xml:space="preserve">The advisory subsystem treats health language as safety-critical. The guidance text for each air quality band is hard-coded from the CPCB National Air Quality Index health statements and cannot be altered by any model. Advisories are differentiated for four groups: schools, outdoor workers, the elderly and the general public. Where a language other than English is requested, a language model translates the completed English advisory into Hindi, Marathi or Kannada; the output is validated for length, for preservation of the ward name and for the absence of invented figures, and any failure causes the system to fall back to the English template. Expenditure on the model is metered by a hard budget guard with conservative pricing that halts calls at a fixed cap. The citizen interface offers ward search across all 557 wards, shows the ward's facility counts, and speaks the advisory aloud through browser speech synthesis, demonstrating the voice channel contemplated for IVR and public displays.</w:t>
      </w:r>
    </w:p>
    <w:p>
      <w:pPr>
        <w:pStyle w:val="Heading1"/>
        <w:spacing w:after="160" w:before="360"/>
      </w:pPr>
      <w:r>
        <w:rPr>
          <w:rFonts w:ascii="Cambria" w:cs="Cambria" w:eastAsia="Cambria" w:hAnsi="Cambria"/>
          <w:b/>
          <w:bCs/>
          <w:color w:val="1F3864"/>
          <w:sz w:val="30"/>
          <w:szCs w:val="30"/>
        </w:rPr>
        <w:t xml:space="preserve">9. Live Operation and Automation</w:t>
      </w:r>
    </w:p>
    <w:p>
      <w:pPr>
        <w:spacing w:after="140" w:line="300"/>
        <w:jc w:val="both"/>
      </w:pPr>
      <w:r>
        <w:rPr>
          <w:rFonts w:ascii="Calibri" w:cs="Calibri" w:eastAsia="Calibri" w:hAnsi="Calibri"/>
          <w:sz w:val="22"/>
          <w:szCs w:val="22"/>
        </w:rPr>
        <w:t xml:space="preserve">The platform maintains itself. A scheduled GitHub Actions workflow executes every six hours: it re-fetches the archival CPCB record, collects the current snapshot from the data.gov.in live feed, reruns the full pipeline (backbone build, vulnerability join, forecast training, attribution, enforcement ranking, export), and commits the refreshed artefacts. The hosting services redeploy automatically on commit, so the deployed application updates with no human in the loop. The run history is public and forms part of the project's evidence.</w:t>
      </w:r>
    </w:p>
    <w:p>
      <w:pPr>
        <w:spacing w:after="140" w:line="300"/>
        <w:jc w:val="both"/>
      </w:pPr>
      <w:r>
        <w:rPr>
          <w:rFonts w:ascii="Calibri" w:cs="Calibri" w:eastAsia="Calibri" w:hAnsi="Calibri"/>
          <w:sz w:val="22"/>
          <w:szCs w:val="22"/>
        </w:rPr>
        <w:t xml:space="preserve">Two properties of this automation deserve record. The first is graceful degradation. The government API initially answered the workflow's requests with gateway errors while accepting identical requests from an ordinary browser; the live fetch is therefore engineered to retry with backoff and to fail without consequence for the rest of the pipeline, and the interface states plainly when the live feed is awaiting data. The second is reproducibility. The continuous-integration machine starts from nothing on every run, downloads all inputs from their public sources, and arrives at the same figures reported here: the same 360,487 readings, the same 522 geocoded stations, the same forecast improvement over baseline. A reviewer does not need to trust this report; the logs of an independent machine computing the same numbers are public.</w:t>
      </w:r>
    </w:p>
    <w:p>
      <w:pPr>
        <w:spacing w:after="140" w:line="300"/>
        <w:jc w:val="both"/>
      </w:pPr>
      <w:r>
        <w:rPr>
          <w:rFonts w:ascii="Calibri" w:cs="Calibri" w:eastAsia="Calibri" w:hAnsi="Calibri"/>
          <w:sz w:val="22"/>
          <w:szCs w:val="22"/>
        </w:rPr>
        <w:t xml:space="preserve">Live mode and episode mode are joined by an explicit contract displayed in the interface. Severity detection requires no history, so current hotspots are shown from the first snapshot onward; at the time of writing the feed's first collection showed several Delhi stations in the Very Poor band (Bawana at AQI 398, Shadipur at 351, Anand Vihar at 347). Attribution and forecasting require behavioural history, and the interface counts the accumulating days (seven required) until those functions unlock on live data. The December episode remains permanently available as the fully analysed demonstration of the complete chain.</w:t>
      </w:r>
    </w:p>
    <w:p>
      <w:pPr>
        <w:pStyle w:val="Heading1"/>
        <w:spacing w:after="160" w:before="360"/>
      </w:pPr>
      <w:r>
        <w:rPr>
          <w:rFonts w:ascii="Cambria" w:cs="Cambria" w:eastAsia="Cambria" w:hAnsi="Cambria"/>
          <w:b/>
          <w:bCs/>
          <w:color w:val="1F3864"/>
          <w:sz w:val="30"/>
          <w:szCs w:val="30"/>
        </w:rPr>
        <w:t xml:space="preserve">10. Measured End-to-End Performance</w:t>
      </w:r>
    </w:p>
    <w:p>
      <w:pPr>
        <w:spacing w:after="140" w:line="300"/>
        <w:jc w:val="both"/>
      </w:pPr>
      <w:r>
        <w:rPr>
          <w:rFonts w:ascii="Calibri" w:cs="Calibri" w:eastAsia="Calibri" w:hAnsi="Calibri"/>
          <w:sz w:val="22"/>
          <w:szCs w:val="22"/>
        </w:rPr>
        <w:t xml:space="preserve">The replay facility executes the entire agent chain on the New Year's Eve window of the episode against the production database and returns a timed log. On the deployed infrastructure the measured sequence is: event detection at 0.28 seconds, attribution of all events at 0.41 seconds, forecasts for 72 stations at 0.96 seconds, ranked enforcement recommendations at 1.08 seconds, and citizen advisories at 1.45 seconds, for a total of 1.46 seconds from signal to dispatched recommendation. The comparison figure, drawn from the CAG's finding and from the ordinary tempo of inter-agency coordination, is measured in days. This ratio, rather than any single model metric, is the platform's central claim: the response time of the intervention loop is reduced by roughly five orders of magnitude.</w:t>
      </w:r>
    </w:p>
    <w:p>
      <w:pPr>
        <w:pStyle w:val="Heading1"/>
        <w:spacing w:after="160" w:before="360"/>
      </w:pPr>
      <w:r>
        <w:rPr>
          <w:rFonts w:ascii="Cambria" w:cs="Cambria" w:eastAsia="Cambria" w:hAnsi="Cambria"/>
          <w:b/>
          <w:bCs/>
          <w:color w:val="1F3864"/>
          <w:sz w:val="30"/>
          <w:szCs w:val="30"/>
        </w:rPr>
        <w:t xml:space="preserve">11. Deployment</w:t>
      </w:r>
    </w:p>
    <w:p>
      <w:pPr>
        <w:spacing w:after="140" w:line="300"/>
        <w:jc w:val="both"/>
      </w:pPr>
      <w:r>
        <w:rPr>
          <w:rFonts w:ascii="Calibri" w:cs="Calibri" w:eastAsia="Calibri" w:hAnsi="Calibri"/>
          <w:sz w:val="22"/>
          <w:szCs w:val="22"/>
        </w:rPr>
        <w:t xml:space="preserve">The front end is served by Vercel and the API by Railway, both wired to the repository for automatic deployment. The front end additionally carries a bundled data snapshot and functions fully without the API, a deliberate safeguard for demonstration conditions. The API serves station and ward data, events, actions, evidence documents, advisories, evaluation metrics, the audit log and the replay runner. Operating cost is modest, of the order of a few thousand rupees per city per month on entry-level hosting, since the platform re-uses the capital already sunk in the public monitoring network. Onboarding a fourth city requires one ward-boundary file and one configuration block; every data source used is national in coverage.</w:t>
      </w:r>
    </w:p>
    <w:p>
      <w:pPr>
        <w:pStyle w:val="Heading1"/>
        <w:spacing w:after="160" w:before="360"/>
      </w:pPr>
      <w:r>
        <w:rPr>
          <w:rFonts w:ascii="Cambria" w:cs="Cambria" w:eastAsia="Cambria" w:hAnsi="Cambria"/>
          <w:b/>
          <w:bCs/>
          <w:color w:val="1F3864"/>
          <w:sz w:val="30"/>
          <w:szCs w:val="30"/>
        </w:rPr>
        <w:t xml:space="preserve">12. Limitations</w:t>
      </w:r>
    </w:p>
    <w:p>
      <w:pPr>
        <w:spacing w:after="140" w:line="300"/>
        <w:jc w:val="both"/>
      </w:pPr>
      <w:r>
        <w:rPr>
          <w:rFonts w:ascii="Calibri" w:cs="Calibri" w:eastAsia="Calibri" w:hAnsi="Calibri"/>
          <w:sz w:val="22"/>
          <w:szCs w:val="22"/>
        </w:rPr>
        <w:t xml:space="preserve">The limitations below are stated in the product as well as in this report.</w:t>
      </w:r>
    </w:p>
    <w:p>
      <w:pPr>
        <w:pStyle w:val="ListParagraph"/>
        <w:numPr>
          <w:ilvl w:val="0"/>
          <w:numId w:val="2"/>
        </w:numPr>
        <w:spacing w:after="80" w:line="290"/>
        <w:jc w:val="both"/>
      </w:pPr>
      <w:r>
        <w:rPr>
          <w:rFonts w:ascii="Calibri" w:cs="Calibri" w:eastAsia="Calibri" w:hAnsi="Calibri"/>
          <w:sz w:val="22"/>
          <w:szCs w:val="22"/>
        </w:rPr>
        <w:t xml:space="preserve">The fifteen-minute archival record available through the public mirror covers a single week; longer-horizon forecast validation and seasonal analysis await the accumulation of the live archive, which the automation performs on its own.</w:t>
      </w:r>
    </w:p>
    <w:p>
      <w:pPr>
        <w:pStyle w:val="ListParagraph"/>
        <w:numPr>
          <w:ilvl w:val="0"/>
          <w:numId w:val="2"/>
        </w:numPr>
        <w:spacing w:after="80" w:line="290"/>
        <w:jc w:val="both"/>
      </w:pPr>
      <w:r>
        <w:rPr>
          <w:rFonts w:ascii="Calibri" w:cs="Calibri" w:eastAsia="Calibri" w:hAnsi="Calibri"/>
          <w:sz w:val="22"/>
          <w:szCs w:val="22"/>
        </w:rPr>
        <w:t xml:space="preserve">Attribution shares are event counts, not mass contributions, and are therefore only directionally comparable with inventory studies; secondary aerosol formation is chemically invisible to a station-observational method, and the secondary share is correspondingly understated.</w:t>
      </w:r>
    </w:p>
    <w:p>
      <w:pPr>
        <w:pStyle w:val="ListParagraph"/>
        <w:numPr>
          <w:ilvl w:val="0"/>
          <w:numId w:val="2"/>
        </w:numPr>
        <w:spacing w:after="80" w:line="290"/>
        <w:jc w:val="both"/>
      </w:pPr>
      <w:r>
        <w:rPr>
          <w:rFonts w:ascii="Calibri" w:cs="Calibri" w:eastAsia="Calibri" w:hAnsi="Calibri"/>
          <w:sz w:val="22"/>
          <w:szCs w:val="22"/>
        </w:rPr>
        <w:t xml:space="preserve">Dispersion is treated statistically through wind-sector analysis rather than through a physics-based transport model; coupling to such a model is future work, not a present capability.</w:t>
      </w:r>
    </w:p>
    <w:p>
      <w:pPr>
        <w:pStyle w:val="ListParagraph"/>
        <w:numPr>
          <w:ilvl w:val="0"/>
          <w:numId w:val="2"/>
        </w:numPr>
        <w:spacing w:after="80" w:line="290"/>
        <w:jc w:val="both"/>
      </w:pPr>
      <w:r>
        <w:rPr>
          <w:rFonts w:ascii="Calibri" w:cs="Calibri" w:eastAsia="Calibri" w:hAnsi="Calibri"/>
          <w:sz w:val="22"/>
          <w:szCs w:val="22"/>
        </w:rPr>
        <w:t xml:space="preserve">No open real-time mobility feed could be identified for the covered cities; traffic evidence rests on gas signatures and diurnal structure rather than measured flows.</w:t>
      </w:r>
    </w:p>
    <w:p>
      <w:pPr>
        <w:pStyle w:val="ListParagraph"/>
        <w:numPr>
          <w:ilvl w:val="0"/>
          <w:numId w:val="2"/>
        </w:numPr>
        <w:spacing w:after="80" w:line="290"/>
        <w:jc w:val="both"/>
      </w:pPr>
      <w:r>
        <w:rPr>
          <w:rFonts w:ascii="Calibri" w:cs="Calibri" w:eastAsia="Calibri" w:hAnsi="Calibri"/>
          <w:sz w:val="22"/>
          <w:szCs w:val="22"/>
        </w:rPr>
        <w:t xml:space="preserve">OpenStreetMap industrial and construction tagging in Bengaluru is too sparse to support vulnerability weighting there; weighting in that city rests on schools and hospitals alone.</w:t>
      </w:r>
    </w:p>
    <w:p>
      <w:pPr>
        <w:pStyle w:val="ListParagraph"/>
        <w:numPr>
          <w:ilvl w:val="0"/>
          <w:numId w:val="2"/>
        </w:numPr>
        <w:spacing w:after="80" w:line="290"/>
        <w:jc w:val="both"/>
      </w:pPr>
      <w:r>
        <w:rPr>
          <w:rFonts w:ascii="Calibri" w:cs="Calibri" w:eastAsia="Calibri" w:hAnsi="Calibri"/>
          <w:sz w:val="22"/>
          <w:szCs w:val="22"/>
        </w:rPr>
        <w:t xml:space="preserve">Machine translation of advisories depends on the language-model key configured at the API host; absent a valid key the system serves the validated English template, by design.</w:t>
      </w:r>
    </w:p>
    <w:p>
      <w:pPr>
        <w:pStyle w:val="Heading1"/>
        <w:spacing w:after="160" w:before="360"/>
      </w:pPr>
      <w:r>
        <w:rPr>
          <w:rFonts w:ascii="Cambria" w:cs="Cambria" w:eastAsia="Cambria" w:hAnsi="Cambria"/>
          <w:b/>
          <w:bCs/>
          <w:color w:val="1F3864"/>
          <w:sz w:val="30"/>
          <w:szCs w:val="30"/>
        </w:rPr>
        <w:t xml:space="preserve">13. Future Work</w:t>
      </w:r>
    </w:p>
    <w:p>
      <w:pPr>
        <w:spacing w:after="140" w:line="300"/>
        <w:jc w:val="both"/>
      </w:pPr>
      <w:r>
        <w:rPr>
          <w:rFonts w:ascii="Calibri" w:cs="Calibri" w:eastAsia="Calibri" w:hAnsi="Calibri"/>
          <w:sz w:val="22"/>
          <w:szCs w:val="22"/>
        </w:rPr>
        <w:t xml:space="preserve">Four extensions follow naturally from the present state. First, ingestion of the full multi-year fifteen-minute archive, which would extend forecast validation to 72 hours and expose seasonal attribution patterns. Second, coupling of the wind-sector analysis to a back-trajectory or full dispersion model, upgrading regional transport attribution from statistical to physical. Third, delivery of the advisory channel over telephony (IVR) and public displays, for which the content pipeline already exists. Fourth, a field trial in which pollution-control officers rate the enforcement recommendations, closing the loop the problem statement describes as expert evaluation of recommendation quality.</w:t>
      </w:r>
    </w:p>
    <w:p>
      <w:pPr>
        <w:pStyle w:val="Heading1"/>
        <w:spacing w:after="160" w:before="360"/>
      </w:pPr>
      <w:r>
        <w:rPr>
          <w:rFonts w:ascii="Cambria" w:cs="Cambria" w:eastAsia="Cambria" w:hAnsi="Cambria"/>
          <w:b/>
          <w:bCs/>
          <w:color w:val="1F3864"/>
          <w:sz w:val="30"/>
          <w:szCs w:val="30"/>
        </w:rPr>
        <w:t xml:space="preserve">14. Conclusion</w:t>
      </w:r>
    </w:p>
    <w:p>
      <w:pPr>
        <w:spacing w:after="140" w:line="300"/>
        <w:jc w:val="both"/>
      </w:pPr>
      <w:r>
        <w:rPr>
          <w:rFonts w:ascii="Calibri" w:cs="Calibri" w:eastAsia="Calibri" w:hAnsi="Calibri"/>
          <w:sz w:val="22"/>
          <w:szCs w:val="22"/>
        </w:rPr>
        <w:t xml:space="preserve">India's air quality problem is not, at the margin, a measurement problem. The readings exist, at fine resolution, in public. What has been missing is the machinery that turns a reading into a defensible act: an attribution a court can examine, a forecast a commissioner can schedule against, an inspection order an officer can carry, an advisory a resident can hear in her own language. VAYU-NET demonstrates that this machinery can be assembled from open data and open-source components, that it can run unattended and keep itself current, that its claims can be audited down to the database row, and that it can traverse the distance from signal to recommended intervention in under two seconds. The system is deployed, its pipeline reproduces on a clean machine, and its evidence is public.</w:t>
      </w:r>
    </w:p>
    <w:p>
      <w:pPr>
        <w:pStyle w:val="Heading1"/>
        <w:spacing w:after="160" w:before="360"/>
      </w:pPr>
      <w:r>
        <w:rPr>
          <w:rFonts w:ascii="Cambria" w:cs="Cambria" w:eastAsia="Cambria" w:hAnsi="Cambria"/>
          <w:b/>
          <w:bCs/>
          <w:color w:val="1F3864"/>
          <w:sz w:val="30"/>
          <w:szCs w:val="30"/>
        </w:rPr>
        <w:t xml:space="preserve">Appendix A.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EEAF6" w:val="clear"/>
            <w:tcMar>
              <w:top w:type="dxa" w:w="60"/>
              <w:left w:type="dxa" w:w="100"/>
              <w:bottom w:type="dxa" w:w="60"/>
              <w:right w:type="dxa" w:w="100"/>
            </w:tcMar>
          </w:tcPr>
          <w:p>
            <w:r>
              <w:rPr>
                <w:rFonts w:ascii="Calibri" w:cs="Calibri" w:eastAsia="Calibri" w:hAnsi="Calibri"/>
                <w:b/>
                <w:bCs/>
                <w:sz w:val="20"/>
                <w:szCs w:val="20"/>
              </w:rPr>
              <w:t xml:space="preserve">Resource</w:t>
            </w:r>
          </w:p>
        </w:tc>
        <w:tc>
          <w:tcPr>
            <w:tcW w:type="dxa" w:w="6160"/>
            <w:shd w:fill="DEEAF6" w:val="clear"/>
            <w:tcMar>
              <w:top w:type="dxa" w:w="60"/>
              <w:left w:type="dxa" w:w="100"/>
              <w:bottom w:type="dxa" w:w="60"/>
              <w:right w:type="dxa" w:w="100"/>
            </w:tcMar>
          </w:tcPr>
          <w:p>
            <w:r>
              <w:rPr>
                <w:rFonts w:ascii="Calibri" w:cs="Calibri" w:eastAsia="Calibri" w:hAnsi="Calibri"/>
                <w:b/>
                <w:bCs/>
                <w:sz w:val="20"/>
                <w:szCs w:val="20"/>
              </w:rPr>
              <w:t xml:space="preserve">Location</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Deployed application</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https://vayu-net-ten.vercel.app</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API service</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https://assignment-production-816f.up.railway.app</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Source code</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https://github.com/divyaman-pal/Assignment (Urban Air Hack)</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Automation history</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Repository Actions tab (workflow: Refresh air quality data)</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Ground data</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github.com/Vonter/india-cpcb-aqi (ODbL)</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Ward boundaries</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github.com/datameet/Municipal_Spatial_Data (CC-BY)</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Fire detections</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NASA FIRMS, VIIRS S-NPP</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Live feed</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data.gov.in resource 3b01bcb8 (CPCB real-time AQI)</w:t>
            </w:r>
          </w:p>
        </w:tc>
      </w:tr>
      <w:tr>
        <w:tc>
          <w:tcPr>
            <w:tcW w:type="dxa" w:w="3200"/>
            <w:tcMar>
              <w:top w:type="dxa" w:w="60"/>
              <w:left w:type="dxa" w:w="100"/>
              <w:bottom w:type="dxa" w:w="60"/>
              <w:right w:type="dxa" w:w="100"/>
            </w:tcMar>
          </w:tcPr>
          <w:p>
            <w:r>
              <w:rPr>
                <w:rFonts w:ascii="Calibri" w:cs="Calibri" w:eastAsia="Calibri" w:hAnsi="Calibri"/>
                <w:b w:val="false"/>
                <w:bCs w:val="false"/>
                <w:sz w:val="20"/>
                <w:szCs w:val="20"/>
              </w:rPr>
              <w:t xml:space="preserve">Facilities and land use</w:t>
            </w:r>
          </w:p>
        </w:tc>
        <w:tc>
          <w:tcPr>
            <w:tcW w:type="dxa" w:w="6160"/>
            <w:tcMar>
              <w:top w:type="dxa" w:w="60"/>
              <w:left w:type="dxa" w:w="100"/>
              <w:bottom w:type="dxa" w:w="60"/>
              <w:right w:type="dxa" w:w="100"/>
            </w:tcMar>
          </w:tcPr>
          <w:p>
            <w:r>
              <w:rPr>
                <w:rFonts w:ascii="Calibri" w:cs="Calibri" w:eastAsia="Calibri" w:hAnsi="Calibri"/>
                <w:b w:val="false"/>
                <w:bCs w:val="false"/>
                <w:sz w:val="20"/>
                <w:szCs w:val="20"/>
              </w:rPr>
              <w:t xml:space="preserve">OpenStreetMap contributors</w:t>
            </w:r>
          </w:p>
        </w:tc>
      </w:tr>
    </w:tbl>
    <w:p>
      <w:pPr>
        <w:spacing w:after="220" w:before="60"/>
      </w:pPr>
      <w:r>
        <w:rPr>
          <w:rFonts w:ascii="Calibri" w:cs="Calibri" w:eastAsia="Calibri" w:hAnsi="Calibri"/>
          <w:i/>
          <w:iCs/>
          <w:color w:val="595959"/>
          <w:sz w:val="18"/>
          <w:szCs w:val="18"/>
        </w:rPr>
        <w:t xml:space="preserve">Table 4. Deployment endpoints and data sources.</w:t>
      </w:r>
    </w:p>
    <w:sectPr>
      <w:pgSz w:w="11906" w:h="16838" w:orient="portrait"/>
      <w:pgMar w:top="1300" w:right="1420" w:bottom="1300" w:left="14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2026-07-22T16:58:08.710Z</dcterms:created>
  <dcterms:modified xsi:type="dcterms:W3CDTF">2026-07-22T16:58:08.711Z</dcterms:modified>
</cp:coreProperties>
</file>

<file path=docProps/custom.xml><?xml version="1.0" encoding="utf-8"?>
<Properties xmlns="http://schemas.openxmlformats.org/officeDocument/2006/custom-properties" xmlns:vt="http://schemas.openxmlformats.org/officeDocument/2006/docPropsVTypes"/>
</file>