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7"/>
        <w:tblW w:w="10504" w:type="dxa"/>
        <w:tblLook w:val="04A0" w:firstRow="1" w:lastRow="0" w:firstColumn="1" w:lastColumn="0" w:noHBand="0" w:noVBand="1"/>
      </w:tblPr>
      <w:tblGrid>
        <w:gridCol w:w="2625"/>
        <w:gridCol w:w="2626"/>
        <w:gridCol w:w="2626"/>
        <w:gridCol w:w="2627"/>
      </w:tblGrid>
      <w:tr w:rsidR="005D36B4" w14:paraId="6913905A" w14:textId="77777777" w:rsidTr="004A132A">
        <w:trPr>
          <w:trHeight w:val="625"/>
        </w:trPr>
        <w:tc>
          <w:tcPr>
            <w:tcW w:w="2625" w:type="dxa"/>
          </w:tcPr>
          <w:p w14:paraId="6384E165" w14:textId="77777777" w:rsidR="005D36B4" w:rsidRDefault="005D36B4" w:rsidP="004A132A"/>
        </w:tc>
        <w:tc>
          <w:tcPr>
            <w:tcW w:w="2626" w:type="dxa"/>
          </w:tcPr>
          <w:p w14:paraId="649E1F03" w14:textId="6CE9023C" w:rsidR="005D36B4" w:rsidRDefault="005D36B4" w:rsidP="004A132A">
            <w:r>
              <w:rPr>
                <w:rFonts w:ascii="Segoe UI" w:hAnsi="Segoe UI" w:cs="Segoe UI"/>
                <w:b/>
                <w:bCs/>
                <w:color w:val="171717"/>
                <w:sz w:val="21"/>
                <w:szCs w:val="21"/>
                <w:shd w:val="clear" w:color="auto" w:fill="FFFFFF"/>
              </w:rPr>
              <w:t>SQL Server on Azure VMs</w:t>
            </w:r>
          </w:p>
        </w:tc>
        <w:tc>
          <w:tcPr>
            <w:tcW w:w="2626" w:type="dxa"/>
          </w:tcPr>
          <w:p w14:paraId="2118970D" w14:textId="4D2216AB" w:rsidR="005D36B4" w:rsidRDefault="005D36B4" w:rsidP="004A132A">
            <w:r>
              <w:rPr>
                <w:rFonts w:ascii="Segoe UI" w:hAnsi="Segoe UI" w:cs="Segoe UI"/>
                <w:b/>
                <w:bCs/>
                <w:color w:val="171717"/>
                <w:sz w:val="21"/>
                <w:szCs w:val="21"/>
                <w:shd w:val="clear" w:color="auto" w:fill="FFFFFF"/>
              </w:rPr>
              <w:t>Azure SQL Managed Instance</w:t>
            </w:r>
          </w:p>
        </w:tc>
        <w:tc>
          <w:tcPr>
            <w:tcW w:w="2627" w:type="dxa"/>
          </w:tcPr>
          <w:p w14:paraId="476782D9" w14:textId="5D1E26FE" w:rsidR="005D36B4" w:rsidRDefault="005D36B4" w:rsidP="004A132A">
            <w:r>
              <w:rPr>
                <w:rFonts w:ascii="Segoe UI" w:hAnsi="Segoe UI" w:cs="Segoe UI"/>
                <w:b/>
                <w:bCs/>
                <w:color w:val="171717"/>
                <w:sz w:val="21"/>
                <w:szCs w:val="21"/>
                <w:shd w:val="clear" w:color="auto" w:fill="FFFFFF"/>
              </w:rPr>
              <w:t>Azure SQL Database</w:t>
            </w:r>
          </w:p>
        </w:tc>
      </w:tr>
      <w:tr w:rsidR="005D36B4" w14:paraId="5ADFACEC" w14:textId="77777777" w:rsidTr="004A132A">
        <w:trPr>
          <w:trHeight w:val="312"/>
        </w:trPr>
        <w:tc>
          <w:tcPr>
            <w:tcW w:w="2625" w:type="dxa"/>
          </w:tcPr>
          <w:p w14:paraId="3808A95F" w14:textId="01F2BA3E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Type of cloud service</w:t>
            </w:r>
          </w:p>
        </w:tc>
        <w:tc>
          <w:tcPr>
            <w:tcW w:w="2626" w:type="dxa"/>
          </w:tcPr>
          <w:p w14:paraId="7783C528" w14:textId="3DA1CC21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IaaS</w:t>
            </w:r>
          </w:p>
        </w:tc>
        <w:tc>
          <w:tcPr>
            <w:tcW w:w="2626" w:type="dxa"/>
          </w:tcPr>
          <w:p w14:paraId="152F99A1" w14:textId="6CBDC775" w:rsidR="005D36B4" w:rsidRDefault="005D36B4" w:rsidP="004A132A">
            <w:r>
              <w:t>PaaS</w:t>
            </w:r>
          </w:p>
        </w:tc>
        <w:tc>
          <w:tcPr>
            <w:tcW w:w="2627" w:type="dxa"/>
          </w:tcPr>
          <w:p w14:paraId="5E255FF9" w14:textId="396D3315" w:rsidR="005D36B4" w:rsidRDefault="005D36B4" w:rsidP="004A132A">
            <w:proofErr w:type="spellStart"/>
            <w:r>
              <w:t>Paas</w:t>
            </w:r>
            <w:proofErr w:type="spellEnd"/>
          </w:p>
        </w:tc>
      </w:tr>
      <w:tr w:rsidR="005D36B4" w14:paraId="32C1C84E" w14:textId="77777777" w:rsidTr="004A132A">
        <w:trPr>
          <w:trHeight w:val="2741"/>
        </w:trPr>
        <w:tc>
          <w:tcPr>
            <w:tcW w:w="2625" w:type="dxa"/>
          </w:tcPr>
          <w:p w14:paraId="7422F93A" w14:textId="3B9245D1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SQL Server compatibility</w:t>
            </w:r>
          </w:p>
        </w:tc>
        <w:tc>
          <w:tcPr>
            <w:tcW w:w="2626" w:type="dxa"/>
          </w:tcPr>
          <w:p w14:paraId="1E0628FA" w14:textId="0E6EB72C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Fully compatible with on-premises physical and virtualized installations. Applications and databases can easily be "lift and shift" migrated without change.</w:t>
            </w:r>
          </w:p>
        </w:tc>
        <w:tc>
          <w:tcPr>
            <w:tcW w:w="2626" w:type="dxa"/>
          </w:tcPr>
          <w:p w14:paraId="6D5EC5B3" w14:textId="721D62C2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Near-100% compatibility with SQL Server. Most on-premises databases can be migrated with minimal code changes by using the </w:t>
            </w:r>
            <w:hyperlink r:id="rId5" w:tgtFrame="az-portal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u w:val="none"/>
                  <w:shd w:val="clear" w:color="auto" w:fill="FFFFFF"/>
                </w:rPr>
                <w:t>Azure Database Migration service</w:t>
              </w:r>
            </w:hyperlink>
          </w:p>
        </w:tc>
        <w:tc>
          <w:tcPr>
            <w:tcW w:w="2627" w:type="dxa"/>
          </w:tcPr>
          <w:p w14:paraId="67D35DC9" w14:textId="412AC35F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Supports most core database-level capabilities of SQL Server. Some features depended on by an on-premises application may not be available.</w:t>
            </w:r>
          </w:p>
        </w:tc>
      </w:tr>
      <w:tr w:rsidR="005D36B4" w14:paraId="2FEC0FD7" w14:textId="77777777" w:rsidTr="004A132A">
        <w:trPr>
          <w:trHeight w:val="3342"/>
        </w:trPr>
        <w:tc>
          <w:tcPr>
            <w:tcW w:w="2625" w:type="dxa"/>
          </w:tcPr>
          <w:p w14:paraId="6FF3FAEB" w14:textId="33495E11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Architecture</w:t>
            </w:r>
          </w:p>
        </w:tc>
        <w:tc>
          <w:tcPr>
            <w:tcW w:w="2626" w:type="dxa"/>
          </w:tcPr>
          <w:p w14:paraId="090B710B" w14:textId="6B13B42C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SQL Server instances are installed in a virtual machine. Each instance can support multiple databases.</w:t>
            </w:r>
          </w:p>
        </w:tc>
        <w:tc>
          <w:tcPr>
            <w:tcW w:w="2626" w:type="dxa"/>
          </w:tcPr>
          <w:p w14:paraId="16FC77A2" w14:textId="37E806F9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Each managed instance can support multiple databases. Additionally, </w:t>
            </w:r>
            <w:r>
              <w:rPr>
                <w:rStyle w:val="Emphasis"/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instance pools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 can be used to share resources efficiently across smaller instances.</w:t>
            </w:r>
          </w:p>
        </w:tc>
        <w:tc>
          <w:tcPr>
            <w:tcW w:w="2627" w:type="dxa"/>
          </w:tcPr>
          <w:p w14:paraId="6E864403" w14:textId="7099F665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You can provision a </w:t>
            </w:r>
            <w:r>
              <w:rPr>
                <w:rStyle w:val="Emphasis"/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single database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 in a dedicated, managed (logical) server; or you can use an </w:t>
            </w:r>
            <w:r>
              <w:rPr>
                <w:rStyle w:val="Emphasis"/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elastic pool</w:t>
            </w: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 to share resources across multiple databases and take advantage of on-demand scalability.</w:t>
            </w:r>
          </w:p>
        </w:tc>
      </w:tr>
      <w:tr w:rsidR="005D36B4" w14:paraId="00EE9F17" w14:textId="77777777" w:rsidTr="004A132A">
        <w:trPr>
          <w:trHeight w:val="2453"/>
        </w:trPr>
        <w:tc>
          <w:tcPr>
            <w:tcW w:w="2625" w:type="dxa"/>
          </w:tcPr>
          <w:p w14:paraId="2F3FE62B" w14:textId="6ED9385D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626" w:type="dxa"/>
          </w:tcPr>
          <w:p w14:paraId="46C0DDD7" w14:textId="72A337BE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You must manage all aspects of the server, including operating system and SQL Server updates, configuration, backups, and other maintenance tasks.</w:t>
            </w:r>
          </w:p>
        </w:tc>
        <w:tc>
          <w:tcPr>
            <w:tcW w:w="2626" w:type="dxa"/>
          </w:tcPr>
          <w:p w14:paraId="700B4A75" w14:textId="1402C36E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Fully automated updates, backups, and recovery.</w:t>
            </w:r>
          </w:p>
        </w:tc>
        <w:tc>
          <w:tcPr>
            <w:tcW w:w="2627" w:type="dxa"/>
          </w:tcPr>
          <w:p w14:paraId="7C346409" w14:textId="277ABF94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Fully automated updates, backups, and recovery.</w:t>
            </w:r>
          </w:p>
        </w:tc>
      </w:tr>
      <w:tr w:rsidR="005D36B4" w14:paraId="4646EF99" w14:textId="77777777" w:rsidTr="004A132A">
        <w:trPr>
          <w:trHeight w:val="2741"/>
        </w:trPr>
        <w:tc>
          <w:tcPr>
            <w:tcW w:w="2625" w:type="dxa"/>
          </w:tcPr>
          <w:p w14:paraId="2D4520AA" w14:textId="6AE45CA6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Use cases</w:t>
            </w:r>
          </w:p>
        </w:tc>
        <w:tc>
          <w:tcPr>
            <w:tcW w:w="2626" w:type="dxa"/>
          </w:tcPr>
          <w:p w14:paraId="3AFE330D" w14:textId="1D091D7E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Use this option when you need to migrate or extend an on-premises SQL Server solution and retain full control over all aspects of server and database configuration.</w:t>
            </w:r>
          </w:p>
        </w:tc>
        <w:tc>
          <w:tcPr>
            <w:tcW w:w="2626" w:type="dxa"/>
          </w:tcPr>
          <w:p w14:paraId="44F95CB4" w14:textId="58C4897B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Use this option for most cloud migration scenarios, particularly when you need minimal changes to existing applications.</w:t>
            </w:r>
          </w:p>
        </w:tc>
        <w:tc>
          <w:tcPr>
            <w:tcW w:w="2627" w:type="dxa"/>
          </w:tcPr>
          <w:p w14:paraId="2D663D35" w14:textId="4401955D" w:rsidR="005D36B4" w:rsidRDefault="005D36B4" w:rsidP="004A132A"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Use this option for new cloud solutions, or to migrate applications that have minimal instance-level dependencies.</w:t>
            </w:r>
          </w:p>
        </w:tc>
      </w:tr>
    </w:tbl>
    <w:p w14:paraId="49B6D634" w14:textId="77777777" w:rsidR="004A132A" w:rsidRDefault="004A132A" w:rsidP="004A132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SQL service</w:t>
      </w:r>
    </w:p>
    <w:p w14:paraId="6379D7CF" w14:textId="77777777" w:rsidR="0045132A" w:rsidRDefault="0045132A" w:rsidP="004A132A"/>
    <w:sectPr w:rsidR="0045132A" w:rsidSect="00766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B4"/>
    <w:rsid w:val="002C7E22"/>
    <w:rsid w:val="0045132A"/>
    <w:rsid w:val="004556AC"/>
    <w:rsid w:val="004A132A"/>
    <w:rsid w:val="005D36B4"/>
    <w:rsid w:val="0076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83BF"/>
  <w15:chartTrackingRefBased/>
  <w15:docId w15:val="{EF2F5B1D-FAC5-43AB-8CDE-33E19689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36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36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A1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d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B6280-4E39-4FE7-A8E5-62761C38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K, Divya</dc:creator>
  <cp:keywords/>
  <dc:description/>
  <cp:lastModifiedBy>M K, Divya</cp:lastModifiedBy>
  <cp:revision>3</cp:revision>
  <dcterms:created xsi:type="dcterms:W3CDTF">2022-11-02T09:24:00Z</dcterms:created>
  <dcterms:modified xsi:type="dcterms:W3CDTF">2022-11-02T09:30:00Z</dcterms:modified>
</cp:coreProperties>
</file>