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453D"/>
          <w:sz w:val="60"/>
        </w:rPr>
        <w:t>TripME — Product Requirements Document</w:t>
      </w:r>
    </w:p>
    <w:p>
      <w:pPr>
        <w:jc w:val="center"/>
      </w:pPr>
      <w:r>
        <w:rPr>
          <w:color w:val="0E1F1A"/>
          <w:sz w:val="26"/>
        </w:rPr>
        <w:t>Release 0.1.1 · MVP</w:t>
      </w:r>
    </w:p>
    <w:p>
      <w:pPr>
        <w:spacing w:before="360"/>
        <w:jc w:val="center"/>
      </w:pPr>
      <w:r>
        <w:rPr>
          <w:i/>
          <w:color w:val="5B6B66"/>
          <w:sz w:val="20"/>
        </w:rPr>
        <w:t>Team DEBUGGERS · Derived from the deployed product at tripme-khaki.vercel.app</w:t>
      </w:r>
    </w:p>
    <w:p>
      <w:r>
        <w:br w:type="page"/>
      </w:r>
    </w:p>
    <w:p>
      <w:pPr>
        <w:pStyle w:val="Heading1"/>
      </w:pPr>
      <w:r>
        <w:t>1 · Document control</w:t>
      </w:r>
    </w:p>
    <w:tbl>
      <w:tblPr>
        <w:tblStyle w:val="TableGrid"/>
        <w:tblW w:type="auto" w:w="0"/>
        <w:jc w:val="center"/>
        <w:tblLook w:firstColumn="1" w:firstRow="1" w:lastColumn="0" w:lastRow="0" w:noHBand="0" w:noVBand="1" w:val="04A0"/>
      </w:tblPr>
      <w:tblGrid>
        <w:gridCol w:w="4896"/>
        <w:gridCol w:w="4896"/>
      </w:tblGrid>
      <w:tr>
        <w:tc>
          <w:tcPr>
            <w:tcW w:type="dxa" w:w="2160"/>
            <w:shd w:val="clear" w:fill="14453D"/>
          </w:tcPr>
          <w:p>
            <w:pPr>
              <w:spacing w:after="40"/>
            </w:pPr>
            <w:r/>
            <w:r>
              <w:rPr>
                <w:b/>
                <w:color w:val="FFFFFF"/>
                <w:sz w:val="19"/>
              </w:rPr>
              <w:t>Field</w:t>
            </w:r>
          </w:p>
        </w:tc>
        <w:tc>
          <w:tcPr>
            <w:tcW w:type="dxa" w:w="7344"/>
            <w:shd w:val="clear" w:fill="14453D"/>
          </w:tcPr>
          <w:p>
            <w:pPr>
              <w:spacing w:after="40"/>
            </w:pPr>
            <w:r/>
            <w:r>
              <w:rPr>
                <w:b/>
                <w:color w:val="FFFFFF"/>
                <w:sz w:val="19"/>
              </w:rPr>
              <w:t>Value</w:t>
            </w:r>
          </w:p>
        </w:tc>
      </w:tr>
      <w:tr>
        <w:tc>
          <w:tcPr>
            <w:tcW w:type="dxa" w:w="2160"/>
          </w:tcPr>
          <w:p>
            <w:pPr>
              <w:spacing w:after="40"/>
            </w:pPr>
            <w:r/>
            <w:r>
              <w:rPr>
                <w:b w:val="0"/>
                <w:sz w:val="19"/>
              </w:rPr>
              <w:t>Product</w:t>
            </w:r>
          </w:p>
        </w:tc>
        <w:tc>
          <w:tcPr>
            <w:tcW w:type="dxa" w:w="7344"/>
          </w:tcPr>
          <w:p>
            <w:pPr>
              <w:spacing w:after="40"/>
            </w:pPr>
            <w:r/>
            <w:r>
              <w:rPr>
                <w:b w:val="0"/>
                <w:sz w:val="19"/>
              </w:rPr>
              <w:t>TripME — an agentic trip operating system for Indian domestic travel</w:t>
            </w:r>
          </w:p>
        </w:tc>
      </w:tr>
      <w:tr>
        <w:tc>
          <w:tcPr>
            <w:tcW w:type="dxa" w:w="2160"/>
          </w:tcPr>
          <w:p>
            <w:pPr>
              <w:spacing w:after="40"/>
            </w:pPr>
            <w:r/>
            <w:r>
              <w:rPr>
                <w:b w:val="0"/>
                <w:sz w:val="19"/>
              </w:rPr>
              <w:t>Release</w:t>
            </w:r>
          </w:p>
        </w:tc>
        <w:tc>
          <w:tcPr>
            <w:tcW w:type="dxa" w:w="7344"/>
          </w:tcPr>
          <w:p>
            <w:pPr>
              <w:spacing w:after="40"/>
            </w:pPr>
            <w:r/>
            <w:r>
              <w:rPr>
                <w:b w:val="0"/>
                <w:sz w:val="19"/>
              </w:rPr>
              <w:t>0.1.1 (MVP)</w:t>
            </w:r>
          </w:p>
        </w:tc>
      </w:tr>
      <w:tr>
        <w:tc>
          <w:tcPr>
            <w:tcW w:type="dxa" w:w="2160"/>
          </w:tcPr>
          <w:p>
            <w:pPr>
              <w:spacing w:after="40"/>
            </w:pPr>
            <w:r/>
            <w:r>
              <w:rPr>
                <w:b w:val="0"/>
                <w:sz w:val="19"/>
              </w:rPr>
              <w:t>Status</w:t>
            </w:r>
          </w:p>
        </w:tc>
        <w:tc>
          <w:tcPr>
            <w:tcW w:type="dxa" w:w="7344"/>
          </w:tcPr>
          <w:p>
            <w:pPr>
              <w:spacing w:after="40"/>
            </w:pPr>
            <w:r/>
            <w:r>
              <w:rPr>
                <w:b w:val="0"/>
                <w:sz w:val="19"/>
              </w:rPr>
              <w:t>Built and deployed; under evaluation</w:t>
            </w:r>
          </w:p>
        </w:tc>
      </w:tr>
      <w:tr>
        <w:tc>
          <w:tcPr>
            <w:tcW w:type="dxa" w:w="2160"/>
          </w:tcPr>
          <w:p>
            <w:pPr>
              <w:spacing w:after="40"/>
            </w:pPr>
            <w:r/>
            <w:r>
              <w:rPr>
                <w:b w:val="0"/>
                <w:sz w:val="19"/>
              </w:rPr>
              <w:t>Owner</w:t>
            </w:r>
          </w:p>
        </w:tc>
        <w:tc>
          <w:tcPr>
            <w:tcW w:type="dxa" w:w="7344"/>
          </w:tcPr>
          <w:p>
            <w:pPr>
              <w:spacing w:after="40"/>
            </w:pPr>
            <w:r/>
            <w:r>
              <w:rPr>
                <w:b w:val="0"/>
                <w:sz w:val="19"/>
              </w:rPr>
              <w:t>Team DEBUGGERS</w:t>
            </w:r>
          </w:p>
        </w:tc>
      </w:tr>
      <w:tr>
        <w:tc>
          <w:tcPr>
            <w:tcW w:type="dxa" w:w="2160"/>
          </w:tcPr>
          <w:p>
            <w:pPr>
              <w:spacing w:after="40"/>
            </w:pPr>
            <w:r/>
            <w:r>
              <w:rPr>
                <w:b w:val="0"/>
                <w:sz w:val="19"/>
              </w:rPr>
              <w:t>Live product</w:t>
            </w:r>
          </w:p>
        </w:tc>
        <w:tc>
          <w:tcPr>
            <w:tcW w:type="dxa" w:w="7344"/>
          </w:tcPr>
          <w:p>
            <w:pPr>
              <w:spacing w:after="40"/>
            </w:pPr>
            <w:r/>
            <w:r>
              <w:rPr>
                <w:b w:val="0"/>
                <w:sz w:val="19"/>
              </w:rPr>
              <w:t>https://tripme-khaki.vercel.app</w:t>
            </w:r>
          </w:p>
        </w:tc>
      </w:tr>
      <w:tr>
        <w:tc>
          <w:tcPr>
            <w:tcW w:type="dxa" w:w="2160"/>
          </w:tcPr>
          <w:p>
            <w:pPr>
              <w:spacing w:after="40"/>
            </w:pPr>
            <w:r/>
            <w:r>
              <w:rPr>
                <w:b w:val="0"/>
                <w:sz w:val="19"/>
              </w:rPr>
              <w:t>Source</w:t>
            </w:r>
          </w:p>
        </w:tc>
        <w:tc>
          <w:tcPr>
            <w:tcW w:type="dxa" w:w="7344"/>
          </w:tcPr>
          <w:p>
            <w:pPr>
              <w:spacing w:after="40"/>
            </w:pPr>
            <w:r/>
            <w:r>
              <w:rPr>
                <w:b w:val="0"/>
                <w:sz w:val="19"/>
              </w:rPr>
              <w:t>https://github.com/divyamsingh4444/tripme</w:t>
            </w:r>
          </w:p>
        </w:tc>
      </w:tr>
      <w:tr>
        <w:tc>
          <w:tcPr>
            <w:tcW w:type="dxa" w:w="2160"/>
          </w:tcPr>
          <w:p>
            <w:pPr>
              <w:spacing w:after="40"/>
            </w:pPr>
            <w:r/>
            <w:r>
              <w:rPr>
                <w:b w:val="0"/>
                <w:sz w:val="19"/>
              </w:rPr>
              <w:t>Supersedes</w:t>
            </w:r>
          </w:p>
        </w:tc>
        <w:tc>
          <w:tcPr>
            <w:tcW w:type="dxa" w:w="7344"/>
          </w:tcPr>
          <w:p>
            <w:pPr>
              <w:spacing w:after="40"/>
            </w:pPr>
            <w:r/>
            <w:r>
              <w:rPr>
                <w:b w:val="0"/>
                <w:sz w:val="19"/>
              </w:rPr>
              <w:t>The Phase 2 PRD for "Smart Travel Companion" — a different product with a different agent set</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How to read this document: </w:t>
            </w:r>
            <w:r>
              <w:rPr>
                <w:b w:val="0"/>
                <w:sz w:val="20"/>
              </w:rPr>
              <w:t>requirements are written in the present tense only where the behaviour exists in the deployed product. Anything not yet built is in Section 11 and marked as such. Nothing is described as working that does not work.</w:t>
            </w:r>
          </w:p>
        </w:tc>
      </w:tr>
    </w:tbl>
    <w:p>
      <w:pPr>
        <w:spacing w:after="40"/>
      </w:pPr>
    </w:p>
    <w:p>
      <w:r>
        <w:br w:type="page"/>
      </w:r>
    </w:p>
    <w:p>
      <w:pPr>
        <w:pStyle w:val="Heading1"/>
      </w:pPr>
      <w:r>
        <w:t>2 · Problem and opportunity</w:t>
      </w:r>
    </w:p>
    <w:p>
      <w:pPr>
        <w:pStyle w:val="Heading2"/>
      </w:pPr>
      <w:r>
        <w:t>2.1 The problem</w:t>
      </w:r>
    </w:p>
    <w:p>
      <w:pPr>
        <w:spacing w:after="120"/>
      </w:pPr>
      <w:r>
        <w:rPr>
          <w:b w:val="0"/>
          <w:i w:val="0"/>
          <w:sz w:val="21"/>
        </w:rPr>
        <w:t>Planning a trip in India requires six to eight disconnected tools: one for inspiration, two or three for booking, one for local logistics, one for splitting costs and, invariably, a spreadsheet. Context is re-entered at every boundary. Budget is estimated before the trip and reconciled after it, never enforced during it. Group trips fail at agreement rather than at booking. And every recommendation arrives without reasoning, so it cannot be interrogated or trusted.</w:t>
      </w:r>
    </w:p>
    <w:p>
      <w:pPr>
        <w:pStyle w:val="Heading2"/>
      </w:pPr>
      <w:r>
        <w:t>2.2 Evidence</w:t>
      </w:r>
    </w:p>
    <w:p>
      <w:pPr>
        <w:spacing w:after="120"/>
      </w:pPr>
      <w:r>
        <w:rPr>
          <w:b w:val="0"/>
          <w:i w:val="0"/>
          <w:sz w:val="21"/>
        </w:rPr>
        <w:t>Five JTBD interviews (Section 10 of the Phase 2 submission). Every participant used multiple tools and re-entered the same context; every participant described expense tracking as the worst part and did it retrospectively; group participants described agreement, not booking, as the breaking point; and participants consistently distrusted recommendations they could not interrogate.</w:t>
      </w:r>
    </w:p>
    <w:p>
      <w:pPr>
        <w:pStyle w:val="Heading2"/>
      </w:pPr>
      <w:r>
        <w:t>2.3 The opportunity</w:t>
      </w:r>
    </w:p>
    <w:p>
      <w:pPr>
        <w:spacing w:after="120"/>
      </w:pPr>
      <w:r>
        <w:rPr>
          <w:b w:val="0"/>
          <w:i w:val="0"/>
          <w:sz w:val="21"/>
        </w:rPr>
        <w:t>Not a better search box. A system that takes one brief — origin, dates, budget, party and mood — and returns a complete, costed, arguable, committable plan, where the reasoning is visible and the money is enforced in code rather than estimated by a model.</w:t>
      </w:r>
    </w:p>
    <w:p>
      <w:r>
        <w:br w:type="page"/>
      </w:r>
    </w:p>
    <w:p>
      <w:pPr>
        <w:pStyle w:val="Heading1"/>
      </w:pPr>
      <w:r>
        <w:t>3 · Goals and non-goals</w:t>
      </w:r>
    </w:p>
    <w:p>
      <w:pPr>
        <w:pStyle w:val="Heading2"/>
      </w:pPr>
      <w:r>
        <w:t>3.1 Goals</w:t>
      </w:r>
    </w:p>
    <w:p>
      <w:pPr>
        <w:pStyle w:val="ListBullet"/>
        <w:spacing w:after="60"/>
      </w:pPr>
      <w:r>
        <w:rPr>
          <w:b w:val="0"/>
          <w:sz w:val="21"/>
        </w:rPr>
        <w:t>Take a traveller from "I want to go somewhere" to a confirmed, costed plan in a single session.</w:t>
      </w:r>
    </w:p>
    <w:p>
      <w:pPr>
        <w:pStyle w:val="ListBullet"/>
        <w:spacing w:after="60"/>
      </w:pPr>
      <w:r>
        <w:rPr>
          <w:b w:val="0"/>
          <w:sz w:val="21"/>
        </w:rPr>
        <w:t>Make every agent decision visible, evidenced and overridable.</w:t>
      </w:r>
    </w:p>
    <w:p>
      <w:pPr>
        <w:pStyle w:val="ListBullet"/>
        <w:spacing w:after="60"/>
      </w:pPr>
      <w:r>
        <w:rPr>
          <w:b w:val="0"/>
          <w:sz w:val="21"/>
        </w:rPr>
        <w:t>Hold the plan to the stated budget deterministically, and re-price on every change.</w:t>
      </w:r>
    </w:p>
    <w:p>
      <w:pPr>
        <w:pStyle w:val="ListBullet"/>
        <w:spacing w:after="60"/>
      </w:pPr>
      <w:r>
        <w:rPr>
          <w:b w:val="0"/>
          <w:sz w:val="21"/>
        </w:rPr>
        <w:t>Reconcile multiple travellers' preferences into one plan, and publish who conceded what.</w:t>
      </w:r>
    </w:p>
    <w:p>
      <w:pPr>
        <w:pStyle w:val="ListBullet"/>
        <w:spacing w:after="60"/>
      </w:pPr>
      <w:r>
        <w:rPr>
          <w:b w:val="0"/>
          <w:sz w:val="21"/>
        </w:rPr>
        <w:t>Serve all six travel contexts — solo, couple, group, family, pilgrimage and corporate — as first-class paths.</w:t>
      </w:r>
    </w:p>
    <w:p>
      <w:pPr>
        <w:pStyle w:val="ListBullet"/>
        <w:spacing w:after="60"/>
      </w:pPr>
      <w:r>
        <w:rPr>
          <w:b w:val="0"/>
          <w:sz w:val="21"/>
        </w:rPr>
        <w:t>Work in the traveller's language, including agent-generated output.</w:t>
      </w:r>
    </w:p>
    <w:p>
      <w:pPr>
        <w:pStyle w:val="Heading2"/>
      </w:pPr>
      <w:r>
        <w:t>3.2 Non-goals for this release</w:t>
      </w:r>
    </w:p>
    <w:p>
      <w:pPr>
        <w:pStyle w:val="ListBullet"/>
        <w:spacing w:after="60"/>
      </w:pPr>
      <w:r>
        <w:rPr>
          <w:b/>
          <w:sz w:val="21"/>
        </w:rPr>
        <w:t>Executing real bookings or taking payment.</w:t>
      </w:r>
      <w:r>
        <w:rPr>
          <w:b w:val="0"/>
          <w:sz w:val="21"/>
        </w:rPr>
        <w:t xml:space="preserve"> Bookings are simulated; deep links to real providers are real.</w:t>
      </w:r>
    </w:p>
    <w:p>
      <w:pPr>
        <w:pStyle w:val="ListBullet"/>
        <w:spacing w:after="60"/>
      </w:pPr>
      <w:r>
        <w:rPr>
          <w:b/>
          <w:sz w:val="21"/>
        </w:rPr>
        <w:t>International destinations.</w:t>
      </w:r>
      <w:r>
        <w:rPr>
          <w:b w:val="0"/>
          <w:sz w:val="21"/>
        </w:rPr>
        <w:t xml:space="preserve"> India-only, enforced in the pipeline rather than merely stated.</w:t>
      </w:r>
    </w:p>
    <w:p>
      <w:pPr>
        <w:pStyle w:val="ListBullet"/>
        <w:spacing w:after="60"/>
      </w:pPr>
      <w:r>
        <w:rPr>
          <w:b/>
          <w:sz w:val="21"/>
        </w:rPr>
        <w:t>Storing trips on a server.</w:t>
      </w:r>
      <w:r>
        <w:rPr>
          <w:b w:val="0"/>
          <w:sz w:val="21"/>
        </w:rPr>
        <w:t xml:space="preserve"> Trips live in the browser. This is a privacy position with a known cost — no cross-device continuity.</w:t>
      </w:r>
    </w:p>
    <w:p>
      <w:pPr>
        <w:pStyle w:val="ListBullet"/>
        <w:spacing w:after="60"/>
      </w:pPr>
      <w:r>
        <w:rPr>
          <w:b/>
          <w:sz w:val="21"/>
        </w:rPr>
        <w:t>Native mobile applications.</w:t>
      </w:r>
      <w:r>
        <w:rPr>
          <w:b w:val="0"/>
          <w:sz w:val="21"/>
        </w:rPr>
        <w:t xml:space="preserve"> Responsive web only.</w:t>
      </w:r>
    </w:p>
    <w:p>
      <w:pPr>
        <w:pStyle w:val="ListBullet"/>
        <w:spacing w:after="60"/>
      </w:pPr>
      <w:r>
        <w:rPr>
          <w:b/>
          <w:sz w:val="21"/>
        </w:rPr>
        <w:t>Monetisation of any kind.</w:t>
      </w:r>
      <w:r>
        <w:rPr>
          <w:b w:val="0"/>
          <w:sz w:val="21"/>
        </w:rPr>
        <w:t xml:space="preserve"> No pricing exists in this release.</w:t>
      </w:r>
    </w:p>
    <w:p>
      <w:r>
        <w:br w:type="page"/>
      </w:r>
    </w:p>
    <w:p>
      <w:pPr>
        <w:pStyle w:val="Heading1"/>
      </w:pPr>
      <w:r>
        <w:t>4 · Users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val="clear" w:fill="14453D"/>
          </w:tcPr>
          <w:p>
            <w:pPr>
              <w:spacing w:after="40"/>
            </w:pPr>
            <w:r/>
            <w:r>
              <w:rPr>
                <w:b/>
                <w:color w:val="FFFFFF"/>
                <w:sz w:val="18"/>
              </w:rPr>
              <w:t>Persona</w:t>
            </w:r>
          </w:p>
        </w:tc>
        <w:tc>
          <w:tcPr>
            <w:tcW w:type="dxa" w:w="2592"/>
            <w:shd w:val="clear" w:fill="14453D"/>
          </w:tcPr>
          <w:p>
            <w:pPr>
              <w:spacing w:after="40"/>
            </w:pPr>
            <w:r/>
            <w:r>
              <w:rPr>
                <w:b/>
                <w:color w:val="FFFFFF"/>
                <w:sz w:val="18"/>
              </w:rPr>
              <w:t>Context</w:t>
            </w:r>
          </w:p>
        </w:tc>
        <w:tc>
          <w:tcPr>
            <w:tcW w:type="dxa" w:w="3312"/>
            <w:shd w:val="clear" w:fill="14453D"/>
          </w:tcPr>
          <w:p>
            <w:pPr>
              <w:spacing w:after="40"/>
            </w:pPr>
            <w:r/>
            <w:r>
              <w:rPr>
                <w:b/>
                <w:color w:val="FFFFFF"/>
                <w:sz w:val="18"/>
              </w:rPr>
              <w:t>Primary job</w:t>
            </w:r>
          </w:p>
        </w:tc>
        <w:tc>
          <w:tcPr>
            <w:tcW w:type="dxa" w:w="1296"/>
            <w:shd w:val="clear" w:fill="14453D"/>
          </w:tcPr>
          <w:p>
            <w:pPr>
              <w:spacing w:after="40"/>
            </w:pPr>
            <w:r/>
            <w:r>
              <w:rPr>
                <w:b/>
                <w:color w:val="FFFFFF"/>
                <w:sz w:val="18"/>
              </w:rPr>
              <w:t>Priority</w:t>
            </w:r>
          </w:p>
        </w:tc>
      </w:tr>
      <w:tr>
        <w:tc>
          <w:tcPr>
            <w:tcW w:type="dxa" w:w="2304"/>
          </w:tcPr>
          <w:p>
            <w:pPr>
              <w:spacing w:after="40"/>
            </w:pPr>
            <w:r/>
            <w:r>
              <w:rPr>
                <w:b w:val="0"/>
                <w:sz w:val="18"/>
              </w:rPr>
              <w:t>Prajakta — the unplanned tripper</w:t>
            </w:r>
          </w:p>
        </w:tc>
        <w:tc>
          <w:tcPr>
            <w:tcW w:type="dxa" w:w="2592"/>
          </w:tcPr>
          <w:p>
            <w:pPr>
              <w:spacing w:after="40"/>
            </w:pPr>
            <w:r/>
            <w:r>
              <w:rPr>
                <w:b w:val="0"/>
                <w:sz w:val="18"/>
              </w:rPr>
              <w:t>Solo, spontaneous, no destination in mind</w:t>
            </w:r>
          </w:p>
        </w:tc>
        <w:tc>
          <w:tcPr>
            <w:tcW w:type="dxa" w:w="3312"/>
          </w:tcPr>
          <w:p>
            <w:pPr>
              <w:spacing w:after="40"/>
            </w:pPr>
            <w:r/>
            <w:r>
              <w:rPr>
                <w:b w:val="0"/>
                <w:sz w:val="18"/>
              </w:rPr>
              <w:t>Tell me where to go based on how I want to feel</w:t>
            </w:r>
          </w:p>
        </w:tc>
        <w:tc>
          <w:tcPr>
            <w:tcW w:type="dxa" w:w="1296"/>
          </w:tcPr>
          <w:p>
            <w:pPr>
              <w:spacing w:after="40"/>
            </w:pPr>
            <w:r/>
            <w:r>
              <w:rPr>
                <w:b w:val="0"/>
                <w:sz w:val="18"/>
              </w:rPr>
              <w:t>Launch</w:t>
            </w:r>
          </w:p>
        </w:tc>
      </w:tr>
      <w:tr>
        <w:tc>
          <w:tcPr>
            <w:tcW w:type="dxa" w:w="2304"/>
          </w:tcPr>
          <w:p>
            <w:pPr>
              <w:spacing w:after="40"/>
            </w:pPr>
            <w:r/>
            <w:r>
              <w:rPr>
                <w:b w:val="0"/>
                <w:sz w:val="18"/>
              </w:rPr>
              <w:t>Couple</w:t>
            </w:r>
          </w:p>
        </w:tc>
        <w:tc>
          <w:tcPr>
            <w:tcW w:type="dxa" w:w="2592"/>
          </w:tcPr>
          <w:p>
            <w:pPr>
              <w:spacing w:after="40"/>
            </w:pPr>
            <w:r/>
            <w:r>
              <w:rPr>
                <w:b w:val="0"/>
                <w:sz w:val="18"/>
              </w:rPr>
              <w:t>Two travellers, two sets of preferences</w:t>
            </w:r>
          </w:p>
        </w:tc>
        <w:tc>
          <w:tcPr>
            <w:tcW w:type="dxa" w:w="3312"/>
          </w:tcPr>
          <w:p>
            <w:pPr>
              <w:spacing w:after="40"/>
            </w:pPr>
            <w:r/>
            <w:r>
              <w:rPr>
                <w:b w:val="0"/>
                <w:sz w:val="18"/>
              </w:rPr>
              <w:t>Settle our disagreement without one of us always losing</w:t>
            </w:r>
          </w:p>
        </w:tc>
        <w:tc>
          <w:tcPr>
            <w:tcW w:type="dxa" w:w="1296"/>
          </w:tcPr>
          <w:p>
            <w:pPr>
              <w:spacing w:after="40"/>
            </w:pPr>
            <w:r/>
            <w:r>
              <w:rPr>
                <w:b w:val="0"/>
                <w:sz w:val="18"/>
              </w:rPr>
              <w:t>Launch</w:t>
            </w:r>
          </w:p>
        </w:tc>
      </w:tr>
      <w:tr>
        <w:tc>
          <w:tcPr>
            <w:tcW w:type="dxa" w:w="2304"/>
          </w:tcPr>
          <w:p>
            <w:pPr>
              <w:spacing w:after="40"/>
            </w:pPr>
            <w:r/>
            <w:r>
              <w:rPr>
                <w:b w:val="0"/>
                <w:sz w:val="18"/>
              </w:rPr>
              <w:t>Group organiser</w:t>
            </w:r>
          </w:p>
        </w:tc>
        <w:tc>
          <w:tcPr>
            <w:tcW w:type="dxa" w:w="2592"/>
          </w:tcPr>
          <w:p>
            <w:pPr>
              <w:spacing w:after="40"/>
            </w:pPr>
            <w:r/>
            <w:r>
              <w:rPr>
                <w:b w:val="0"/>
                <w:sz w:val="18"/>
              </w:rPr>
              <w:t>Four to six friends, one reluctant coordinator</w:t>
            </w:r>
          </w:p>
        </w:tc>
        <w:tc>
          <w:tcPr>
            <w:tcW w:type="dxa" w:w="3312"/>
          </w:tcPr>
          <w:p>
            <w:pPr>
              <w:spacing w:after="40"/>
            </w:pPr>
            <w:r/>
            <w:r>
              <w:rPr>
                <w:b w:val="0"/>
                <w:sz w:val="18"/>
              </w:rPr>
              <w:t>Get us to agree, and split the cost fairly</w:t>
            </w:r>
          </w:p>
        </w:tc>
        <w:tc>
          <w:tcPr>
            <w:tcW w:type="dxa" w:w="1296"/>
          </w:tcPr>
          <w:p>
            <w:pPr>
              <w:spacing w:after="40"/>
            </w:pPr>
            <w:r/>
            <w:r>
              <w:rPr>
                <w:b w:val="0"/>
                <w:sz w:val="18"/>
              </w:rPr>
              <w:t>Month 3+</w:t>
            </w:r>
          </w:p>
        </w:tc>
      </w:tr>
      <w:tr>
        <w:tc>
          <w:tcPr>
            <w:tcW w:type="dxa" w:w="2304"/>
          </w:tcPr>
          <w:p>
            <w:pPr>
              <w:spacing w:after="40"/>
            </w:pPr>
            <w:r/>
            <w:r>
              <w:rPr>
                <w:b w:val="0"/>
                <w:sz w:val="18"/>
              </w:rPr>
              <w:t>Family planner</w:t>
            </w:r>
          </w:p>
        </w:tc>
        <w:tc>
          <w:tcPr>
            <w:tcW w:type="dxa" w:w="2592"/>
          </w:tcPr>
          <w:p>
            <w:pPr>
              <w:spacing w:after="40"/>
            </w:pPr>
            <w:r/>
            <w:r>
              <w:rPr>
                <w:b w:val="0"/>
                <w:sz w:val="18"/>
              </w:rPr>
              <w:t>Mixed ages, pace and access constraints</w:t>
            </w:r>
          </w:p>
        </w:tc>
        <w:tc>
          <w:tcPr>
            <w:tcW w:type="dxa" w:w="3312"/>
          </w:tcPr>
          <w:p>
            <w:pPr>
              <w:spacing w:after="40"/>
            </w:pPr>
            <w:r/>
            <w:r>
              <w:rPr>
                <w:b w:val="0"/>
                <w:sz w:val="18"/>
              </w:rPr>
              <w:t>A plan that works for a child and a grandparent on the same day</w:t>
            </w:r>
          </w:p>
        </w:tc>
        <w:tc>
          <w:tcPr>
            <w:tcW w:type="dxa" w:w="1296"/>
          </w:tcPr>
          <w:p>
            <w:pPr>
              <w:spacing w:after="40"/>
            </w:pPr>
            <w:r/>
            <w:r>
              <w:rPr>
                <w:b w:val="0"/>
                <w:sz w:val="18"/>
              </w:rPr>
              <w:t>Month 3+</w:t>
            </w:r>
          </w:p>
        </w:tc>
      </w:tr>
      <w:tr>
        <w:tc>
          <w:tcPr>
            <w:tcW w:type="dxa" w:w="2304"/>
          </w:tcPr>
          <w:p>
            <w:pPr>
              <w:spacing w:after="40"/>
            </w:pPr>
            <w:r/>
            <w:r>
              <w:rPr>
                <w:b w:val="0"/>
                <w:sz w:val="18"/>
              </w:rPr>
              <w:t>Pilgrimage traveller</w:t>
            </w:r>
          </w:p>
        </w:tc>
        <w:tc>
          <w:tcPr>
            <w:tcW w:type="dxa" w:w="2592"/>
          </w:tcPr>
          <w:p>
            <w:pPr>
              <w:spacing w:after="40"/>
            </w:pPr>
            <w:r/>
            <w:r>
              <w:rPr>
                <w:b w:val="0"/>
                <w:sz w:val="18"/>
              </w:rPr>
              <w:t>Calendar-bound, ritual-bound, often lower digital fluency</w:t>
            </w:r>
          </w:p>
        </w:tc>
        <w:tc>
          <w:tcPr>
            <w:tcW w:type="dxa" w:w="3312"/>
          </w:tcPr>
          <w:p>
            <w:pPr>
              <w:spacing w:after="40"/>
            </w:pPr>
            <w:r/>
            <w:r>
              <w:rPr>
                <w:b w:val="0"/>
                <w:sz w:val="18"/>
              </w:rPr>
              <w:t>Respect the timings and the constraints</w:t>
            </w:r>
          </w:p>
        </w:tc>
        <w:tc>
          <w:tcPr>
            <w:tcW w:type="dxa" w:w="1296"/>
          </w:tcPr>
          <w:p>
            <w:pPr>
              <w:spacing w:after="40"/>
            </w:pPr>
            <w:r/>
            <w:r>
              <w:rPr>
                <w:b w:val="0"/>
                <w:sz w:val="18"/>
              </w:rPr>
              <w:t>Roadmap</w:t>
            </w:r>
          </w:p>
        </w:tc>
      </w:tr>
      <w:tr>
        <w:tc>
          <w:tcPr>
            <w:tcW w:type="dxa" w:w="2304"/>
          </w:tcPr>
          <w:p>
            <w:pPr>
              <w:spacing w:after="40"/>
            </w:pPr>
            <w:r/>
            <w:r>
              <w:rPr>
                <w:b w:val="0"/>
                <w:sz w:val="18"/>
              </w:rPr>
              <w:t>Corporate traveller</w:t>
            </w:r>
          </w:p>
        </w:tc>
        <w:tc>
          <w:tcPr>
            <w:tcW w:type="dxa" w:w="2592"/>
          </w:tcPr>
          <w:p>
            <w:pPr>
              <w:spacing w:after="40"/>
            </w:pPr>
            <w:r/>
            <w:r>
              <w:rPr>
                <w:b w:val="0"/>
                <w:sz w:val="18"/>
              </w:rPr>
              <w:t>Policy caps, receipts, reimbursement</w:t>
            </w:r>
          </w:p>
        </w:tc>
        <w:tc>
          <w:tcPr>
            <w:tcW w:type="dxa" w:w="3312"/>
          </w:tcPr>
          <w:p>
            <w:pPr>
              <w:spacing w:after="40"/>
            </w:pPr>
            <w:r/>
            <w:r>
              <w:rPr>
                <w:b w:val="0"/>
                <w:sz w:val="18"/>
              </w:rPr>
              <w:t>Stay inside policy without doing the arithmetic myself</w:t>
            </w:r>
          </w:p>
        </w:tc>
        <w:tc>
          <w:tcPr>
            <w:tcW w:type="dxa" w:w="1296"/>
          </w:tcPr>
          <w:p>
            <w:pPr>
              <w:spacing w:after="40"/>
            </w:pPr>
            <w:r/>
            <w:r>
              <w:rPr>
                <w:b w:val="0"/>
                <w:sz w:val="18"/>
              </w:rPr>
              <w:t>Roadmap (B2B)</w:t>
            </w:r>
          </w:p>
        </w:tc>
      </w:tr>
    </w:tbl>
    <w:p>
      <w:pPr>
        <w:spacing w:after="40"/>
      </w:pPr>
    </w:p>
    <w:p>
      <w:r>
        <w:br w:type="page"/>
      </w:r>
    </w:p>
    <w:p>
      <w:pPr>
        <w:pStyle w:val="Heading1"/>
      </w:pPr>
      <w:r>
        <w:t>5 · The agent architecture</w:t>
      </w:r>
    </w:p>
    <w:p>
      <w:pPr>
        <w:spacing w:after="120"/>
      </w:pPr>
      <w:r>
        <w:rPr>
          <w:b w:val="0"/>
          <w:i w:val="0"/>
          <w:sz w:val="21"/>
        </w:rPr>
        <w:t>Seven agents run as a directed pipeline with typed handoffs and one backward edge. Agents are separated where their objectives genuinely conflict — a single agent optimising for both mood fidelity and budget compliance would silently trade one against the other, and the traveller would never see the trade.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60"/>
            <w:shd w:val="clear" w:fill="14453D"/>
          </w:tcPr>
          <w:p>
            <w:pPr>
              <w:spacing w:after="40"/>
            </w:pPr>
            <w:r/>
            <w:r>
              <w:rPr>
                <w:b/>
                <w:color w:val="FFFFFF"/>
                <w:sz w:val="17"/>
              </w:rPr>
              <w:t>#</w:t>
            </w:r>
          </w:p>
        </w:tc>
        <w:tc>
          <w:tcPr>
            <w:tcW w:type="dxa" w:w="1656"/>
            <w:shd w:val="clear" w:fill="14453D"/>
          </w:tcPr>
          <w:p>
            <w:pPr>
              <w:spacing w:after="40"/>
            </w:pPr>
            <w:r/>
            <w:r>
              <w:rPr>
                <w:b/>
                <w:color w:val="FFFFFF"/>
                <w:sz w:val="17"/>
              </w:rPr>
              <w:t>Agent</w:t>
            </w:r>
          </w:p>
        </w:tc>
        <w:tc>
          <w:tcPr>
            <w:tcW w:type="dxa" w:w="2232"/>
            <w:shd w:val="clear" w:fill="14453D"/>
          </w:tcPr>
          <w:p>
            <w:pPr>
              <w:spacing w:after="40"/>
            </w:pPr>
            <w:r/>
            <w:r>
              <w:rPr>
                <w:b/>
                <w:color w:val="FFFFFF"/>
                <w:sz w:val="17"/>
              </w:rPr>
              <w:t>Consumes</w:t>
            </w:r>
          </w:p>
        </w:tc>
        <w:tc>
          <w:tcPr>
            <w:tcW w:type="dxa" w:w="2520"/>
            <w:shd w:val="clear" w:fill="14453D"/>
          </w:tcPr>
          <w:p>
            <w:pPr>
              <w:spacing w:after="40"/>
            </w:pPr>
            <w:r/>
            <w:r>
              <w:rPr>
                <w:b/>
                <w:color w:val="FFFFFF"/>
                <w:sz w:val="17"/>
              </w:rPr>
              <w:t>Produces</w:t>
            </w:r>
          </w:p>
        </w:tc>
        <w:tc>
          <w:tcPr>
            <w:tcW w:type="dxa" w:w="2736"/>
            <w:shd w:val="clear" w:fill="14453D"/>
          </w:tcPr>
          <w:p>
            <w:pPr>
              <w:spacing w:after="40"/>
            </w:pPr>
            <w:r/>
            <w:r>
              <w:rPr>
                <w:b/>
                <w:color w:val="FFFFFF"/>
                <w:sz w:val="17"/>
              </w:rPr>
              <w:t>Key rules</w:t>
            </w:r>
          </w:p>
        </w:tc>
      </w:tr>
      <w:tr>
        <w:tc>
          <w:tcPr>
            <w:tcW w:type="dxa" w:w="360"/>
          </w:tcPr>
          <w:p>
            <w:pPr>
              <w:spacing w:after="40"/>
            </w:pPr>
            <w:r/>
            <w:r>
              <w:rPr>
                <w:b w:val="0"/>
                <w:sz w:val="17"/>
              </w:rPr>
              <w:t>1</w:t>
            </w:r>
          </w:p>
        </w:tc>
        <w:tc>
          <w:tcPr>
            <w:tcW w:type="dxa" w:w="1656"/>
          </w:tcPr>
          <w:p>
            <w:pPr>
              <w:spacing w:after="40"/>
            </w:pPr>
            <w:r/>
            <w:r>
              <w:rPr>
                <w:b w:val="0"/>
                <w:sz w:val="17"/>
              </w:rPr>
              <w:t>Mood &amp; Intent</w:t>
            </w:r>
          </w:p>
        </w:tc>
        <w:tc>
          <w:tcPr>
            <w:tcW w:type="dxa" w:w="2232"/>
          </w:tcPr>
          <w:p>
            <w:pPr>
              <w:spacing w:after="40"/>
            </w:pPr>
            <w:r/>
            <w:r>
              <w:rPr>
                <w:b w:val="0"/>
                <w:sz w:val="17"/>
              </w:rPr>
              <w:t>The raw brief and the chosen travel path</w:t>
            </w:r>
          </w:p>
        </w:tc>
        <w:tc>
          <w:tcPr>
            <w:tcW w:type="dxa" w:w="2520"/>
          </w:tcPr>
          <w:p>
            <w:pPr>
              <w:spacing w:after="40"/>
            </w:pPr>
            <w:r/>
            <w:r>
              <w:rPr>
                <w:b w:val="0"/>
                <w:sz w:val="17"/>
              </w:rPr>
              <w:t>Structured intent — mood, pace, non-negotiables, party composition</w:t>
            </w:r>
          </w:p>
        </w:tc>
        <w:tc>
          <w:tcPr>
            <w:tcW w:type="dxa" w:w="2736"/>
          </w:tcPr>
          <w:p>
            <w:pPr>
              <w:spacing w:after="40"/>
            </w:pPr>
            <w:r/>
            <w:r>
              <w:rPr>
                <w:b w:val="0"/>
                <w:sz w:val="17"/>
              </w:rPr>
              <w:t>Path-specific quizzes; never invents a preference the traveller did not express</w:t>
            </w:r>
          </w:p>
        </w:tc>
      </w:tr>
      <w:tr>
        <w:tc>
          <w:tcPr>
            <w:tcW w:type="dxa" w:w="360"/>
          </w:tcPr>
          <w:p>
            <w:pPr>
              <w:spacing w:after="40"/>
            </w:pPr>
            <w:r/>
            <w:r>
              <w:rPr>
                <w:b w:val="0"/>
                <w:sz w:val="17"/>
              </w:rPr>
              <w:t>2</w:t>
            </w:r>
          </w:p>
        </w:tc>
        <w:tc>
          <w:tcPr>
            <w:tcW w:type="dxa" w:w="1656"/>
          </w:tcPr>
          <w:p>
            <w:pPr>
              <w:spacing w:after="40"/>
            </w:pPr>
            <w:r/>
            <w:r>
              <w:rPr>
                <w:b w:val="0"/>
                <w:sz w:val="17"/>
              </w:rPr>
              <w:t>Discovery</w:t>
            </w:r>
          </w:p>
        </w:tc>
        <w:tc>
          <w:tcPr>
            <w:tcW w:type="dxa" w:w="2232"/>
          </w:tcPr>
          <w:p>
            <w:pPr>
              <w:spacing w:after="40"/>
            </w:pPr>
            <w:r/>
            <w:r>
              <w:rPr>
                <w:b w:val="0"/>
                <w:sz w:val="17"/>
              </w:rPr>
              <w:t>Structured intent, origin, dates, out-of-scope flag</w:t>
            </w:r>
          </w:p>
        </w:tc>
        <w:tc>
          <w:tcPr>
            <w:tcW w:type="dxa" w:w="2520"/>
          </w:tcPr>
          <w:p>
            <w:pPr>
              <w:spacing w:after="40"/>
            </w:pPr>
            <w:r/>
            <w:r>
              <w:rPr>
                <w:b w:val="0"/>
                <w:sz w:val="17"/>
              </w:rPr>
              <w:t>A ranked destination with per-non-negotiable evidence</w:t>
            </w:r>
          </w:p>
        </w:tc>
        <w:tc>
          <w:tcPr>
            <w:tcW w:type="dxa" w:w="2736"/>
          </w:tcPr>
          <w:p>
            <w:pPr>
              <w:spacing w:after="40"/>
            </w:pPr>
            <w:r/>
            <w:r>
              <w:rPr>
                <w:b w:val="0"/>
                <w:sz w:val="17"/>
              </w:rPr>
              <w:t>Mood fidelity outranks popularity; India-only; must open by explaining any substitution</w:t>
            </w:r>
          </w:p>
        </w:tc>
      </w:tr>
      <w:tr>
        <w:tc>
          <w:tcPr>
            <w:tcW w:type="dxa" w:w="360"/>
          </w:tcPr>
          <w:p>
            <w:pPr>
              <w:spacing w:after="40"/>
            </w:pPr>
            <w:r/>
            <w:r>
              <w:rPr>
                <w:b w:val="0"/>
                <w:sz w:val="17"/>
              </w:rPr>
              <w:t>3</w:t>
            </w:r>
          </w:p>
        </w:tc>
        <w:tc>
          <w:tcPr>
            <w:tcW w:type="dxa" w:w="1656"/>
          </w:tcPr>
          <w:p>
            <w:pPr>
              <w:spacing w:after="40"/>
            </w:pPr>
            <w:r/>
            <w:r>
              <w:rPr>
                <w:b w:val="0"/>
                <w:sz w:val="17"/>
              </w:rPr>
              <w:t>Budget</w:t>
            </w:r>
          </w:p>
        </w:tc>
        <w:tc>
          <w:tcPr>
            <w:tcW w:type="dxa" w:w="2232"/>
          </w:tcPr>
          <w:p>
            <w:pPr>
              <w:spacing w:after="40"/>
            </w:pPr>
            <w:r/>
            <w:r>
              <w:rPr>
                <w:b w:val="0"/>
                <w:sz w:val="17"/>
              </w:rPr>
              <w:t>Destination, party, duration, stated budget</w:t>
            </w:r>
          </w:p>
        </w:tc>
        <w:tc>
          <w:tcPr>
            <w:tcW w:type="dxa" w:w="2520"/>
          </w:tcPr>
          <w:p>
            <w:pPr>
              <w:spacing w:after="40"/>
            </w:pPr>
            <w:r/>
            <w:r>
              <w:rPr>
                <w:b w:val="0"/>
                <w:sz w:val="17"/>
              </w:rPr>
              <w:t>A category allocation and per-traveller split</w:t>
            </w:r>
          </w:p>
        </w:tc>
        <w:tc>
          <w:tcPr>
            <w:tcW w:type="dxa" w:w="2736"/>
          </w:tcPr>
          <w:p>
            <w:pPr>
              <w:spacing w:after="40"/>
            </w:pPr>
            <w:r/>
            <w:r>
              <w:rPr>
                <w:b w:val="0"/>
                <w:sz w:val="17"/>
              </w:rPr>
              <w:t>Arithmetic is computed in code, never by the model; policy caps honoured on the corporate path</w:t>
            </w:r>
          </w:p>
        </w:tc>
      </w:tr>
      <w:tr>
        <w:tc>
          <w:tcPr>
            <w:tcW w:type="dxa" w:w="360"/>
          </w:tcPr>
          <w:p>
            <w:pPr>
              <w:spacing w:after="40"/>
            </w:pPr>
            <w:r/>
            <w:r>
              <w:rPr>
                <w:b w:val="0"/>
                <w:sz w:val="17"/>
              </w:rPr>
              <w:t>4</w:t>
            </w:r>
          </w:p>
        </w:tc>
        <w:tc>
          <w:tcPr>
            <w:tcW w:type="dxa" w:w="1656"/>
          </w:tcPr>
          <w:p>
            <w:pPr>
              <w:spacing w:after="40"/>
            </w:pPr>
            <w:r/>
            <w:r>
              <w:rPr>
                <w:b w:val="0"/>
                <w:sz w:val="17"/>
              </w:rPr>
              <w:t>Itinerary</w:t>
            </w:r>
          </w:p>
        </w:tc>
        <w:tc>
          <w:tcPr>
            <w:tcW w:type="dxa" w:w="2232"/>
          </w:tcPr>
          <w:p>
            <w:pPr>
              <w:spacing w:after="40"/>
            </w:pPr>
            <w:r/>
            <w:r>
              <w:rPr>
                <w:b w:val="0"/>
                <w:sz w:val="17"/>
              </w:rPr>
              <w:t>Destination, allocation, pace, constraints</w:t>
            </w:r>
          </w:p>
        </w:tc>
        <w:tc>
          <w:tcPr>
            <w:tcW w:type="dxa" w:w="2520"/>
          </w:tcPr>
          <w:p>
            <w:pPr>
              <w:spacing w:after="40"/>
            </w:pPr>
            <w:r/>
            <w:r>
              <w:rPr>
                <w:b w:val="0"/>
                <w:sz w:val="17"/>
              </w:rPr>
              <w:t>A day-by-day plan with real places</w:t>
            </w:r>
          </w:p>
        </w:tc>
        <w:tc>
          <w:tcPr>
            <w:tcW w:type="dxa" w:w="2736"/>
          </w:tcPr>
          <w:p>
            <w:pPr>
              <w:spacing w:after="40"/>
            </w:pPr>
            <w:r/>
            <w:r>
              <w:rPr>
                <w:b w:val="0"/>
                <w:sz w:val="17"/>
              </w:rPr>
              <w:t>Places resolved against open map data rather than model memory</w:t>
            </w:r>
          </w:p>
        </w:tc>
      </w:tr>
      <w:tr>
        <w:tc>
          <w:tcPr>
            <w:tcW w:type="dxa" w:w="360"/>
          </w:tcPr>
          <w:p>
            <w:pPr>
              <w:spacing w:after="40"/>
            </w:pPr>
            <w:r/>
            <w:r>
              <w:rPr>
                <w:b w:val="0"/>
                <w:sz w:val="17"/>
              </w:rPr>
              <w:t>5</w:t>
            </w:r>
          </w:p>
        </w:tc>
        <w:tc>
          <w:tcPr>
            <w:tcW w:type="dxa" w:w="1656"/>
          </w:tcPr>
          <w:p>
            <w:pPr>
              <w:spacing w:after="40"/>
            </w:pPr>
            <w:r/>
            <w:r>
              <w:rPr>
                <w:b w:val="0"/>
                <w:sz w:val="17"/>
              </w:rPr>
              <w:t>Booking</w:t>
            </w:r>
          </w:p>
        </w:tc>
        <w:tc>
          <w:tcPr>
            <w:tcW w:type="dxa" w:w="2232"/>
          </w:tcPr>
          <w:p>
            <w:pPr>
              <w:spacing w:after="40"/>
            </w:pPr>
            <w:r/>
            <w:r>
              <w:rPr>
                <w:b w:val="0"/>
                <w:sz w:val="17"/>
              </w:rPr>
              <w:t>Itinerary and allocation</w:t>
            </w:r>
          </w:p>
        </w:tc>
        <w:tc>
          <w:tcPr>
            <w:tcW w:type="dxa" w:w="2520"/>
          </w:tcPr>
          <w:p>
            <w:pPr>
              <w:spacing w:after="40"/>
            </w:pPr>
            <w:r/>
            <w:r>
              <w:rPr>
                <w:b w:val="0"/>
                <w:sz w:val="17"/>
              </w:rPr>
              <w:t>Simulated bookings with approval gates and deep links</w:t>
            </w:r>
          </w:p>
        </w:tc>
        <w:tc>
          <w:tcPr>
            <w:tcW w:type="dxa" w:w="2736"/>
          </w:tcPr>
          <w:p>
            <w:pPr>
              <w:spacing w:after="40"/>
            </w:pPr>
            <w:r/>
            <w:r>
              <w:rPr>
                <w:b w:val="0"/>
                <w:sz w:val="17"/>
              </w:rPr>
              <w:t>Every item above the threshold requires explicit approval; a price change revokes its approval</w:t>
            </w:r>
          </w:p>
        </w:tc>
      </w:tr>
      <w:tr>
        <w:tc>
          <w:tcPr>
            <w:tcW w:type="dxa" w:w="360"/>
          </w:tcPr>
          <w:p>
            <w:pPr>
              <w:spacing w:after="40"/>
            </w:pPr>
            <w:r/>
            <w:r>
              <w:rPr>
                <w:b w:val="0"/>
                <w:sz w:val="17"/>
              </w:rPr>
              <w:t>6</w:t>
            </w:r>
          </w:p>
        </w:tc>
        <w:tc>
          <w:tcPr>
            <w:tcW w:type="dxa" w:w="1656"/>
          </w:tcPr>
          <w:p>
            <w:pPr>
              <w:spacing w:after="40"/>
            </w:pPr>
            <w:r/>
            <w:r>
              <w:rPr>
                <w:b w:val="0"/>
                <w:sz w:val="17"/>
              </w:rPr>
              <w:t>Referee</w:t>
            </w:r>
          </w:p>
        </w:tc>
        <w:tc>
          <w:tcPr>
            <w:tcW w:type="dxa" w:w="2232"/>
          </w:tcPr>
          <w:p>
            <w:pPr>
              <w:spacing w:after="40"/>
            </w:pPr>
            <w:r/>
            <w:r>
              <w:rPr>
                <w:b w:val="0"/>
                <w:sz w:val="17"/>
              </w:rPr>
              <w:t>Everything above, plus one Advocate per traveller</w:t>
            </w:r>
          </w:p>
        </w:tc>
        <w:tc>
          <w:tcPr>
            <w:tcW w:type="dxa" w:w="2520"/>
          </w:tcPr>
          <w:p>
            <w:pPr>
              <w:spacing w:after="40"/>
            </w:pPr>
            <w:r/>
            <w:r>
              <w:rPr>
                <w:b w:val="0"/>
                <w:sz w:val="17"/>
              </w:rPr>
              <w:t>Conflicts stated in rupees, concessions, and a consensus plan</w:t>
            </w:r>
          </w:p>
        </w:tc>
        <w:tc>
          <w:tcPr>
            <w:tcW w:type="dxa" w:w="2736"/>
          </w:tcPr>
          <w:p>
            <w:pPr>
              <w:spacing w:after="40"/>
            </w:pPr>
            <w:r/>
            <w:r>
              <w:rPr>
                <w:b w:val="0"/>
                <w:sz w:val="17"/>
              </w:rPr>
              <w:t>Three conflict classes — budget, mood, logistics; a fairness floor prevents one traveller conceding everything; may send the plan back upstream</w:t>
            </w:r>
          </w:p>
        </w:tc>
      </w:tr>
      <w:tr>
        <w:tc>
          <w:tcPr>
            <w:tcW w:type="dxa" w:w="360"/>
          </w:tcPr>
          <w:p>
            <w:pPr>
              <w:spacing w:after="40"/>
            </w:pPr>
            <w:r/>
            <w:r>
              <w:rPr>
                <w:b w:val="0"/>
                <w:sz w:val="17"/>
              </w:rPr>
              <w:t>7</w:t>
            </w:r>
          </w:p>
        </w:tc>
        <w:tc>
          <w:tcPr>
            <w:tcW w:type="dxa" w:w="1656"/>
          </w:tcPr>
          <w:p>
            <w:pPr>
              <w:spacing w:after="40"/>
            </w:pPr>
            <w:r/>
            <w:r>
              <w:rPr>
                <w:b w:val="0"/>
                <w:sz w:val="17"/>
              </w:rPr>
              <w:t>Notification</w:t>
            </w:r>
          </w:p>
        </w:tc>
        <w:tc>
          <w:tcPr>
            <w:tcW w:type="dxa" w:w="2232"/>
          </w:tcPr>
          <w:p>
            <w:pPr>
              <w:spacing w:after="40"/>
            </w:pPr>
            <w:r/>
            <w:r>
              <w:rPr>
                <w:b w:val="0"/>
                <w:sz w:val="17"/>
              </w:rPr>
              <w:t>The confirmed plan and accepted choices</w:t>
            </w:r>
          </w:p>
        </w:tc>
        <w:tc>
          <w:tcPr>
            <w:tcW w:type="dxa" w:w="2520"/>
          </w:tcPr>
          <w:p>
            <w:pPr>
              <w:spacing w:after="40"/>
            </w:pPr>
            <w:r/>
            <w:r>
              <w:rPr>
                <w:b w:val="0"/>
                <w:sz w:val="17"/>
              </w:rPr>
              <w:t>A time-anchored reminder schedule</w:t>
            </w:r>
          </w:p>
        </w:tc>
        <w:tc>
          <w:tcPr>
            <w:tcW w:type="dxa" w:w="2736"/>
          </w:tcPr>
          <w:p>
            <w:pPr>
              <w:spacing w:after="40"/>
            </w:pPr>
            <w:r/>
            <w:r>
              <w:rPr>
                <w:b w:val="0"/>
                <w:sz w:val="17"/>
              </w:rPr>
              <w:t>Built from accepted choices only; off unless the traveller opts in per trip</w:t>
            </w:r>
          </w:p>
        </w:tc>
      </w:tr>
    </w:tbl>
    <w:p>
      <w:pPr>
        <w:spacing w:after="40"/>
      </w:pPr>
    </w:p>
    <w:p>
      <w:pPr>
        <w:pStyle w:val="Heading2"/>
      </w:pPr>
      <w:r>
        <w:t>5.1 The backward edge</w:t>
      </w:r>
    </w:p>
    <w:p>
      <w:pPr>
        <w:spacing w:after="120"/>
      </w:pPr>
      <w:r>
        <w:rPr>
          <w:b w:val="0"/>
          <w:i w:val="0"/>
          <w:sz w:val="21"/>
        </w:rPr>
        <w:t>The Referee can return the plan to Budget or Itinerary when no consensus is reachable within the current allocation. This is what makes the system a graph rather than a chain, and it is the difference between agents that hand off and agents that negotiate.</w:t>
      </w:r>
    </w:p>
    <w:p>
      <w:pPr>
        <w:pStyle w:val="Heading2"/>
      </w:pPr>
      <w:r>
        <w:t>5.2 Traveller Advocates</w:t>
      </w:r>
    </w:p>
    <w:p>
      <w:pPr>
        <w:spacing w:after="120"/>
      </w:pPr>
      <w:r>
        <w:rPr>
          <w:b w:val="0"/>
          <w:i w:val="0"/>
          <w:sz w:val="21"/>
        </w:rPr>
        <w:t>On multi-traveller paths, one Advocate is instantiated per traveller, arguing that traveller's stated preferences. The count is dynamic — a group of five produces five Advocates. The Referee arbitrates between them and publishes the concession matrix, so the plan can be defended to the person who gave something up.</w:t>
      </w:r>
    </w:p>
    <w:p>
      <w:pPr>
        <w:pStyle w:val="Heading2"/>
      </w:pPr>
      <w:r>
        <w:t>5.3 Model strategy</w:t>
      </w:r>
    </w:p>
    <w:tbl>
      <w:tblPr>
        <w:tblStyle w:val="TableGrid"/>
        <w:tblW w:type="auto" w:w="0"/>
        <w:jc w:val="center"/>
        <w:tblLook w:firstColumn="1" w:firstRow="1" w:lastColumn="0" w:lastRow="0" w:noHBand="0" w:noVBand="1" w:val="04A0"/>
      </w:tblPr>
      <w:tblGrid>
        <w:gridCol w:w="4896"/>
        <w:gridCol w:w="4896"/>
      </w:tblGrid>
      <w:tr>
        <w:tc>
          <w:tcPr>
            <w:tcW w:type="dxa" w:w="3456"/>
            <w:shd w:val="clear" w:fill="14453D"/>
          </w:tcPr>
          <w:p>
            <w:pPr>
              <w:spacing w:after="40"/>
            </w:pPr>
            <w:r/>
            <w:r>
              <w:rPr>
                <w:b/>
                <w:color w:val="FFFFFF"/>
                <w:sz w:val="19"/>
              </w:rPr>
              <w:t>Model</w:t>
            </w:r>
          </w:p>
        </w:tc>
        <w:tc>
          <w:tcPr>
            <w:tcW w:type="dxa" w:w="6048"/>
            <w:shd w:val="clear" w:fill="14453D"/>
          </w:tcPr>
          <w:p>
            <w:pPr>
              <w:spacing w:after="40"/>
            </w:pPr>
            <w:r/>
            <w:r>
              <w:rPr>
                <w:b/>
                <w:color w:val="FFFFFF"/>
                <w:sz w:val="19"/>
              </w:rPr>
              <w:t>Role</w:t>
            </w:r>
          </w:p>
        </w:tc>
      </w:tr>
      <w:tr>
        <w:tc>
          <w:tcPr>
            <w:tcW w:type="dxa" w:w="3456"/>
          </w:tcPr>
          <w:p>
            <w:pPr>
              <w:spacing w:after="40"/>
            </w:pPr>
            <w:r/>
            <w:r>
              <w:rPr>
                <w:b w:val="0"/>
                <w:sz w:val="19"/>
              </w:rPr>
              <w:t>llama-3.3-70b-versatile</w:t>
            </w:r>
          </w:p>
        </w:tc>
        <w:tc>
          <w:tcPr>
            <w:tcW w:type="dxa" w:w="6048"/>
          </w:tcPr>
          <w:p>
            <w:pPr>
              <w:spacing w:after="40"/>
            </w:pPr>
            <w:r/>
            <w:r>
              <w:rPr>
                <w:b w:val="0"/>
                <w:sz w:val="19"/>
              </w:rPr>
              <w:t>Reasoning-heavy agents — Discovery, Referee</w:t>
            </w:r>
          </w:p>
        </w:tc>
      </w:tr>
      <w:tr>
        <w:tc>
          <w:tcPr>
            <w:tcW w:type="dxa" w:w="3456"/>
          </w:tcPr>
          <w:p>
            <w:pPr>
              <w:spacing w:after="40"/>
            </w:pPr>
            <w:r/>
            <w:r>
              <w:rPr>
                <w:b w:val="0"/>
                <w:sz w:val="19"/>
              </w:rPr>
              <w:t>openai/gpt-oss-120b</w:t>
            </w:r>
          </w:p>
        </w:tc>
        <w:tc>
          <w:tcPr>
            <w:tcW w:type="dxa" w:w="6048"/>
          </w:tcPr>
          <w:p>
            <w:pPr>
              <w:spacing w:after="40"/>
            </w:pPr>
            <w:r/>
            <w:r>
              <w:rPr>
                <w:b w:val="0"/>
                <w:sz w:val="19"/>
              </w:rPr>
              <w:t>Arbitration and long-context work</w:t>
            </w:r>
          </w:p>
        </w:tc>
      </w:tr>
      <w:tr>
        <w:tc>
          <w:tcPr>
            <w:tcW w:type="dxa" w:w="3456"/>
          </w:tcPr>
          <w:p>
            <w:pPr>
              <w:spacing w:after="40"/>
            </w:pPr>
            <w:r/>
            <w:r>
              <w:rPr>
                <w:b w:val="0"/>
                <w:sz w:val="19"/>
              </w:rPr>
              <w:t>llama-3.1-8b-instant</w:t>
            </w:r>
          </w:p>
        </w:tc>
        <w:tc>
          <w:tcPr>
            <w:tcW w:type="dxa" w:w="6048"/>
          </w:tcPr>
          <w:p>
            <w:pPr>
              <w:spacing w:after="40"/>
            </w:pPr>
            <w:r/>
            <w:r>
              <w:rPr>
                <w:b w:val="0"/>
                <w:sz w:val="19"/>
              </w:rPr>
              <w:t>Structural and short-form work</w:t>
            </w:r>
          </w:p>
        </w:tc>
      </w:tr>
    </w:tbl>
    <w:p>
      <w:pPr>
        <w:spacing w:after="40"/>
      </w:pPr>
    </w:p>
    <w:p>
      <w:pPr>
        <w:spacing w:after="120"/>
      </w:pPr>
      <w:r>
        <w:rPr>
          <w:b w:val="0"/>
          <w:i w:val="0"/>
          <w:sz w:val="21"/>
        </w:rPr>
        <w:t>Every agent has an ordered chain of all three. On a 429, 400, 413, 422 or 503, the agent fails over to the next model rather than failing the plan. This exists because the free tier's binding constraint is tokens per day, and because one model returns a 400 on a nested schema another accepts — a failure mode that took down an agent in production before the chain was in place.</w:t>
      </w:r>
    </w:p>
    <w:p>
      <w:r>
        <w:br w:type="page"/>
      </w:r>
    </w:p>
    <w:p>
      <w:pPr>
        <w:pStyle w:val="Heading1"/>
      </w:pPr>
      <w:r>
        <w:t>6 · Functional requirements</w:t>
      </w:r>
    </w:p>
    <w:p>
      <w:pPr>
        <w:spacing w:after="120"/>
      </w:pPr>
      <w:r>
        <w:rPr>
          <w:b w:val="0"/>
          <w:i w:val="0"/>
          <w:sz w:val="21"/>
        </w:rPr>
        <w:t>Every requirement below is implemented in the deployed product.</w:t>
      </w:r>
    </w:p>
    <w:tbl>
      <w:tblPr>
        <w:tblStyle w:val="TableGrid"/>
        <w:tblW w:type="auto" w:w="0"/>
        <w:jc w:val="center"/>
        <w:tblLook w:firstColumn="1" w:firstRow="1" w:lastColumn="0" w:lastRow="0" w:noHBand="0" w:noVBand="1" w:val="04A0"/>
      </w:tblPr>
      <w:tblGrid>
        <w:gridCol w:w="3264"/>
        <w:gridCol w:w="3264"/>
        <w:gridCol w:w="3264"/>
      </w:tblGrid>
      <w:tr>
        <w:tc>
          <w:tcPr>
            <w:tcW w:type="dxa" w:w="792"/>
            <w:shd w:val="clear" w:fill="14453D"/>
          </w:tcPr>
          <w:p>
            <w:pPr>
              <w:spacing w:after="40"/>
            </w:pPr>
            <w:r/>
            <w:r>
              <w:rPr>
                <w:b/>
                <w:color w:val="FFFFFF"/>
                <w:sz w:val="18"/>
              </w:rPr>
              <w:t>ID</w:t>
            </w:r>
          </w:p>
        </w:tc>
        <w:tc>
          <w:tcPr>
            <w:tcW w:type="dxa" w:w="3384"/>
            <w:shd w:val="clear" w:fill="14453D"/>
          </w:tcPr>
          <w:p>
            <w:pPr>
              <w:spacing w:after="40"/>
            </w:pPr>
            <w:r/>
            <w:r>
              <w:rPr>
                <w:b/>
                <w:color w:val="FFFFFF"/>
                <w:sz w:val="18"/>
              </w:rPr>
              <w:t>Requirement</w:t>
            </w:r>
          </w:p>
        </w:tc>
        <w:tc>
          <w:tcPr>
            <w:tcW w:type="dxa" w:w="5328"/>
            <w:shd w:val="clear" w:fill="14453D"/>
          </w:tcPr>
          <w:p>
            <w:pPr>
              <w:spacing w:after="40"/>
            </w:pPr>
            <w:r/>
            <w:r>
              <w:rPr>
                <w:b/>
                <w:color w:val="FFFFFF"/>
                <w:sz w:val="18"/>
              </w:rPr>
              <w:t>Acceptance criterion</w:t>
            </w:r>
          </w:p>
        </w:tc>
      </w:tr>
      <w:tr>
        <w:tc>
          <w:tcPr>
            <w:tcW w:type="dxa" w:w="792"/>
          </w:tcPr>
          <w:p>
            <w:pPr>
              <w:spacing w:after="40"/>
            </w:pPr>
            <w:r/>
            <w:r>
              <w:rPr>
                <w:b w:val="0"/>
                <w:sz w:val="18"/>
              </w:rPr>
              <w:t>FR-01</w:t>
            </w:r>
          </w:p>
        </w:tc>
        <w:tc>
          <w:tcPr>
            <w:tcW w:type="dxa" w:w="3384"/>
          </w:tcPr>
          <w:p>
            <w:pPr>
              <w:spacing w:after="40"/>
            </w:pPr>
            <w:r/>
            <w:r>
              <w:rPr>
                <w:b w:val="0"/>
                <w:sz w:val="18"/>
              </w:rPr>
              <w:t>Six travel paths as first-class entry points</w:t>
            </w:r>
          </w:p>
        </w:tc>
        <w:tc>
          <w:tcPr>
            <w:tcW w:type="dxa" w:w="5328"/>
          </w:tcPr>
          <w:p>
            <w:pPr>
              <w:spacing w:after="40"/>
            </w:pPr>
            <w:r/>
            <w:r>
              <w:rPr>
                <w:b w:val="0"/>
                <w:sz w:val="18"/>
              </w:rPr>
              <w:t>Each path presents its own intent capture; none is a variant of another</w:t>
            </w:r>
          </w:p>
        </w:tc>
      </w:tr>
      <w:tr>
        <w:tc>
          <w:tcPr>
            <w:tcW w:type="dxa" w:w="792"/>
          </w:tcPr>
          <w:p>
            <w:pPr>
              <w:spacing w:after="40"/>
            </w:pPr>
            <w:r/>
            <w:r>
              <w:rPr>
                <w:b w:val="0"/>
                <w:sz w:val="18"/>
              </w:rPr>
              <w:t>FR-02</w:t>
            </w:r>
          </w:p>
        </w:tc>
        <w:tc>
          <w:tcPr>
            <w:tcW w:type="dxa" w:w="3384"/>
          </w:tcPr>
          <w:p>
            <w:pPr>
              <w:spacing w:after="40"/>
            </w:pPr>
            <w:r/>
            <w:r>
              <w:rPr>
                <w:b w:val="0"/>
                <w:sz w:val="18"/>
              </w:rPr>
              <w:t>A brief with no assumed defaults</w:t>
            </w:r>
          </w:p>
        </w:tc>
        <w:tc>
          <w:tcPr>
            <w:tcW w:type="dxa" w:w="5328"/>
          </w:tcPr>
          <w:p>
            <w:pPr>
              <w:spacing w:after="40"/>
            </w:pPr>
            <w:r/>
            <w:r>
              <w:rPr>
                <w:b w:val="0"/>
                <w:sz w:val="18"/>
              </w:rPr>
              <w:t>Origin, dates, budget, party and mood are all traveller-supplied; no origin city is pre-filled or implied anywhere downstream</w:t>
            </w:r>
          </w:p>
        </w:tc>
      </w:tr>
      <w:tr>
        <w:tc>
          <w:tcPr>
            <w:tcW w:type="dxa" w:w="792"/>
          </w:tcPr>
          <w:p>
            <w:pPr>
              <w:spacing w:after="40"/>
            </w:pPr>
            <w:r/>
            <w:r>
              <w:rPr>
                <w:b w:val="0"/>
                <w:sz w:val="18"/>
              </w:rPr>
              <w:t>FR-03</w:t>
            </w:r>
          </w:p>
        </w:tc>
        <w:tc>
          <w:tcPr>
            <w:tcW w:type="dxa" w:w="3384"/>
          </w:tcPr>
          <w:p>
            <w:pPr>
              <w:spacing w:after="40"/>
            </w:pPr>
            <w:r/>
            <w:r>
              <w:rPr>
                <w:b w:val="0"/>
                <w:sz w:val="18"/>
              </w:rPr>
              <w:t>Live per-agent progress</w:t>
            </w:r>
          </w:p>
        </w:tc>
        <w:tc>
          <w:tcPr>
            <w:tcW w:type="dxa" w:w="5328"/>
          </w:tcPr>
          <w:p>
            <w:pPr>
              <w:spacing w:after="40"/>
            </w:pPr>
            <w:r/>
            <w:r>
              <w:rPr>
                <w:b w:val="0"/>
                <w:sz w:val="18"/>
              </w:rPr>
              <w:t>Each agent reports individually as it completes; a single agent failing does not blank the plan</w:t>
            </w:r>
          </w:p>
        </w:tc>
      </w:tr>
      <w:tr>
        <w:tc>
          <w:tcPr>
            <w:tcW w:type="dxa" w:w="792"/>
          </w:tcPr>
          <w:p>
            <w:pPr>
              <w:spacing w:after="40"/>
            </w:pPr>
            <w:r/>
            <w:r>
              <w:rPr>
                <w:b w:val="0"/>
                <w:sz w:val="18"/>
              </w:rPr>
              <w:t>FR-04</w:t>
            </w:r>
          </w:p>
        </w:tc>
        <w:tc>
          <w:tcPr>
            <w:tcW w:type="dxa" w:w="3384"/>
          </w:tcPr>
          <w:p>
            <w:pPr>
              <w:spacing w:after="40"/>
            </w:pPr>
            <w:r/>
            <w:r>
              <w:rPr>
                <w:b w:val="0"/>
                <w:sz w:val="18"/>
              </w:rPr>
              <w:t>Evidenced destination selection</w:t>
            </w:r>
          </w:p>
        </w:tc>
        <w:tc>
          <w:tcPr>
            <w:tcW w:type="dxa" w:w="5328"/>
          </w:tcPr>
          <w:p>
            <w:pPr>
              <w:spacing w:after="40"/>
            </w:pPr>
            <w:r/>
            <w:r>
              <w:rPr>
                <w:b w:val="0"/>
                <w:sz w:val="18"/>
              </w:rPr>
              <w:t>Every non-negotiable is answered explicitly in the destination rationale</w:t>
            </w:r>
          </w:p>
        </w:tc>
      </w:tr>
      <w:tr>
        <w:tc>
          <w:tcPr>
            <w:tcW w:type="dxa" w:w="792"/>
          </w:tcPr>
          <w:p>
            <w:pPr>
              <w:spacing w:after="40"/>
            </w:pPr>
            <w:r/>
            <w:r>
              <w:rPr>
                <w:b w:val="0"/>
                <w:sz w:val="18"/>
              </w:rPr>
              <w:t>FR-05</w:t>
            </w:r>
          </w:p>
        </w:tc>
        <w:tc>
          <w:tcPr>
            <w:tcW w:type="dxa" w:w="3384"/>
          </w:tcPr>
          <w:p>
            <w:pPr>
              <w:spacing w:after="40"/>
            </w:pPr>
            <w:r/>
            <w:r>
              <w:rPr>
                <w:b w:val="0"/>
                <w:sz w:val="18"/>
              </w:rPr>
              <w:t>Deterministic budget arithmetic</w:t>
            </w:r>
          </w:p>
        </w:tc>
        <w:tc>
          <w:tcPr>
            <w:tcW w:type="dxa" w:w="5328"/>
          </w:tcPr>
          <w:p>
            <w:pPr>
              <w:spacing w:after="40"/>
            </w:pPr>
            <w:r/>
            <w:r>
              <w:rPr>
                <w:b w:val="0"/>
                <w:sz w:val="18"/>
              </w:rPr>
              <w:t>Totals, splits and re-prices are computed in code; no total ever originates from a model</w:t>
            </w:r>
          </w:p>
        </w:tc>
      </w:tr>
      <w:tr>
        <w:tc>
          <w:tcPr>
            <w:tcW w:type="dxa" w:w="792"/>
          </w:tcPr>
          <w:p>
            <w:pPr>
              <w:spacing w:after="40"/>
            </w:pPr>
            <w:r/>
            <w:r>
              <w:rPr>
                <w:b w:val="0"/>
                <w:sz w:val="18"/>
              </w:rPr>
              <w:t>FR-06</w:t>
            </w:r>
          </w:p>
        </w:tc>
        <w:tc>
          <w:tcPr>
            <w:tcW w:type="dxa" w:w="3384"/>
          </w:tcPr>
          <w:p>
            <w:pPr>
              <w:spacing w:after="40"/>
            </w:pPr>
            <w:r/>
            <w:r>
              <w:rPr>
                <w:b w:val="0"/>
                <w:sz w:val="18"/>
              </w:rPr>
              <w:t>Day-by-day itinerary with real places</w:t>
            </w:r>
          </w:p>
        </w:tc>
        <w:tc>
          <w:tcPr>
            <w:tcW w:type="dxa" w:w="5328"/>
          </w:tcPr>
          <w:p>
            <w:pPr>
              <w:spacing w:after="40"/>
            </w:pPr>
            <w:r/>
            <w:r>
              <w:rPr>
                <w:b w:val="0"/>
                <w:sz w:val="18"/>
              </w:rPr>
              <w:t>Places resolve to real locations with images where available</w:t>
            </w:r>
          </w:p>
        </w:tc>
      </w:tr>
      <w:tr>
        <w:tc>
          <w:tcPr>
            <w:tcW w:type="dxa" w:w="792"/>
          </w:tcPr>
          <w:p>
            <w:pPr>
              <w:spacing w:after="40"/>
            </w:pPr>
            <w:r/>
            <w:r>
              <w:rPr>
                <w:b w:val="0"/>
                <w:sz w:val="18"/>
              </w:rPr>
              <w:t>FR-07</w:t>
            </w:r>
          </w:p>
        </w:tc>
        <w:tc>
          <w:tcPr>
            <w:tcW w:type="dxa" w:w="3384"/>
          </w:tcPr>
          <w:p>
            <w:pPr>
              <w:spacing w:after="40"/>
            </w:pPr>
            <w:r/>
            <w:r>
              <w:rPr>
                <w:b w:val="0"/>
                <w:sz w:val="18"/>
              </w:rPr>
              <w:t>Approval gates on spend</w:t>
            </w:r>
          </w:p>
        </w:tc>
        <w:tc>
          <w:tcPr>
            <w:tcW w:type="dxa" w:w="5328"/>
          </w:tcPr>
          <w:p>
            <w:pPr>
              <w:spacing w:after="40"/>
            </w:pPr>
            <w:r/>
            <w:r>
              <w:rPr>
                <w:b w:val="0"/>
                <w:sz w:val="18"/>
              </w:rPr>
              <w:t>Items above the threshold cannot be confirmed unapproved; changing an amount revokes prior approval</w:t>
            </w:r>
          </w:p>
        </w:tc>
      </w:tr>
      <w:tr>
        <w:tc>
          <w:tcPr>
            <w:tcW w:type="dxa" w:w="792"/>
          </w:tcPr>
          <w:p>
            <w:pPr>
              <w:spacing w:after="40"/>
            </w:pPr>
            <w:r/>
            <w:r>
              <w:rPr>
                <w:b w:val="0"/>
                <w:sz w:val="18"/>
              </w:rPr>
              <w:t>FR-08</w:t>
            </w:r>
          </w:p>
        </w:tc>
        <w:tc>
          <w:tcPr>
            <w:tcW w:type="dxa" w:w="3384"/>
          </w:tcPr>
          <w:p>
            <w:pPr>
              <w:spacing w:after="40"/>
            </w:pPr>
            <w:r/>
            <w:r>
              <w:rPr>
                <w:b w:val="0"/>
                <w:sz w:val="18"/>
              </w:rPr>
              <w:t>Alternatives and override</w:t>
            </w:r>
          </w:p>
        </w:tc>
        <w:tc>
          <w:tcPr>
            <w:tcW w:type="dxa" w:w="5328"/>
          </w:tcPr>
          <w:p>
            <w:pPr>
              <w:spacing w:after="40"/>
            </w:pPr>
            <w:r/>
            <w:r>
              <w:rPr>
                <w:b w:val="0"/>
                <w:sz w:val="18"/>
              </w:rPr>
              <w:t>Destination, transport, stay and any day can be changed; the trip re-prices on every change</w:t>
            </w:r>
          </w:p>
        </w:tc>
      </w:tr>
      <w:tr>
        <w:tc>
          <w:tcPr>
            <w:tcW w:type="dxa" w:w="792"/>
          </w:tcPr>
          <w:p>
            <w:pPr>
              <w:spacing w:after="40"/>
            </w:pPr>
            <w:r/>
            <w:r>
              <w:rPr>
                <w:b w:val="0"/>
                <w:sz w:val="18"/>
              </w:rPr>
              <w:t>FR-09</w:t>
            </w:r>
          </w:p>
        </w:tc>
        <w:tc>
          <w:tcPr>
            <w:tcW w:type="dxa" w:w="3384"/>
          </w:tcPr>
          <w:p>
            <w:pPr>
              <w:spacing w:after="40"/>
            </w:pPr>
            <w:r/>
            <w:r>
              <w:rPr>
                <w:b w:val="0"/>
                <w:sz w:val="18"/>
              </w:rPr>
              <w:t>Visible arbitration</w:t>
            </w:r>
          </w:p>
        </w:tc>
        <w:tc>
          <w:tcPr>
            <w:tcW w:type="dxa" w:w="5328"/>
          </w:tcPr>
          <w:p>
            <w:pPr>
              <w:spacing w:after="40"/>
            </w:pPr>
            <w:r/>
            <w:r>
              <w:rPr>
                <w:b w:val="0"/>
                <w:sz w:val="18"/>
              </w:rPr>
              <w:t>Conflicts are stated in rupees with named concessions and a fairness floor</w:t>
            </w:r>
          </w:p>
        </w:tc>
      </w:tr>
      <w:tr>
        <w:tc>
          <w:tcPr>
            <w:tcW w:type="dxa" w:w="792"/>
          </w:tcPr>
          <w:p>
            <w:pPr>
              <w:spacing w:after="40"/>
            </w:pPr>
            <w:r/>
            <w:r>
              <w:rPr>
                <w:b w:val="0"/>
                <w:sz w:val="18"/>
              </w:rPr>
              <w:t>FR-10</w:t>
            </w:r>
          </w:p>
        </w:tc>
        <w:tc>
          <w:tcPr>
            <w:tcW w:type="dxa" w:w="3384"/>
          </w:tcPr>
          <w:p>
            <w:pPr>
              <w:spacing w:after="40"/>
            </w:pPr>
            <w:r/>
            <w:r>
              <w:rPr>
                <w:b w:val="0"/>
                <w:sz w:val="18"/>
              </w:rPr>
              <w:t>Progress signposting</w:t>
            </w:r>
          </w:p>
        </w:tc>
        <w:tc>
          <w:tcPr>
            <w:tcW w:type="dxa" w:w="5328"/>
          </w:tcPr>
          <w:p>
            <w:pPr>
              <w:spacing w:after="40"/>
            </w:pPr>
            <w:r/>
            <w:r>
              <w:rPr>
                <w:b w:val="0"/>
                <w:sz w:val="18"/>
              </w:rPr>
              <w:t>A four-step stepper (Adjust → Approve → Confirm → Reminders) states the sequence from the moment a plan exists</w:t>
            </w:r>
          </w:p>
        </w:tc>
      </w:tr>
      <w:tr>
        <w:tc>
          <w:tcPr>
            <w:tcW w:type="dxa" w:w="792"/>
          </w:tcPr>
          <w:p>
            <w:pPr>
              <w:spacing w:after="40"/>
            </w:pPr>
            <w:r/>
            <w:r>
              <w:rPr>
                <w:b w:val="0"/>
                <w:sz w:val="18"/>
              </w:rPr>
              <w:t>FR-11</w:t>
            </w:r>
          </w:p>
        </w:tc>
        <w:tc>
          <w:tcPr>
            <w:tcW w:type="dxa" w:w="3384"/>
          </w:tcPr>
          <w:p>
            <w:pPr>
              <w:spacing w:after="40"/>
            </w:pPr>
            <w:r/>
            <w:r>
              <w:rPr>
                <w:b w:val="0"/>
                <w:sz w:val="18"/>
              </w:rPr>
              <w:t>Authentication gate at commitment</w:t>
            </w:r>
          </w:p>
        </w:tc>
        <w:tc>
          <w:tcPr>
            <w:tcW w:type="dxa" w:w="5328"/>
          </w:tcPr>
          <w:p>
            <w:pPr>
              <w:spacing w:after="40"/>
            </w:pPr>
            <w:r/>
            <w:r>
              <w:rPr>
                <w:b w:val="0"/>
                <w:sz w:val="18"/>
              </w:rPr>
              <w:t>Planning works signed out; confirming and saving require sign-in via Google or the test-user path</w:t>
            </w:r>
          </w:p>
        </w:tc>
      </w:tr>
      <w:tr>
        <w:tc>
          <w:tcPr>
            <w:tcW w:type="dxa" w:w="792"/>
          </w:tcPr>
          <w:p>
            <w:pPr>
              <w:spacing w:after="40"/>
            </w:pPr>
            <w:r/>
            <w:r>
              <w:rPr>
                <w:b w:val="0"/>
                <w:sz w:val="18"/>
              </w:rPr>
              <w:t>FR-12</w:t>
            </w:r>
          </w:p>
        </w:tc>
        <w:tc>
          <w:tcPr>
            <w:tcW w:type="dxa" w:w="3384"/>
          </w:tcPr>
          <w:p>
            <w:pPr>
              <w:spacing w:after="40"/>
            </w:pPr>
            <w:r/>
            <w:r>
              <w:rPr>
                <w:b w:val="0"/>
                <w:sz w:val="18"/>
              </w:rPr>
              <w:t>Trip confirmation</w:t>
            </w:r>
          </w:p>
        </w:tc>
        <w:tc>
          <w:tcPr>
            <w:tcW w:type="dxa" w:w="5328"/>
          </w:tcPr>
          <w:p>
            <w:pPr>
              <w:spacing w:after="40"/>
            </w:pPr>
            <w:r/>
            <w:r>
              <w:rPr>
                <w:b w:val="0"/>
                <w:sz w:val="18"/>
              </w:rPr>
              <w:t>Confirming locks the plan and rebuilds the reminder schedule from the accepted choices</w:t>
            </w:r>
          </w:p>
        </w:tc>
      </w:tr>
      <w:tr>
        <w:tc>
          <w:tcPr>
            <w:tcW w:type="dxa" w:w="792"/>
          </w:tcPr>
          <w:p>
            <w:pPr>
              <w:spacing w:after="40"/>
            </w:pPr>
            <w:r/>
            <w:r>
              <w:rPr>
                <w:b w:val="0"/>
                <w:sz w:val="18"/>
              </w:rPr>
              <w:t>FR-13</w:t>
            </w:r>
          </w:p>
        </w:tc>
        <w:tc>
          <w:tcPr>
            <w:tcW w:type="dxa" w:w="3384"/>
          </w:tcPr>
          <w:p>
            <w:pPr>
              <w:spacing w:after="40"/>
            </w:pPr>
            <w:r/>
            <w:r>
              <w:rPr>
                <w:b w:val="0"/>
                <w:sz w:val="18"/>
              </w:rPr>
              <w:t>Opt-in reminders, per trip</w:t>
            </w:r>
          </w:p>
        </w:tc>
        <w:tc>
          <w:tcPr>
            <w:tcW w:type="dxa" w:w="5328"/>
          </w:tcPr>
          <w:p>
            <w:pPr>
              <w:spacing w:after="40"/>
            </w:pPr>
            <w:r/>
            <w:r>
              <w:rPr>
                <w:b w:val="0"/>
                <w:sz w:val="18"/>
              </w:rPr>
              <w:t>Off by default; enabled per trip; grouped and time-anchored in the bell menu</w:t>
            </w:r>
          </w:p>
        </w:tc>
      </w:tr>
      <w:tr>
        <w:tc>
          <w:tcPr>
            <w:tcW w:type="dxa" w:w="792"/>
          </w:tcPr>
          <w:p>
            <w:pPr>
              <w:spacing w:after="40"/>
            </w:pPr>
            <w:r/>
            <w:r>
              <w:rPr>
                <w:b w:val="0"/>
                <w:sz w:val="18"/>
              </w:rPr>
              <w:t>FR-14</w:t>
            </w:r>
          </w:p>
        </w:tc>
        <w:tc>
          <w:tcPr>
            <w:tcW w:type="dxa" w:w="3384"/>
          </w:tcPr>
          <w:p>
            <w:pPr>
              <w:spacing w:after="40"/>
            </w:pPr>
            <w:r/>
            <w:r>
              <w:rPr>
                <w:b w:val="0"/>
                <w:sz w:val="18"/>
              </w:rPr>
              <w:t>Email the plan on demand</w:t>
            </w:r>
          </w:p>
        </w:tc>
        <w:tc>
          <w:tcPr>
            <w:tcW w:type="dxa" w:w="5328"/>
          </w:tcPr>
          <w:p>
            <w:pPr>
              <w:spacing w:after="40"/>
            </w:pPr>
            <w:r/>
            <w:r>
              <w:rPr>
                <w:b w:val="0"/>
                <w:sz w:val="18"/>
              </w:rPr>
              <w:t>A confirmed plan can be emailed to the signed-in address</w:t>
            </w:r>
          </w:p>
        </w:tc>
      </w:tr>
      <w:tr>
        <w:tc>
          <w:tcPr>
            <w:tcW w:type="dxa" w:w="792"/>
          </w:tcPr>
          <w:p>
            <w:pPr>
              <w:spacing w:after="40"/>
            </w:pPr>
            <w:r/>
            <w:r>
              <w:rPr>
                <w:b w:val="0"/>
                <w:sz w:val="18"/>
              </w:rPr>
              <w:t>FR-15</w:t>
            </w:r>
          </w:p>
        </w:tc>
        <w:tc>
          <w:tcPr>
            <w:tcW w:type="dxa" w:w="3384"/>
          </w:tcPr>
          <w:p>
            <w:pPr>
              <w:spacing w:after="40"/>
            </w:pPr>
            <w:r/>
            <w:r>
              <w:rPr>
                <w:b w:val="0"/>
                <w:sz w:val="18"/>
              </w:rPr>
              <w:t>Saved trips without duplicates</w:t>
            </w:r>
          </w:p>
        </w:tc>
        <w:tc>
          <w:tcPr>
            <w:tcW w:type="dxa" w:w="5328"/>
          </w:tcPr>
          <w:p>
            <w:pPr>
              <w:spacing w:after="40"/>
            </w:pPr>
            <w:r/>
            <w:r>
              <w:rPr>
                <w:b w:val="0"/>
                <w:sz w:val="18"/>
              </w:rPr>
              <w:t>Re-saving the same trip updates it rather than creating a second copy</w:t>
            </w:r>
          </w:p>
        </w:tc>
      </w:tr>
      <w:tr>
        <w:tc>
          <w:tcPr>
            <w:tcW w:type="dxa" w:w="792"/>
          </w:tcPr>
          <w:p>
            <w:pPr>
              <w:spacing w:after="40"/>
            </w:pPr>
            <w:r/>
            <w:r>
              <w:rPr>
                <w:b w:val="0"/>
                <w:sz w:val="18"/>
              </w:rPr>
              <w:t>FR-16</w:t>
            </w:r>
          </w:p>
        </w:tc>
        <w:tc>
          <w:tcPr>
            <w:tcW w:type="dxa" w:w="3384"/>
          </w:tcPr>
          <w:p>
            <w:pPr>
              <w:spacing w:after="40"/>
            </w:pPr>
            <w:r/>
            <w:r>
              <w:rPr>
                <w:b w:val="0"/>
                <w:sz w:val="18"/>
              </w:rPr>
              <w:t>Global assistant</w:t>
            </w:r>
          </w:p>
        </w:tc>
        <w:tc>
          <w:tcPr>
            <w:tcW w:type="dxa" w:w="5328"/>
          </w:tcPr>
          <w:p>
            <w:pPr>
              <w:spacing w:after="40"/>
            </w:pPr>
            <w:r/>
            <w:r>
              <w:rPr>
                <w:b w:val="0"/>
                <w:sz w:val="18"/>
              </w:rPr>
              <w:t>Available on every page, draggable both collapsed and open, with pre-made questions that fill the input rather than firing</w:t>
            </w:r>
          </w:p>
        </w:tc>
      </w:tr>
      <w:tr>
        <w:tc>
          <w:tcPr>
            <w:tcW w:type="dxa" w:w="792"/>
          </w:tcPr>
          <w:p>
            <w:pPr>
              <w:spacing w:after="40"/>
            </w:pPr>
            <w:r/>
            <w:r>
              <w:rPr>
                <w:b w:val="0"/>
                <w:sz w:val="18"/>
              </w:rPr>
              <w:t>FR-17</w:t>
            </w:r>
          </w:p>
        </w:tc>
        <w:tc>
          <w:tcPr>
            <w:tcW w:type="dxa" w:w="3384"/>
          </w:tcPr>
          <w:p>
            <w:pPr>
              <w:spacing w:after="40"/>
            </w:pPr>
            <w:r/>
            <w:r>
              <w:rPr>
                <w:b w:val="0"/>
                <w:sz w:val="18"/>
              </w:rPr>
              <w:t>Multilingual throughout</w:t>
            </w:r>
          </w:p>
        </w:tc>
        <w:tc>
          <w:tcPr>
            <w:tcW w:type="dxa" w:w="5328"/>
          </w:tcPr>
          <w:p>
            <w:pPr>
              <w:spacing w:after="40"/>
            </w:pPr>
            <w:r/>
            <w:r>
              <w:rPr>
                <w:b w:val="0"/>
                <w:sz w:val="18"/>
              </w:rPr>
              <w:t>Seven languages, including agent-generated output, translated after generation completes</w:t>
            </w:r>
          </w:p>
        </w:tc>
      </w:tr>
      <w:tr>
        <w:tc>
          <w:tcPr>
            <w:tcW w:type="dxa" w:w="792"/>
          </w:tcPr>
          <w:p>
            <w:pPr>
              <w:spacing w:after="40"/>
            </w:pPr>
            <w:r/>
            <w:r>
              <w:rPr>
                <w:b w:val="0"/>
                <w:sz w:val="18"/>
              </w:rPr>
              <w:t>FR-18</w:t>
            </w:r>
          </w:p>
        </w:tc>
        <w:tc>
          <w:tcPr>
            <w:tcW w:type="dxa" w:w="3384"/>
          </w:tcPr>
          <w:p>
            <w:pPr>
              <w:spacing w:after="40"/>
            </w:pPr>
            <w:r/>
            <w:r>
              <w:rPr>
                <w:b w:val="0"/>
                <w:sz w:val="18"/>
              </w:rPr>
              <w:t>Zero-quota sample plans</w:t>
            </w:r>
          </w:p>
        </w:tc>
        <w:tc>
          <w:tcPr>
            <w:tcW w:type="dxa" w:w="5328"/>
          </w:tcPr>
          <w:p>
            <w:pPr>
              <w:spacing w:after="40"/>
            </w:pPr>
            <w:r/>
            <w:r>
              <w:rPr>
                <w:b w:val="0"/>
                <w:sz w:val="18"/>
              </w:rPr>
              <w:t>Four complete plans open with no brief, no sign-in and no model call</w:t>
            </w:r>
          </w:p>
        </w:tc>
      </w:tr>
      <w:tr>
        <w:tc>
          <w:tcPr>
            <w:tcW w:type="dxa" w:w="792"/>
          </w:tcPr>
          <w:p>
            <w:pPr>
              <w:spacing w:after="40"/>
            </w:pPr>
            <w:r/>
            <w:r>
              <w:rPr>
                <w:b w:val="0"/>
                <w:sz w:val="18"/>
              </w:rPr>
              <w:t>FR-19</w:t>
            </w:r>
          </w:p>
        </w:tc>
        <w:tc>
          <w:tcPr>
            <w:tcW w:type="dxa" w:w="3384"/>
          </w:tcPr>
          <w:p>
            <w:pPr>
              <w:spacing w:after="40"/>
            </w:pPr>
            <w:r/>
            <w:r>
              <w:rPr>
                <w:b w:val="0"/>
                <w:sz w:val="18"/>
              </w:rPr>
              <w:t>Explicit scope handling</w:t>
            </w:r>
          </w:p>
        </w:tc>
        <w:tc>
          <w:tcPr>
            <w:tcW w:type="dxa" w:w="5328"/>
          </w:tcPr>
          <w:p>
            <w:pPr>
              <w:spacing w:after="40"/>
            </w:pPr>
            <w:r/>
            <w:r>
              <w:rPr>
                <w:b w:val="0"/>
                <w:sz w:val="18"/>
              </w:rPr>
              <w:t>An out-of-scope destination is named at the form, carried as an explicit field, and explained by Discovery — never silently substituted</w:t>
            </w:r>
          </w:p>
        </w:tc>
      </w:tr>
      <w:tr>
        <w:tc>
          <w:tcPr>
            <w:tcW w:type="dxa" w:w="792"/>
          </w:tcPr>
          <w:p>
            <w:pPr>
              <w:spacing w:after="40"/>
            </w:pPr>
            <w:r/>
            <w:r>
              <w:rPr>
                <w:b w:val="0"/>
                <w:sz w:val="18"/>
              </w:rPr>
              <w:t>FR-20</w:t>
            </w:r>
          </w:p>
        </w:tc>
        <w:tc>
          <w:tcPr>
            <w:tcW w:type="dxa" w:w="3384"/>
          </w:tcPr>
          <w:p>
            <w:pPr>
              <w:spacing w:after="40"/>
            </w:pPr>
            <w:r/>
            <w:r>
              <w:rPr>
                <w:b w:val="0"/>
                <w:sz w:val="18"/>
              </w:rPr>
              <w:t>Graceful degradation</w:t>
            </w:r>
          </w:p>
        </w:tc>
        <w:tc>
          <w:tcPr>
            <w:tcW w:type="dxa" w:w="5328"/>
          </w:tcPr>
          <w:p>
            <w:pPr>
              <w:spacing w:after="40"/>
            </w:pPr>
            <w:r/>
            <w:r>
              <w:rPr>
                <w:b w:val="0"/>
                <w:sz w:val="18"/>
              </w:rPr>
              <w:t>Missing auth configuration, exhausted quota or a failed agent each produce a specific, actionable message rather than a generic error</w:t>
            </w:r>
          </w:p>
        </w:tc>
      </w:tr>
    </w:tbl>
    <w:p>
      <w:pPr>
        <w:spacing w:after="40"/>
      </w:pPr>
    </w:p>
    <w:p>
      <w:r>
        <w:br w:type="page"/>
      </w:r>
    </w:p>
    <w:p>
      <w:pPr>
        <w:pStyle w:val="Heading1"/>
      </w:pPr>
      <w:r>
        <w:t>7 · Non-functional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4453D"/>
          </w:tcPr>
          <w:p>
            <w:pPr>
              <w:spacing w:after="40"/>
            </w:pPr>
            <w:r/>
            <w:r>
              <w:rPr>
                <w:b/>
                <w:color w:val="FFFFFF"/>
                <w:sz w:val="18"/>
              </w:rPr>
              <w:t>Area</w:t>
            </w:r>
          </w:p>
        </w:tc>
        <w:tc>
          <w:tcPr>
            <w:tcW w:type="dxa" w:w="5184"/>
            <w:shd w:val="clear" w:fill="14453D"/>
          </w:tcPr>
          <w:p>
            <w:pPr>
              <w:spacing w:after="40"/>
            </w:pPr>
            <w:r/>
            <w:r>
              <w:rPr>
                <w:b/>
                <w:color w:val="FFFFFF"/>
                <w:sz w:val="18"/>
              </w:rPr>
              <w:t>Requirement</w:t>
            </w:r>
          </w:p>
        </w:tc>
        <w:tc>
          <w:tcPr>
            <w:tcW w:type="dxa" w:w="2592"/>
            <w:shd w:val="clear" w:fill="14453D"/>
          </w:tcPr>
          <w:p>
            <w:pPr>
              <w:spacing w:after="40"/>
            </w:pPr>
            <w:r/>
            <w:r>
              <w:rPr>
                <w:b/>
                <w:color w:val="FFFFFF"/>
                <w:sz w:val="18"/>
              </w:rPr>
              <w:t>Status</w:t>
            </w:r>
          </w:p>
        </w:tc>
      </w:tr>
      <w:tr>
        <w:tc>
          <w:tcPr>
            <w:tcW w:type="dxa" w:w="1728"/>
          </w:tcPr>
          <w:p>
            <w:pPr>
              <w:spacing w:after="40"/>
            </w:pPr>
            <w:r/>
            <w:r>
              <w:rPr>
                <w:b w:val="0"/>
                <w:sz w:val="18"/>
              </w:rPr>
              <w:t>Performance</w:t>
            </w:r>
          </w:p>
        </w:tc>
        <w:tc>
          <w:tcPr>
            <w:tcW w:type="dxa" w:w="5184"/>
          </w:tcPr>
          <w:p>
            <w:pPr>
              <w:spacing w:after="40"/>
            </w:pPr>
            <w:r/>
            <w:r>
              <w:rPr>
                <w:b w:val="0"/>
                <w:sz w:val="18"/>
              </w:rPr>
              <w:t>A full seven-agent plan completes within a single attentive session; per-agent status is streamed so waiting is legible</w:t>
            </w:r>
          </w:p>
        </w:tc>
        <w:tc>
          <w:tcPr>
            <w:tcW w:type="dxa" w:w="2592"/>
          </w:tcPr>
          <w:p>
            <w:pPr>
              <w:spacing w:after="40"/>
            </w:pPr>
            <w:r/>
            <w:r>
              <w:rPr>
                <w:b w:val="0"/>
                <w:sz w:val="18"/>
              </w:rPr>
              <w:t>Met</w:t>
            </w:r>
          </w:p>
        </w:tc>
      </w:tr>
      <w:tr>
        <w:tc>
          <w:tcPr>
            <w:tcW w:type="dxa" w:w="1728"/>
          </w:tcPr>
          <w:p>
            <w:pPr>
              <w:spacing w:after="40"/>
            </w:pPr>
            <w:r/>
            <w:r>
              <w:rPr>
                <w:b w:val="0"/>
                <w:sz w:val="18"/>
              </w:rPr>
              <w:t>Resilience</w:t>
            </w:r>
          </w:p>
        </w:tc>
        <w:tc>
          <w:tcPr>
            <w:tcW w:type="dxa" w:w="5184"/>
          </w:tcPr>
          <w:p>
            <w:pPr>
              <w:spacing w:after="40"/>
            </w:pPr>
            <w:r/>
            <w:r>
              <w:rPr>
                <w:b w:val="0"/>
                <w:sz w:val="18"/>
              </w:rPr>
              <w:t>No single model outage or quota exhaustion can prevent a plan being produced</w:t>
            </w:r>
          </w:p>
        </w:tc>
        <w:tc>
          <w:tcPr>
            <w:tcW w:type="dxa" w:w="2592"/>
          </w:tcPr>
          <w:p>
            <w:pPr>
              <w:spacing w:after="40"/>
            </w:pPr>
            <w:r/>
            <w:r>
              <w:rPr>
                <w:b w:val="0"/>
                <w:sz w:val="18"/>
              </w:rPr>
              <w:t>Met — three-model failover, verified with the primary model fully exhausted</w:t>
            </w:r>
          </w:p>
        </w:tc>
      </w:tr>
      <w:tr>
        <w:tc>
          <w:tcPr>
            <w:tcW w:type="dxa" w:w="1728"/>
          </w:tcPr>
          <w:p>
            <w:pPr>
              <w:spacing w:after="40"/>
            </w:pPr>
            <w:r/>
            <w:r>
              <w:rPr>
                <w:b w:val="0"/>
                <w:sz w:val="18"/>
              </w:rPr>
              <w:t>Correctness of money</w:t>
            </w:r>
          </w:p>
        </w:tc>
        <w:tc>
          <w:tcPr>
            <w:tcW w:type="dxa" w:w="5184"/>
          </w:tcPr>
          <w:p>
            <w:pPr>
              <w:spacing w:after="40"/>
            </w:pPr>
            <w:r/>
            <w:r>
              <w:rPr>
                <w:b w:val="0"/>
                <w:sz w:val="18"/>
              </w:rPr>
              <w:t>No monetary figure is produced by a language model</w:t>
            </w:r>
          </w:p>
        </w:tc>
        <w:tc>
          <w:tcPr>
            <w:tcW w:type="dxa" w:w="2592"/>
          </w:tcPr>
          <w:p>
            <w:pPr>
              <w:spacing w:after="40"/>
            </w:pPr>
            <w:r/>
            <w:r>
              <w:rPr>
                <w:b w:val="0"/>
                <w:sz w:val="18"/>
              </w:rPr>
              <w:t>Met</w:t>
            </w:r>
          </w:p>
        </w:tc>
      </w:tr>
      <w:tr>
        <w:tc>
          <w:tcPr>
            <w:tcW w:type="dxa" w:w="1728"/>
          </w:tcPr>
          <w:p>
            <w:pPr>
              <w:spacing w:after="40"/>
            </w:pPr>
            <w:r/>
            <w:r>
              <w:rPr>
                <w:b w:val="0"/>
                <w:sz w:val="18"/>
              </w:rPr>
              <w:t>Privacy</w:t>
            </w:r>
          </w:p>
        </w:tc>
        <w:tc>
          <w:tcPr>
            <w:tcW w:type="dxa" w:w="5184"/>
          </w:tcPr>
          <w:p>
            <w:pPr>
              <w:spacing w:after="40"/>
            </w:pPr>
            <w:r/>
            <w:r>
              <w:rPr>
                <w:b w:val="0"/>
                <w:sz w:val="18"/>
              </w:rPr>
              <w:t>Trip data never leaves the device; an account stores only name, email and picture</w:t>
            </w:r>
          </w:p>
        </w:tc>
        <w:tc>
          <w:tcPr>
            <w:tcW w:type="dxa" w:w="2592"/>
          </w:tcPr>
          <w:p>
            <w:pPr>
              <w:spacing w:after="40"/>
            </w:pPr>
            <w:r/>
            <w:r>
              <w:rPr>
                <w:b w:val="0"/>
                <w:sz w:val="18"/>
              </w:rPr>
              <w:t>Met</w:t>
            </w:r>
          </w:p>
        </w:tc>
      </w:tr>
      <w:tr>
        <w:tc>
          <w:tcPr>
            <w:tcW w:type="dxa" w:w="1728"/>
          </w:tcPr>
          <w:p>
            <w:pPr>
              <w:spacing w:after="40"/>
            </w:pPr>
            <w:r/>
            <w:r>
              <w:rPr>
                <w:b w:val="0"/>
                <w:sz w:val="18"/>
              </w:rPr>
              <w:t>Security</w:t>
            </w:r>
          </w:p>
        </w:tc>
        <w:tc>
          <w:tcPr>
            <w:tcW w:type="dxa" w:w="5184"/>
          </w:tcPr>
          <w:p>
            <w:pPr>
              <w:spacing w:after="40"/>
            </w:pPr>
            <w:r/>
            <w:r>
              <w:rPr>
                <w:b w:val="0"/>
                <w:sz w:val="18"/>
              </w:rPr>
              <w:t>No API key is reachable from client code; all model calls are server-side</w:t>
            </w:r>
          </w:p>
        </w:tc>
        <w:tc>
          <w:tcPr>
            <w:tcW w:type="dxa" w:w="2592"/>
          </w:tcPr>
          <w:p>
            <w:pPr>
              <w:spacing w:after="40"/>
            </w:pPr>
            <w:r/>
            <w:r>
              <w:rPr>
                <w:b w:val="0"/>
                <w:sz w:val="18"/>
              </w:rPr>
              <w:t>Met</w:t>
            </w:r>
          </w:p>
        </w:tc>
      </w:tr>
      <w:tr>
        <w:tc>
          <w:tcPr>
            <w:tcW w:type="dxa" w:w="1728"/>
          </w:tcPr>
          <w:p>
            <w:pPr>
              <w:spacing w:after="40"/>
            </w:pPr>
            <w:r/>
            <w:r>
              <w:rPr>
                <w:b w:val="0"/>
                <w:sz w:val="18"/>
              </w:rPr>
              <w:t>Accessibility</w:t>
            </w:r>
          </w:p>
        </w:tc>
        <w:tc>
          <w:tcPr>
            <w:tcW w:type="dxa" w:w="5184"/>
          </w:tcPr>
          <w:p>
            <w:pPr>
              <w:spacing w:after="40"/>
            </w:pPr>
            <w:r/>
            <w:r>
              <w:rPr>
                <w:b w:val="0"/>
                <w:sz w:val="18"/>
              </w:rPr>
              <w:t>Keyboard reachable, accessible names on controls, seven languages</w:t>
            </w:r>
          </w:p>
        </w:tc>
        <w:tc>
          <w:tcPr>
            <w:tcW w:type="dxa" w:w="2592"/>
          </w:tcPr>
          <w:p>
            <w:pPr>
              <w:spacing w:after="40"/>
            </w:pPr>
            <w:r/>
            <w:r>
              <w:rPr>
                <w:b w:val="0"/>
                <w:sz w:val="18"/>
              </w:rPr>
              <w:t>Partly met — voice input and large-text mode outstanding</w:t>
            </w:r>
          </w:p>
        </w:tc>
      </w:tr>
      <w:tr>
        <w:tc>
          <w:tcPr>
            <w:tcW w:type="dxa" w:w="1728"/>
          </w:tcPr>
          <w:p>
            <w:pPr>
              <w:spacing w:after="40"/>
            </w:pPr>
            <w:r/>
            <w:r>
              <w:rPr>
                <w:b w:val="0"/>
                <w:sz w:val="18"/>
              </w:rPr>
              <w:t>Responsiveness</w:t>
            </w:r>
          </w:p>
        </w:tc>
        <w:tc>
          <w:tcPr>
            <w:tcW w:type="dxa" w:w="5184"/>
          </w:tcPr>
          <w:p>
            <w:pPr>
              <w:spacing w:after="40"/>
            </w:pPr>
            <w:r/>
            <w:r>
              <w:rPr>
                <w:b w:val="0"/>
                <w:sz w:val="18"/>
              </w:rPr>
              <w:t>Full functionality from 390px upward</w:t>
            </w:r>
          </w:p>
        </w:tc>
        <w:tc>
          <w:tcPr>
            <w:tcW w:type="dxa" w:w="2592"/>
          </w:tcPr>
          <w:p>
            <w:pPr>
              <w:spacing w:after="40"/>
            </w:pPr>
            <w:r/>
            <w:r>
              <w:rPr>
                <w:b w:val="0"/>
                <w:sz w:val="18"/>
              </w:rPr>
              <w:t>Met</w:t>
            </w:r>
          </w:p>
        </w:tc>
      </w:tr>
      <w:tr>
        <w:tc>
          <w:tcPr>
            <w:tcW w:type="dxa" w:w="1728"/>
          </w:tcPr>
          <w:p>
            <w:pPr>
              <w:spacing w:after="40"/>
            </w:pPr>
            <w:r/>
            <w:r>
              <w:rPr>
                <w:b w:val="0"/>
                <w:sz w:val="18"/>
              </w:rPr>
              <w:t>Cost</w:t>
            </w:r>
          </w:p>
        </w:tc>
        <w:tc>
          <w:tcPr>
            <w:tcW w:type="dxa" w:w="5184"/>
          </w:tcPr>
          <w:p>
            <w:pPr>
              <w:spacing w:after="40"/>
            </w:pPr>
            <w:r/>
            <w:r>
              <w:rPr>
                <w:b w:val="0"/>
                <w:sz w:val="18"/>
              </w:rPr>
              <w:t>Zero marginal cost per plan at current volume</w:t>
            </w:r>
          </w:p>
        </w:tc>
        <w:tc>
          <w:tcPr>
            <w:tcW w:type="dxa" w:w="2592"/>
          </w:tcPr>
          <w:p>
            <w:pPr>
              <w:spacing w:after="40"/>
            </w:pPr>
            <w:r/>
            <w:r>
              <w:rPr>
                <w:b w:val="0"/>
                <w:sz w:val="18"/>
              </w:rPr>
              <w:t>Met — every dependency is on a free tier</w:t>
            </w:r>
          </w:p>
        </w:tc>
      </w:tr>
    </w:tbl>
    <w:p>
      <w:pPr>
        <w:spacing w:after="40"/>
      </w:pPr>
    </w:p>
    <w:p>
      <w:r>
        <w:br w:type="page"/>
      </w:r>
    </w:p>
    <w:p>
      <w:pPr>
        <w:pStyle w:val="Heading1"/>
      </w:pPr>
      <w:r>
        <w:t>8 · Technical design</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14453D"/>
          </w:tcPr>
          <w:p>
            <w:pPr>
              <w:spacing w:after="40"/>
            </w:pPr>
            <w:r/>
            <w:r>
              <w:rPr>
                <w:b/>
                <w:color w:val="FFFFFF"/>
                <w:sz w:val="18"/>
              </w:rPr>
              <w:t>Layer</w:t>
            </w:r>
          </w:p>
        </w:tc>
        <w:tc>
          <w:tcPr>
            <w:tcW w:type="dxa" w:w="3168"/>
            <w:shd w:val="clear" w:fill="14453D"/>
          </w:tcPr>
          <w:p>
            <w:pPr>
              <w:spacing w:after="40"/>
            </w:pPr>
            <w:r/>
            <w:r>
              <w:rPr>
                <w:b/>
                <w:color w:val="FFFFFF"/>
                <w:sz w:val="18"/>
              </w:rPr>
              <w:t>Choice</w:t>
            </w:r>
          </w:p>
        </w:tc>
        <w:tc>
          <w:tcPr>
            <w:tcW w:type="dxa" w:w="4752"/>
            <w:shd w:val="clear" w:fill="14453D"/>
          </w:tcPr>
          <w:p>
            <w:pPr>
              <w:spacing w:after="40"/>
            </w:pPr>
            <w:r/>
            <w:r>
              <w:rPr>
                <w:b/>
                <w:color w:val="FFFFFF"/>
                <w:sz w:val="18"/>
              </w:rPr>
              <w:t>Why</w:t>
            </w:r>
          </w:p>
        </w:tc>
      </w:tr>
      <w:tr>
        <w:tc>
          <w:tcPr>
            <w:tcW w:type="dxa" w:w="1584"/>
          </w:tcPr>
          <w:p>
            <w:pPr>
              <w:spacing w:after="40"/>
            </w:pPr>
            <w:r/>
            <w:r>
              <w:rPr>
                <w:b w:val="0"/>
                <w:sz w:val="18"/>
              </w:rPr>
              <w:t>Framework</w:t>
            </w:r>
          </w:p>
        </w:tc>
        <w:tc>
          <w:tcPr>
            <w:tcW w:type="dxa" w:w="3168"/>
          </w:tcPr>
          <w:p>
            <w:pPr>
              <w:spacing w:after="40"/>
            </w:pPr>
            <w:r/>
            <w:r>
              <w:rPr>
                <w:b w:val="0"/>
                <w:sz w:val="18"/>
              </w:rPr>
              <w:t>Next.js App Router with TypeScript</w:t>
            </w:r>
          </w:p>
        </w:tc>
        <w:tc>
          <w:tcPr>
            <w:tcW w:type="dxa" w:w="4752"/>
          </w:tcPr>
          <w:p>
            <w:pPr>
              <w:spacing w:after="40"/>
            </w:pPr>
            <w:r/>
            <w:r>
              <w:rPr>
                <w:b w:val="0"/>
                <w:sz w:val="18"/>
              </w:rPr>
              <w:t>Server routes and UI in one deployable; keys stay server-side by construction</w:t>
            </w:r>
          </w:p>
        </w:tc>
      </w:tr>
      <w:tr>
        <w:tc>
          <w:tcPr>
            <w:tcW w:type="dxa" w:w="1584"/>
          </w:tcPr>
          <w:p>
            <w:pPr>
              <w:spacing w:after="40"/>
            </w:pPr>
            <w:r/>
            <w:r>
              <w:rPr>
                <w:b w:val="0"/>
                <w:sz w:val="18"/>
              </w:rPr>
              <w:t>Hosting</w:t>
            </w:r>
          </w:p>
        </w:tc>
        <w:tc>
          <w:tcPr>
            <w:tcW w:type="dxa" w:w="3168"/>
          </w:tcPr>
          <w:p>
            <w:pPr>
              <w:spacing w:after="40"/>
            </w:pPr>
            <w:r/>
            <w:r>
              <w:rPr>
                <w:b w:val="0"/>
                <w:sz w:val="18"/>
              </w:rPr>
              <w:t>Vercel</w:t>
            </w:r>
          </w:p>
        </w:tc>
        <w:tc>
          <w:tcPr>
            <w:tcW w:type="dxa" w:w="4752"/>
          </w:tcPr>
          <w:p>
            <w:pPr>
              <w:spacing w:after="40"/>
            </w:pPr>
            <w:r/>
            <w:r>
              <w:rPr>
                <w:b w:val="0"/>
                <w:sz w:val="18"/>
              </w:rPr>
              <w:t>Zero-config deploys on push; free tier sufficient at this volume</w:t>
            </w:r>
          </w:p>
        </w:tc>
      </w:tr>
      <w:tr>
        <w:tc>
          <w:tcPr>
            <w:tcW w:type="dxa" w:w="1584"/>
          </w:tcPr>
          <w:p>
            <w:pPr>
              <w:spacing w:after="40"/>
            </w:pPr>
            <w:r/>
            <w:r>
              <w:rPr>
                <w:b w:val="0"/>
                <w:sz w:val="18"/>
              </w:rPr>
              <w:t>Inference</w:t>
            </w:r>
          </w:p>
        </w:tc>
        <w:tc>
          <w:tcPr>
            <w:tcW w:type="dxa" w:w="3168"/>
          </w:tcPr>
          <w:p>
            <w:pPr>
              <w:spacing w:after="40"/>
            </w:pPr>
            <w:r/>
            <w:r>
              <w:rPr>
                <w:b w:val="0"/>
                <w:sz w:val="18"/>
              </w:rPr>
              <w:t>Groq, three models with per-agent failover chains</w:t>
            </w:r>
          </w:p>
        </w:tc>
        <w:tc>
          <w:tcPr>
            <w:tcW w:type="dxa" w:w="4752"/>
          </w:tcPr>
          <w:p>
            <w:pPr>
              <w:spacing w:after="40"/>
            </w:pPr>
            <w:r/>
            <w:r>
              <w:rPr>
                <w:b w:val="0"/>
                <w:sz w:val="18"/>
              </w:rPr>
              <w:t>Fast inference on a free tier; the chain converts a quota limit into a slowdown rather than an outage</w:t>
            </w:r>
          </w:p>
        </w:tc>
      </w:tr>
      <w:tr>
        <w:tc>
          <w:tcPr>
            <w:tcW w:type="dxa" w:w="1584"/>
          </w:tcPr>
          <w:p>
            <w:pPr>
              <w:spacing w:after="40"/>
            </w:pPr>
            <w:r/>
            <w:r>
              <w:rPr>
                <w:b w:val="0"/>
                <w:sz w:val="18"/>
              </w:rPr>
              <w:t>Places data</w:t>
            </w:r>
          </w:p>
        </w:tc>
        <w:tc>
          <w:tcPr>
            <w:tcW w:type="dxa" w:w="3168"/>
          </w:tcPr>
          <w:p>
            <w:pPr>
              <w:spacing w:after="40"/>
            </w:pPr>
            <w:r/>
            <w:r>
              <w:rPr>
                <w:b w:val="0"/>
                <w:sz w:val="18"/>
              </w:rPr>
              <w:t>OpenStreetMap / Overpass, Nominatim, Wikipedia</w:t>
            </w:r>
          </w:p>
        </w:tc>
        <w:tc>
          <w:tcPr>
            <w:tcW w:type="dxa" w:w="4752"/>
          </w:tcPr>
          <w:p>
            <w:pPr>
              <w:spacing w:after="40"/>
            </w:pPr>
            <w:r/>
            <w:r>
              <w:rPr>
                <w:b w:val="0"/>
                <w:sz w:val="18"/>
              </w:rPr>
              <w:t>Real, free and keyless — and crucially, not model memory, so places actually exist</w:t>
            </w:r>
          </w:p>
        </w:tc>
      </w:tr>
      <w:tr>
        <w:tc>
          <w:tcPr>
            <w:tcW w:type="dxa" w:w="1584"/>
          </w:tcPr>
          <w:p>
            <w:pPr>
              <w:spacing w:after="40"/>
            </w:pPr>
            <w:r/>
            <w:r>
              <w:rPr>
                <w:b w:val="0"/>
                <w:sz w:val="18"/>
              </w:rPr>
              <w:t>Auth</w:t>
            </w:r>
          </w:p>
        </w:tc>
        <w:tc>
          <w:tcPr>
            <w:tcW w:type="dxa" w:w="3168"/>
          </w:tcPr>
          <w:p>
            <w:pPr>
              <w:spacing w:after="40"/>
            </w:pPr>
            <w:r/>
            <w:r>
              <w:rPr>
                <w:b w:val="0"/>
                <w:sz w:val="18"/>
              </w:rPr>
              <w:t>Auth.js v5 with Google OAuth, plus a password-less demo provider</w:t>
            </w:r>
          </w:p>
        </w:tc>
        <w:tc>
          <w:tcPr>
            <w:tcW w:type="dxa" w:w="4752"/>
          </w:tcPr>
          <w:p>
            <w:pPr>
              <w:spacing w:after="40"/>
            </w:pPr>
            <w:r/>
            <w:r>
              <w:rPr>
                <w:b w:val="0"/>
                <w:sz w:val="18"/>
              </w:rPr>
              <w:t>The demo provider means an evaluator without a listed Google account can still reach every gated feature</w:t>
            </w:r>
          </w:p>
        </w:tc>
      </w:tr>
      <w:tr>
        <w:tc>
          <w:tcPr>
            <w:tcW w:type="dxa" w:w="1584"/>
          </w:tcPr>
          <w:p>
            <w:pPr>
              <w:spacing w:after="40"/>
            </w:pPr>
            <w:r/>
            <w:r>
              <w:rPr>
                <w:b w:val="0"/>
                <w:sz w:val="18"/>
              </w:rPr>
              <w:t>Persistence</w:t>
            </w:r>
          </w:p>
        </w:tc>
        <w:tc>
          <w:tcPr>
            <w:tcW w:type="dxa" w:w="3168"/>
          </w:tcPr>
          <w:p>
            <w:pPr>
              <w:spacing w:after="40"/>
            </w:pPr>
            <w:r/>
            <w:r>
              <w:rPr>
                <w:b w:val="0"/>
                <w:sz w:val="18"/>
              </w:rPr>
              <w:t>Browser storage for trips; Supabase for accounts only</w:t>
            </w:r>
          </w:p>
        </w:tc>
        <w:tc>
          <w:tcPr>
            <w:tcW w:type="dxa" w:w="4752"/>
          </w:tcPr>
          <w:p>
            <w:pPr>
              <w:spacing w:after="40"/>
            </w:pPr>
            <w:r/>
            <w:r>
              <w:rPr>
                <w:b w:val="0"/>
                <w:sz w:val="18"/>
              </w:rPr>
              <w:t>The privacy position, implemented rather than asserted</w:t>
            </w:r>
          </w:p>
        </w:tc>
      </w:tr>
      <w:tr>
        <w:tc>
          <w:tcPr>
            <w:tcW w:type="dxa" w:w="1584"/>
          </w:tcPr>
          <w:p>
            <w:pPr>
              <w:spacing w:after="40"/>
            </w:pPr>
            <w:r/>
            <w:r>
              <w:rPr>
                <w:b w:val="0"/>
                <w:sz w:val="18"/>
              </w:rPr>
              <w:t>Email</w:t>
            </w:r>
          </w:p>
        </w:tc>
        <w:tc>
          <w:tcPr>
            <w:tcW w:type="dxa" w:w="3168"/>
          </w:tcPr>
          <w:p>
            <w:pPr>
              <w:spacing w:after="40"/>
            </w:pPr>
            <w:r/>
            <w:r>
              <w:rPr>
                <w:b w:val="0"/>
                <w:sz w:val="18"/>
              </w:rPr>
              <w:t>Resend, on demand</w:t>
            </w:r>
          </w:p>
        </w:tc>
        <w:tc>
          <w:tcPr>
            <w:tcW w:type="dxa" w:w="4752"/>
          </w:tcPr>
          <w:p>
            <w:pPr>
              <w:spacing w:after="40"/>
            </w:pPr>
            <w:r/>
            <w:r>
              <w:rPr>
                <w:b w:val="0"/>
                <w:sz w:val="18"/>
              </w:rPr>
              <w:t>Sandbox delivery until a domain is verified — a known, stated limitation</w:t>
            </w:r>
          </w:p>
        </w:tc>
      </w:tr>
      <w:tr>
        <w:tc>
          <w:tcPr>
            <w:tcW w:type="dxa" w:w="1584"/>
          </w:tcPr>
          <w:p>
            <w:pPr>
              <w:spacing w:after="40"/>
            </w:pPr>
            <w:r/>
            <w:r>
              <w:rPr>
                <w:b w:val="0"/>
                <w:sz w:val="18"/>
              </w:rPr>
              <w:t>Styling</w:t>
            </w:r>
          </w:p>
        </w:tc>
        <w:tc>
          <w:tcPr>
            <w:tcW w:type="dxa" w:w="3168"/>
          </w:tcPr>
          <w:p>
            <w:pPr>
              <w:spacing w:after="40"/>
            </w:pPr>
            <w:r/>
            <w:r>
              <w:rPr>
                <w:b w:val="0"/>
                <w:sz w:val="18"/>
              </w:rPr>
              <w:t>Tailwind CSS v4 with a fixed design system</w:t>
            </w:r>
          </w:p>
        </w:tc>
        <w:tc>
          <w:tcPr>
            <w:tcW w:type="dxa" w:w="4752"/>
          </w:tcPr>
          <w:p>
            <w:pPr>
              <w:spacing w:after="40"/>
            </w:pPr>
            <w:r/>
            <w:r>
              <w:rPr>
                <w:b w:val="0"/>
                <w:sz w:val="18"/>
              </w:rPr>
              <w:t>One source of truth for the brand tokens</w:t>
            </w:r>
          </w:p>
        </w:tc>
      </w:tr>
    </w:tbl>
    <w:p>
      <w:pPr>
        <w:spacing w:after="40"/>
      </w:pPr>
    </w:p>
    <w:p>
      <w:pPr>
        <w:pStyle w:val="Heading2"/>
      </w:pPr>
      <w:r>
        <w:t>8.1 Design principle</w:t>
      </w: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The governing rule: </w:t>
            </w:r>
            <w:r>
              <w:rPr>
                <w:b/>
                <w:sz w:val="20"/>
              </w:rPr>
              <w:t>a language model for judgment, code for money.</w:t>
            </w:r>
            <w:r>
              <w:rPr>
                <w:b w:val="0"/>
                <w:sz w:val="20"/>
              </w:rPr>
              <w:t xml:space="preserve"> Anything a model gets subtly wrong and a user cannot detect — arithmetic, totals, splits, thresholds — is computed deterministically. Anything requiring taste, inference or negotiation is the model's job.</w:t>
            </w:r>
          </w:p>
        </w:tc>
      </w:tr>
    </w:tbl>
    <w:p>
      <w:pPr>
        <w:spacing w:after="40"/>
      </w:pPr>
    </w:p>
    <w:p>
      <w:r>
        <w:br w:type="page"/>
      </w:r>
    </w:p>
    <w:p>
      <w:pPr>
        <w:pStyle w:val="Heading1"/>
      </w:pPr>
      <w:r>
        <w:t>9 · Success metrics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4453D"/>
          </w:tcPr>
          <w:p>
            <w:pPr>
              <w:spacing w:after="40"/>
            </w:pPr>
            <w:r/>
            <w:r>
              <w:rPr>
                <w:b/>
                <w:color w:val="FFFFFF"/>
                <w:sz w:val="18"/>
              </w:rPr>
              <w:t>Metric</w:t>
            </w:r>
          </w:p>
        </w:tc>
        <w:tc>
          <w:tcPr>
            <w:tcW w:type="dxa" w:w="4752"/>
            <w:shd w:val="clear" w:fill="14453D"/>
          </w:tcPr>
          <w:p>
            <w:pPr>
              <w:spacing w:after="40"/>
            </w:pPr>
            <w:r/>
            <w:r>
              <w:rPr>
                <w:b/>
                <w:color w:val="FFFFFF"/>
                <w:sz w:val="18"/>
              </w:rPr>
              <w:t>Why it matters</w:t>
            </w:r>
          </w:p>
        </w:tc>
        <w:tc>
          <w:tcPr>
            <w:tcW w:type="dxa" w:w="2592"/>
            <w:shd w:val="clear" w:fill="14453D"/>
          </w:tcPr>
          <w:p>
            <w:pPr>
              <w:spacing w:after="40"/>
            </w:pPr>
            <w:r/>
            <w:r>
              <w:rPr>
                <w:b/>
                <w:color w:val="FFFFFF"/>
                <w:sz w:val="18"/>
              </w:rPr>
              <w:t>Phase 1 target</w:t>
            </w:r>
          </w:p>
        </w:tc>
      </w:tr>
      <w:tr>
        <w:tc>
          <w:tcPr>
            <w:tcW w:type="dxa" w:w="2160"/>
          </w:tcPr>
          <w:p>
            <w:pPr>
              <w:spacing w:after="40"/>
            </w:pPr>
            <w:r/>
            <w:r>
              <w:rPr>
                <w:b w:val="0"/>
                <w:sz w:val="18"/>
              </w:rPr>
              <w:t>Plan completion rate</w:t>
            </w:r>
          </w:p>
        </w:tc>
        <w:tc>
          <w:tcPr>
            <w:tcW w:type="dxa" w:w="4752"/>
          </w:tcPr>
          <w:p>
            <w:pPr>
              <w:spacing w:after="40"/>
            </w:pPr>
            <w:r/>
            <w:r>
              <w:rPr>
                <w:b w:val="0"/>
                <w:sz w:val="18"/>
              </w:rPr>
              <w:t>The single validation metric — did the brief become a plan they read</w:t>
            </w:r>
          </w:p>
        </w:tc>
        <w:tc>
          <w:tcPr>
            <w:tcW w:type="dxa" w:w="2592"/>
          </w:tcPr>
          <w:p>
            <w:pPr>
              <w:spacing w:after="40"/>
            </w:pPr>
            <w:r/>
            <w:r>
              <w:rPr>
                <w:b w:val="0"/>
                <w:sz w:val="18"/>
              </w:rPr>
              <w:t>Baseline to be set from the beta cohort</w:t>
            </w:r>
          </w:p>
        </w:tc>
      </w:tr>
      <w:tr>
        <w:tc>
          <w:tcPr>
            <w:tcW w:type="dxa" w:w="2160"/>
          </w:tcPr>
          <w:p>
            <w:pPr>
              <w:spacing w:after="40"/>
            </w:pPr>
            <w:r/>
            <w:r>
              <w:rPr>
                <w:b w:val="0"/>
                <w:sz w:val="18"/>
              </w:rPr>
              <w:t>Mood utilisation</w:t>
            </w:r>
          </w:p>
        </w:tc>
        <w:tc>
          <w:tcPr>
            <w:tcW w:type="dxa" w:w="4752"/>
          </w:tcPr>
          <w:p>
            <w:pPr>
              <w:spacing w:after="40"/>
            </w:pPr>
            <w:r/>
            <w:r>
              <w:rPr>
                <w:b w:val="0"/>
                <w:sz w:val="18"/>
              </w:rPr>
              <w:t>Whether the differentiating entry point is used or bypassed</w:t>
            </w:r>
          </w:p>
        </w:tc>
        <w:tc>
          <w:tcPr>
            <w:tcW w:type="dxa" w:w="2592"/>
          </w:tcPr>
          <w:p>
            <w:pPr>
              <w:spacing w:after="40"/>
            </w:pPr>
            <w:r/>
            <w:r>
              <w:rPr>
                <w:b w:val="0"/>
                <w:sz w:val="18"/>
              </w:rPr>
              <w:t>Majority of briefs</w:t>
            </w:r>
          </w:p>
        </w:tc>
      </w:tr>
      <w:tr>
        <w:tc>
          <w:tcPr>
            <w:tcW w:type="dxa" w:w="2160"/>
          </w:tcPr>
          <w:p>
            <w:pPr>
              <w:spacing w:after="40"/>
            </w:pPr>
            <w:r/>
            <w:r>
              <w:rPr>
                <w:b w:val="0"/>
                <w:sz w:val="18"/>
              </w:rPr>
              <w:t>Override rate</w:t>
            </w:r>
          </w:p>
        </w:tc>
        <w:tc>
          <w:tcPr>
            <w:tcW w:type="dxa" w:w="4752"/>
          </w:tcPr>
          <w:p>
            <w:pPr>
              <w:spacing w:after="40"/>
            </w:pPr>
            <w:r/>
            <w:r>
              <w:rPr>
                <w:b w:val="0"/>
                <w:sz w:val="18"/>
              </w:rPr>
              <w:t>Engagement with the plan rather than passive acceptance — a healthy number is not zero</w:t>
            </w:r>
          </w:p>
        </w:tc>
        <w:tc>
          <w:tcPr>
            <w:tcW w:type="dxa" w:w="2592"/>
          </w:tcPr>
          <w:p>
            <w:pPr>
              <w:spacing w:after="40"/>
            </w:pPr>
            <w:r/>
            <w:r>
              <w:rPr>
                <w:b w:val="0"/>
                <w:sz w:val="18"/>
              </w:rPr>
              <w:t>Measured, not targeted</w:t>
            </w:r>
          </w:p>
        </w:tc>
      </w:tr>
      <w:tr>
        <w:tc>
          <w:tcPr>
            <w:tcW w:type="dxa" w:w="2160"/>
          </w:tcPr>
          <w:p>
            <w:pPr>
              <w:spacing w:after="40"/>
            </w:pPr>
            <w:r/>
            <w:r>
              <w:rPr>
                <w:b w:val="0"/>
                <w:sz w:val="18"/>
              </w:rPr>
              <w:t>Confirm rate</w:t>
            </w:r>
          </w:p>
        </w:tc>
        <w:tc>
          <w:tcPr>
            <w:tcW w:type="dxa" w:w="4752"/>
          </w:tcPr>
          <w:p>
            <w:pPr>
              <w:spacing w:after="40"/>
            </w:pPr>
            <w:r/>
            <w:r>
              <w:rPr>
                <w:b w:val="0"/>
                <w:sz w:val="18"/>
              </w:rPr>
              <w:t>Whether a plan was good enough to commit to</w:t>
            </w:r>
          </w:p>
        </w:tc>
        <w:tc>
          <w:tcPr>
            <w:tcW w:type="dxa" w:w="2592"/>
          </w:tcPr>
          <w:p>
            <w:pPr>
              <w:spacing w:after="40"/>
            </w:pPr>
            <w:r/>
            <w:r>
              <w:rPr>
                <w:b w:val="0"/>
                <w:sz w:val="18"/>
              </w:rPr>
              <w:t>Baseline</w:t>
            </w:r>
          </w:p>
        </w:tc>
      </w:tr>
      <w:tr>
        <w:tc>
          <w:tcPr>
            <w:tcW w:type="dxa" w:w="2160"/>
          </w:tcPr>
          <w:p>
            <w:pPr>
              <w:spacing w:after="40"/>
            </w:pPr>
            <w:r/>
            <w:r>
              <w:rPr>
                <w:b w:val="0"/>
                <w:sz w:val="18"/>
              </w:rPr>
              <w:t>30-day return</w:t>
            </w:r>
          </w:p>
        </w:tc>
        <w:tc>
          <w:tcPr>
            <w:tcW w:type="dxa" w:w="4752"/>
          </w:tcPr>
          <w:p>
            <w:pPr>
              <w:spacing w:after="40"/>
            </w:pPr>
            <w:r/>
            <w:r>
              <w:rPr>
                <w:b w:val="0"/>
                <w:sz w:val="18"/>
              </w:rPr>
              <w:t>The strongest early signal of real value</w:t>
            </w:r>
          </w:p>
        </w:tc>
        <w:tc>
          <w:tcPr>
            <w:tcW w:type="dxa" w:w="2592"/>
          </w:tcPr>
          <w:p>
            <w:pPr>
              <w:spacing w:after="40"/>
            </w:pPr>
            <w:r/>
            <w:r>
              <w:rPr>
                <w:b w:val="0"/>
                <w:sz w:val="18"/>
              </w:rPr>
              <w:t>Baseline</w:t>
            </w:r>
          </w:p>
        </w:tc>
      </w:tr>
      <w:tr>
        <w:tc>
          <w:tcPr>
            <w:tcW w:type="dxa" w:w="2160"/>
          </w:tcPr>
          <w:p>
            <w:pPr>
              <w:spacing w:after="40"/>
            </w:pPr>
            <w:r/>
            <w:r>
              <w:rPr>
                <w:b w:val="0"/>
                <w:sz w:val="18"/>
              </w:rPr>
              <w:t>Referee comprehension</w:t>
            </w:r>
          </w:p>
        </w:tc>
        <w:tc>
          <w:tcPr>
            <w:tcW w:type="dxa" w:w="4752"/>
          </w:tcPr>
          <w:p>
            <w:pPr>
              <w:spacing w:after="40"/>
            </w:pPr>
            <w:r/>
            <w:r>
              <w:rPr>
                <w:b w:val="0"/>
                <w:sz w:val="18"/>
              </w:rPr>
              <w:t>The proportion of testers who can explain what arbitration did</w:t>
            </w:r>
          </w:p>
        </w:tc>
        <w:tc>
          <w:tcPr>
            <w:tcW w:type="dxa" w:w="2592"/>
          </w:tcPr>
          <w:p>
            <w:pPr>
              <w:spacing w:after="40"/>
            </w:pPr>
            <w:r/>
            <w:r>
              <w:rPr>
                <w:b w:val="0"/>
                <w:sz w:val="18"/>
              </w:rPr>
              <w:t>Qualitative, from beta interviews</w:t>
            </w:r>
          </w:p>
        </w:tc>
      </w:tr>
    </w:tbl>
    <w:p>
      <w:pPr>
        <w:spacing w:after="40"/>
      </w:pPr>
    </w:p>
    <w:p>
      <w:r>
        <w:br w:type="page"/>
      </w:r>
    </w:p>
    <w:p>
      <w:pPr>
        <w:pStyle w:val="Heading1"/>
      </w:pPr>
      <w:r>
        <w:t>10 · Risks</w:t>
      </w:r>
    </w:p>
    <w:tbl>
      <w:tblPr>
        <w:tblStyle w:val="TableGrid"/>
        <w:tblW w:type="auto" w:w="0"/>
        <w:jc w:val="center"/>
        <w:tblLook w:firstColumn="1" w:firstRow="1" w:lastColumn="0" w:lastRow="0" w:noHBand="0" w:noVBand="1" w:val="04A0"/>
      </w:tblPr>
      <w:tblGrid>
        <w:gridCol w:w="4896"/>
        <w:gridCol w:w="4896"/>
      </w:tblGrid>
      <w:tr>
        <w:tc>
          <w:tcPr>
            <w:tcW w:type="dxa" w:w="3744"/>
            <w:shd w:val="clear" w:fill="14453D"/>
          </w:tcPr>
          <w:p>
            <w:pPr>
              <w:spacing w:after="40"/>
            </w:pPr>
            <w:r/>
            <w:r>
              <w:rPr>
                <w:b/>
                <w:color w:val="FFFFFF"/>
                <w:sz w:val="19"/>
              </w:rPr>
              <w:t>Risk</w:t>
            </w:r>
          </w:p>
        </w:tc>
        <w:tc>
          <w:tcPr>
            <w:tcW w:type="dxa" w:w="5760"/>
            <w:shd w:val="clear" w:fill="14453D"/>
          </w:tcPr>
          <w:p>
            <w:pPr>
              <w:spacing w:after="40"/>
            </w:pPr>
            <w:r/>
            <w:r>
              <w:rPr>
                <w:b/>
                <w:color w:val="FFFFFF"/>
                <w:sz w:val="19"/>
              </w:rPr>
              <w:t>Mitigation</w:t>
            </w:r>
          </w:p>
        </w:tc>
      </w:tr>
      <w:tr>
        <w:tc>
          <w:tcPr>
            <w:tcW w:type="dxa" w:w="3744"/>
          </w:tcPr>
          <w:p>
            <w:pPr>
              <w:spacing w:after="40"/>
            </w:pPr>
            <w:r/>
            <w:r>
              <w:rPr>
                <w:b w:val="0"/>
                <w:sz w:val="19"/>
              </w:rPr>
              <w:t>Mood-first entry reads as a broken form</w:t>
            </w:r>
          </w:p>
        </w:tc>
        <w:tc>
          <w:tcPr>
            <w:tcW w:type="dxa" w:w="5760"/>
          </w:tcPr>
          <w:p>
            <w:pPr>
              <w:spacing w:after="40"/>
            </w:pPr>
            <w:r/>
            <w:r>
              <w:rPr>
                <w:b w:val="0"/>
                <w:sz w:val="19"/>
              </w:rPr>
              <w:t>A finished sample plan opens before any input is requested — built</w:t>
            </w:r>
          </w:p>
        </w:tc>
      </w:tr>
      <w:tr>
        <w:tc>
          <w:tcPr>
            <w:tcW w:type="dxa" w:w="3744"/>
          </w:tcPr>
          <w:p>
            <w:pPr>
              <w:spacing w:after="40"/>
            </w:pPr>
            <w:r/>
            <w:r>
              <w:rPr>
                <w:b w:val="0"/>
                <w:sz w:val="19"/>
              </w:rPr>
              <w:t>Free-tier quota exhausted during evaluation</w:t>
            </w:r>
          </w:p>
        </w:tc>
        <w:tc>
          <w:tcPr>
            <w:tcW w:type="dxa" w:w="5760"/>
          </w:tcPr>
          <w:p>
            <w:pPr>
              <w:spacing w:after="40"/>
            </w:pPr>
            <w:r/>
            <w:r>
              <w:rPr>
                <w:b w:val="0"/>
                <w:sz w:val="19"/>
              </w:rPr>
              <w:t>Three-model failover, identical-brief caching, and zero-quota samples — built and verified</w:t>
            </w:r>
          </w:p>
        </w:tc>
      </w:tr>
      <w:tr>
        <w:tc>
          <w:tcPr>
            <w:tcW w:type="dxa" w:w="3744"/>
          </w:tcPr>
          <w:p>
            <w:pPr>
              <w:spacing w:after="40"/>
            </w:pPr>
            <w:r/>
            <w:r>
              <w:rPr>
                <w:b w:val="0"/>
                <w:sz w:val="19"/>
              </w:rPr>
              <w:t>A traveller mistakes a simulated booking for a real one</w:t>
            </w:r>
          </w:p>
        </w:tc>
        <w:tc>
          <w:tcPr>
            <w:tcW w:type="dxa" w:w="5760"/>
          </w:tcPr>
          <w:p>
            <w:pPr>
              <w:spacing w:after="40"/>
            </w:pPr>
            <w:r/>
            <w:r>
              <w:rPr>
                <w:b w:val="0"/>
                <w:sz w:val="19"/>
              </w:rPr>
              <w:t>Labelled in the product at the point of interaction, not only in documentation</w:t>
            </w:r>
          </w:p>
        </w:tc>
      </w:tr>
      <w:tr>
        <w:tc>
          <w:tcPr>
            <w:tcW w:type="dxa" w:w="3744"/>
          </w:tcPr>
          <w:p>
            <w:pPr>
              <w:spacing w:after="40"/>
            </w:pPr>
            <w:r/>
            <w:r>
              <w:rPr>
                <w:b w:val="0"/>
                <w:sz w:val="19"/>
              </w:rPr>
              <w:t>An agent produces a plausible but wrong place</w:t>
            </w:r>
          </w:p>
        </w:tc>
        <w:tc>
          <w:tcPr>
            <w:tcW w:type="dxa" w:w="5760"/>
          </w:tcPr>
          <w:p>
            <w:pPr>
              <w:spacing w:after="40"/>
            </w:pPr>
            <w:r/>
            <w:r>
              <w:rPr>
                <w:b w:val="0"/>
                <w:sz w:val="19"/>
              </w:rPr>
              <w:t>Places resolve against open map data rather than model memory</w:t>
            </w:r>
          </w:p>
        </w:tc>
      </w:tr>
      <w:tr>
        <w:tc>
          <w:tcPr>
            <w:tcW w:type="dxa" w:w="3744"/>
          </w:tcPr>
          <w:p>
            <w:pPr>
              <w:spacing w:after="40"/>
            </w:pPr>
            <w:r/>
            <w:r>
              <w:rPr>
                <w:b w:val="0"/>
                <w:sz w:val="19"/>
              </w:rPr>
              <w:t>Regional bias toward metros in destination selection</w:t>
            </w:r>
          </w:p>
        </w:tc>
        <w:tc>
          <w:tcPr>
            <w:tcW w:type="dxa" w:w="5760"/>
          </w:tcPr>
          <w:p>
            <w:pPr>
              <w:spacing w:after="40"/>
            </w:pPr>
            <w:r/>
            <w:r>
              <w:rPr>
                <w:b w:val="0"/>
                <w:sz w:val="19"/>
              </w:rPr>
              <w:t>Mood-fidelity rules outrank popularity; a standing coverage audit is owed</w:t>
            </w:r>
          </w:p>
        </w:tc>
      </w:tr>
      <w:tr>
        <w:tc>
          <w:tcPr>
            <w:tcW w:type="dxa" w:w="3744"/>
          </w:tcPr>
          <w:p>
            <w:pPr>
              <w:spacing w:after="40"/>
            </w:pPr>
            <w:r/>
            <w:r>
              <w:rPr>
                <w:b w:val="0"/>
                <w:sz w:val="19"/>
              </w:rPr>
              <w:t>A privacy stance that costs cross-device continuity</w:t>
            </w:r>
          </w:p>
        </w:tc>
        <w:tc>
          <w:tcPr>
            <w:tcW w:type="dxa" w:w="5760"/>
          </w:tcPr>
          <w:p>
            <w:pPr>
              <w:spacing w:after="40"/>
            </w:pPr>
            <w:r/>
            <w:r>
              <w:rPr>
                <w:b w:val="0"/>
                <w:sz w:val="19"/>
              </w:rPr>
              <w:t>Accepted deliberately; revisiting requires explicit opt-in, not a silent change</w:t>
            </w:r>
          </w:p>
        </w:tc>
      </w:tr>
    </w:tbl>
    <w:p>
      <w:pPr>
        <w:spacing w:after="40"/>
      </w:pPr>
    </w:p>
    <w:p>
      <w:r>
        <w:br w:type="page"/>
      </w:r>
    </w:p>
    <w:p>
      <w:pPr>
        <w:pStyle w:val="Heading1"/>
      </w:pPr>
      <w:r>
        <w:t>11 · Out of scope for this release</w:t>
      </w:r>
    </w:p>
    <w:p>
      <w:pPr>
        <w:spacing w:after="120"/>
      </w:pPr>
      <w:r>
        <w:rPr>
          <w:b w:val="0"/>
          <w:i w:val="0"/>
          <w:sz w:val="21"/>
        </w:rPr>
        <w:t>Listed so that nothing here is mistaken for a defect.</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4453D"/>
          </w:tcPr>
          <w:p>
            <w:pPr>
              <w:spacing w:after="40"/>
            </w:pPr>
            <w:r/>
            <w:r>
              <w:rPr>
                <w:b/>
                <w:color w:val="FFFFFF"/>
                <w:sz w:val="18"/>
              </w:rPr>
              <w:t>Item</w:t>
            </w:r>
          </w:p>
        </w:tc>
        <w:tc>
          <w:tcPr>
            <w:tcW w:type="dxa" w:w="4608"/>
            <w:shd w:val="clear" w:fill="14453D"/>
          </w:tcPr>
          <w:p>
            <w:pPr>
              <w:spacing w:after="40"/>
            </w:pPr>
            <w:r/>
            <w:r>
              <w:rPr>
                <w:b/>
                <w:color w:val="FFFFFF"/>
                <w:sz w:val="18"/>
              </w:rPr>
              <w:t>Reason</w:t>
            </w:r>
          </w:p>
        </w:tc>
        <w:tc>
          <w:tcPr>
            <w:tcW w:type="dxa" w:w="1728"/>
            <w:shd w:val="clear" w:fill="14453D"/>
          </w:tcPr>
          <w:p>
            <w:pPr>
              <w:spacing w:after="40"/>
            </w:pPr>
            <w:r/>
            <w:r>
              <w:rPr>
                <w:b/>
                <w:color w:val="FFFFFF"/>
                <w:sz w:val="18"/>
              </w:rPr>
              <w:t>When</w:t>
            </w:r>
          </w:p>
        </w:tc>
      </w:tr>
      <w:tr>
        <w:tc>
          <w:tcPr>
            <w:tcW w:type="dxa" w:w="3168"/>
          </w:tcPr>
          <w:p>
            <w:pPr>
              <w:spacing w:after="40"/>
            </w:pPr>
            <w:r/>
            <w:r>
              <w:rPr>
                <w:b w:val="0"/>
                <w:sz w:val="18"/>
              </w:rPr>
              <w:t>Real booking execution and payment</w:t>
            </w:r>
          </w:p>
        </w:tc>
        <w:tc>
          <w:tcPr>
            <w:tcW w:type="dxa" w:w="4608"/>
          </w:tcPr>
          <w:p>
            <w:pPr>
              <w:spacing w:after="40"/>
            </w:pPr>
            <w:r/>
            <w:r>
              <w:rPr>
                <w:b w:val="0"/>
                <w:sz w:val="18"/>
              </w:rPr>
              <w:t>Requires provider contracts and a payment stack</w:t>
            </w:r>
          </w:p>
        </w:tc>
        <w:tc>
          <w:tcPr>
            <w:tcW w:type="dxa" w:w="1728"/>
          </w:tcPr>
          <w:p>
            <w:pPr>
              <w:spacing w:after="40"/>
            </w:pPr>
            <w:r/>
            <w:r>
              <w:rPr>
                <w:b w:val="0"/>
                <w:sz w:val="18"/>
              </w:rPr>
              <w:t>Next release</w:t>
            </w:r>
          </w:p>
        </w:tc>
      </w:tr>
      <w:tr>
        <w:tc>
          <w:tcPr>
            <w:tcW w:type="dxa" w:w="3168"/>
          </w:tcPr>
          <w:p>
            <w:pPr>
              <w:spacing w:after="40"/>
            </w:pPr>
            <w:r/>
            <w:r>
              <w:rPr>
                <w:b w:val="0"/>
                <w:sz w:val="18"/>
              </w:rPr>
              <w:t>Scheduled email and WhatsApp reminder delivery</w:t>
            </w:r>
          </w:p>
        </w:tc>
        <w:tc>
          <w:tcPr>
            <w:tcW w:type="dxa" w:w="4608"/>
          </w:tcPr>
          <w:p>
            <w:pPr>
              <w:spacing w:after="40"/>
            </w:pPr>
            <w:r/>
            <w:r>
              <w:rPr>
                <w:b w:val="0"/>
                <w:sz w:val="18"/>
              </w:rPr>
              <w:t>In-app reminders and on-demand email ship first; delivery follows proven engagement</w:t>
            </w:r>
          </w:p>
        </w:tc>
        <w:tc>
          <w:tcPr>
            <w:tcW w:type="dxa" w:w="1728"/>
          </w:tcPr>
          <w:p>
            <w:pPr>
              <w:spacing w:after="40"/>
            </w:pPr>
            <w:r/>
            <w:r>
              <w:rPr>
                <w:b w:val="0"/>
                <w:sz w:val="18"/>
              </w:rPr>
              <w:t>Next release</w:t>
            </w:r>
          </w:p>
        </w:tc>
      </w:tr>
      <w:tr>
        <w:tc>
          <w:tcPr>
            <w:tcW w:type="dxa" w:w="3168"/>
          </w:tcPr>
          <w:p>
            <w:pPr>
              <w:spacing w:after="40"/>
            </w:pPr>
            <w:r/>
            <w:r>
              <w:rPr>
                <w:b w:val="0"/>
                <w:sz w:val="18"/>
              </w:rPr>
              <w:t>Voice input and large-text mode</w:t>
            </w:r>
          </w:p>
        </w:tc>
        <w:tc>
          <w:tcPr>
            <w:tcW w:type="dxa" w:w="4608"/>
          </w:tcPr>
          <w:p>
            <w:pPr>
              <w:spacing w:after="40"/>
            </w:pPr>
            <w:r/>
            <w:r>
              <w:rPr>
                <w:b w:val="0"/>
                <w:sz w:val="18"/>
              </w:rPr>
              <w:t>Owed before pilgrimage acquisition is honest</w:t>
            </w:r>
          </w:p>
        </w:tc>
        <w:tc>
          <w:tcPr>
            <w:tcW w:type="dxa" w:w="1728"/>
          </w:tcPr>
          <w:p>
            <w:pPr>
              <w:spacing w:after="40"/>
            </w:pPr>
            <w:r/>
            <w:r>
              <w:rPr>
                <w:b w:val="0"/>
                <w:sz w:val="18"/>
              </w:rPr>
              <w:t>Next release</w:t>
            </w:r>
          </w:p>
        </w:tc>
      </w:tr>
      <w:tr>
        <w:tc>
          <w:tcPr>
            <w:tcW w:type="dxa" w:w="3168"/>
          </w:tcPr>
          <w:p>
            <w:pPr>
              <w:spacing w:after="40"/>
            </w:pPr>
            <w:r/>
            <w:r>
              <w:rPr>
                <w:b w:val="0"/>
                <w:sz w:val="18"/>
              </w:rPr>
              <w:t>Cross-device trips</w:t>
            </w:r>
          </w:p>
        </w:tc>
        <w:tc>
          <w:tcPr>
            <w:tcW w:type="dxa" w:w="4608"/>
          </w:tcPr>
          <w:p>
            <w:pPr>
              <w:spacing w:after="40"/>
            </w:pPr>
            <w:r/>
            <w:r>
              <w:rPr>
                <w:b w:val="0"/>
                <w:sz w:val="18"/>
              </w:rPr>
              <w:t>Conflicts with the local-only privacy stance without explicit opt-in</w:t>
            </w:r>
          </w:p>
        </w:tc>
        <w:tc>
          <w:tcPr>
            <w:tcW w:type="dxa" w:w="1728"/>
          </w:tcPr>
          <w:p>
            <w:pPr>
              <w:spacing w:after="40"/>
            </w:pPr>
            <w:r/>
            <w:r>
              <w:rPr>
                <w:b w:val="0"/>
                <w:sz w:val="18"/>
              </w:rPr>
              <w:t>Under review</w:t>
            </w:r>
          </w:p>
        </w:tc>
      </w:tr>
      <w:tr>
        <w:tc>
          <w:tcPr>
            <w:tcW w:type="dxa" w:w="3168"/>
          </w:tcPr>
          <w:p>
            <w:pPr>
              <w:spacing w:after="40"/>
            </w:pPr>
            <w:r/>
            <w:r>
              <w:rPr>
                <w:b w:val="0"/>
                <w:sz w:val="18"/>
              </w:rPr>
              <w:t>International destinations</w:t>
            </w:r>
          </w:p>
        </w:tc>
        <w:tc>
          <w:tcPr>
            <w:tcW w:type="dxa" w:w="4608"/>
          </w:tcPr>
          <w:p>
            <w:pPr>
              <w:spacing w:after="40"/>
            </w:pPr>
            <w:r/>
            <w:r>
              <w:rPr>
                <w:b w:val="0"/>
                <w:sz w:val="18"/>
              </w:rPr>
              <w:t>Scope discipline; each market needs its own supply and cultural depth</w:t>
            </w:r>
          </w:p>
        </w:tc>
        <w:tc>
          <w:tcPr>
            <w:tcW w:type="dxa" w:w="1728"/>
          </w:tcPr>
          <w:p>
            <w:pPr>
              <w:spacing w:after="40"/>
            </w:pPr>
            <w:r/>
            <w:r>
              <w:rPr>
                <w:b w:val="0"/>
                <w:sz w:val="18"/>
              </w:rPr>
              <w:t>Post-validation</w:t>
            </w:r>
          </w:p>
        </w:tc>
      </w:tr>
      <w:tr>
        <w:tc>
          <w:tcPr>
            <w:tcW w:type="dxa" w:w="3168"/>
          </w:tcPr>
          <w:p>
            <w:pPr>
              <w:spacing w:after="40"/>
            </w:pPr>
            <w:r/>
            <w:r>
              <w:rPr>
                <w:b w:val="0"/>
                <w:sz w:val="18"/>
              </w:rPr>
              <w:t>Native mobile apps</w:t>
            </w:r>
          </w:p>
        </w:tc>
        <w:tc>
          <w:tcPr>
            <w:tcW w:type="dxa" w:w="4608"/>
          </w:tcPr>
          <w:p>
            <w:pPr>
              <w:spacing w:after="40"/>
            </w:pPr>
            <w:r/>
            <w:r>
              <w:rPr>
                <w:b w:val="0"/>
                <w:sz w:val="18"/>
              </w:rPr>
              <w:t>Two more codebases; justified only by proven retention</w:t>
            </w:r>
          </w:p>
        </w:tc>
        <w:tc>
          <w:tcPr>
            <w:tcW w:type="dxa" w:w="1728"/>
          </w:tcPr>
          <w:p>
            <w:pPr>
              <w:spacing w:after="40"/>
            </w:pPr>
            <w:r/>
            <w:r>
              <w:rPr>
                <w:b w:val="0"/>
                <w:sz w:val="18"/>
              </w:rPr>
              <w:t>Post-validation</w:t>
            </w:r>
          </w:p>
        </w:tc>
      </w:tr>
      <w:tr>
        <w:tc>
          <w:tcPr>
            <w:tcW w:type="dxa" w:w="3168"/>
          </w:tcPr>
          <w:p>
            <w:pPr>
              <w:spacing w:after="40"/>
            </w:pPr>
            <w:r/>
            <w:r>
              <w:rPr>
                <w:b w:val="0"/>
                <w:sz w:val="18"/>
              </w:rPr>
              <w:t>Monetisation</w:t>
            </w:r>
          </w:p>
        </w:tc>
        <w:tc>
          <w:tcPr>
            <w:tcW w:type="dxa" w:w="4608"/>
          </w:tcPr>
          <w:p>
            <w:pPr>
              <w:spacing w:after="40"/>
            </w:pPr>
            <w:r/>
            <w:r>
              <w:rPr>
                <w:b w:val="0"/>
                <w:sz w:val="18"/>
              </w:rPr>
              <w:t>Phase 1 is validation-first by design</w:t>
            </w:r>
          </w:p>
        </w:tc>
        <w:tc>
          <w:tcPr>
            <w:tcW w:type="dxa" w:w="1728"/>
          </w:tcPr>
          <w:p>
            <w:pPr>
              <w:spacing w:after="40"/>
            </w:pPr>
            <w:r/>
            <w:r>
              <w:rPr>
                <w:b w:val="0"/>
                <w:sz w:val="18"/>
              </w:rPr>
              <w:t>Post-validation</w:t>
            </w:r>
          </w:p>
        </w:tc>
      </w:tr>
    </w:tbl>
    <w:p>
      <w:pPr>
        <w:spacing w:after="40"/>
      </w:pPr>
    </w:p>
    <w:p>
      <w:r>
        <w:br w:type="page"/>
      </w:r>
    </w:p>
    <w:p>
      <w:pPr>
        <w:pStyle w:val="Heading1"/>
      </w:pPr>
      <w:r>
        <w:t>12 · Open items</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Recorded MVP demonstration video, following the sequence in Section 30.</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Regional-coverage bias audit results.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Contact page telephone number — currently a deliberate placeholder in the deployed product.</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4453D"/>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4453D"/>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F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