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00" w:before="200" w:line="331.2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bookmarkStart w:colFirst="0" w:colLast="0" w:name="_h39648c3sfee" w:id="0"/>
      <w:bookmarkEnd w:id="0"/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 Content changes summary for this week on </w:t>
      </w:r>
      <w:hyperlink r:id="rId6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curtisswright.com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35"/>
        <w:gridCol w:w="2460"/>
        <w:gridCol w:w="2460"/>
        <w:gridCol w:w="2820"/>
        <w:tblGridChange w:id="0">
          <w:tblGrid>
            <w:gridCol w:w="1635"/>
            <w:gridCol w:w="1635"/>
            <w:gridCol w:w="246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October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via Businesswire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SEC Feeds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2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Published a new press release.</w:t>
              <w:br w:type="textWrapping"/>
              <w:br w:type="textWrapping"/>
            </w:r>
            <w:hyperlink r:id="rId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Curtiss-Wright Announces $30 Million Capital Investment to Expand Its Operations in Round Rock, Texas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br w:type="textWrapping"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88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service desk from Carolyn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19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29, 2026</w:t>
            </w:r>
          </w:p>
        </w:tc>
      </w:tr>
    </w:tbl>
    <w:p w:rsidR="00000000" w:rsidDel="00000000" w:rsidP="00000000" w:rsidRDefault="00000000" w:rsidRPr="00000000" w14:paraId="0000001A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8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https://nuclear.curtisswright.com</w:t>
        </w:r>
      </w:hyperlink>
      <w:r w:rsidDel="00000000" w:rsidR="00000000" w:rsidRPr="00000000"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  <w:rtl w:val="0"/>
        </w:rPr>
        <w:t xml:space="preserve"> </w:t>
      </w:r>
    </w:p>
    <w:tbl>
      <w:tblPr>
        <w:tblStyle w:val="Table3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October2026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9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4"/>
        <w:tblW w:w="961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3630"/>
        <w:tblGridChange w:id="0">
          <w:tblGrid>
            <w:gridCol w:w="3150"/>
            <w:gridCol w:w="2835"/>
            <w:gridCol w:w="36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after="240" w:before="240" w:line="276" w:lineRule="auto"/>
              <w:rPr>
                <w:color w:val="16191f"/>
                <w:sz w:val="20"/>
                <w:szCs w:val="20"/>
              </w:rPr>
            </w:pPr>
            <w:r w:rsidDel="00000000" w:rsidR="00000000" w:rsidRPr="00000000">
              <w:rPr>
                <w:color w:val="16191f"/>
                <w:sz w:val="20"/>
                <w:szCs w:val="20"/>
                <w:rtl w:val="0"/>
              </w:rPr>
              <w:t xml:space="preserve">Nuclear / New Document Upload</w:t>
              <w:br w:type="textWrapping"/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https://nuclear.curtisswright.com/download-library</w:t>
              </w:r>
            </w:hyperlink>
            <w:r w:rsidDel="00000000" w:rsidR="00000000" w:rsidRPr="00000000">
              <w:rPr>
                <w:color w:val="16191f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Via service desk from </w:t>
            </w:r>
          </w:p>
          <w:p w:rsidR="00000000" w:rsidDel="00000000" w:rsidP="00000000" w:rsidRDefault="00000000" w:rsidRPr="00000000" w14:paraId="0000003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Jeanne</w:t>
            </w:r>
          </w:p>
          <w:p w:rsidR="00000000" w:rsidDel="00000000" w:rsidP="00000000" w:rsidRDefault="00000000" w:rsidRPr="00000000" w14:paraId="0000003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br w:type="textWrapping"/>
              <w:t xml:space="preserve">Work in Progress </w:t>
              <w:br w:type="textWrapping"/>
              <w:br w:type="textWrapping"/>
              <w:t xml:space="preserve">October 29, 2026 </w:t>
              <w:br w:type="textWrapping"/>
            </w:r>
          </w:p>
        </w:tc>
      </w:tr>
    </w:tbl>
    <w:p w:rsidR="00000000" w:rsidDel="00000000" w:rsidP="00000000" w:rsidRDefault="00000000" w:rsidRPr="00000000" w14:paraId="00000033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10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industrial.curtisswright.com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October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2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6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Updated all design and content changes for </w:t>
            </w:r>
            <w:hyperlink r:id="rId1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CAN actuator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, </w:t>
            </w:r>
            <w:hyperlink r:id="rId1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NRH27C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, </w:t>
            </w:r>
            <w:hyperlink r:id="rId1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FNR Switch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, </w:t>
            </w:r>
            <w:hyperlink r:id="rId14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VTS2021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 and </w:t>
            </w:r>
            <w:hyperlink r:id="rId1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highlight w:val="white"/>
                  <w:u w:val="single"/>
                  <w:rtl w:val="0"/>
                </w:rPr>
                <w:t xml:space="preserve">VTS2022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 pages.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4A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28, 2026 </w:t>
            </w:r>
          </w:p>
        </w:tc>
      </w:tr>
      <w:tr>
        <w:trPr>
          <w:cantSplit w:val="0"/>
          <w:trHeight w:val="1533.701171875000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highlight w:val="white"/>
                <w:rtl w:val="0"/>
              </w:rPr>
              <w:t xml:space="preserve">PGDT-Mobility Accredited partners page all content changes updated on live site.</w:t>
              <w:br w:type="textWrapping"/>
            </w:r>
            <w:hyperlink r:id="rId1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Mobility Accredited Partners and Centers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desk from Laura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4E">
            <w:pPr>
              <w:spacing w:after="200"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28, 2026 </w:t>
            </w:r>
          </w:p>
        </w:tc>
      </w:tr>
    </w:tbl>
    <w:p w:rsidR="00000000" w:rsidDel="00000000" w:rsidP="00000000" w:rsidRDefault="00000000" w:rsidRPr="00000000" w14:paraId="0000004F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17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https://valves.curtisswright.com/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October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E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8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200" w:before="200" w:line="276" w:lineRule="auto"/>
              <w:ind w:left="0" w:firstLine="0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Updated 10 documents with the new branded versions on the Internal Documentation SalesHUB page. </w:t>
              <w:br w:type="textWrapping"/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 </w:t>
              <w:br w:type="textWrapping"/>
            </w:r>
            <w:hyperlink r:id="rId1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EST Group Internal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65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67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19, 2026</w:t>
            </w:r>
          </w:p>
        </w:tc>
      </w:tr>
      <w:tr>
        <w:trPr>
          <w:cantSplit w:val="0"/>
          <w:trHeight w:val="1533.7011718750002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200" w:before="200" w:line="276" w:lineRule="auto"/>
              <w:ind w:left="0" w:firstLine="0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Added the Pop-A-Plug Sizing Poster (25) (11”x17”) to the SalesHUB Promotional Material page and Order Form. </w:t>
              <w:br w:type="textWrapping"/>
            </w:r>
            <w:hyperlink r:id="rId19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SalesHUB | Promo Material List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br w:type="textWrapping"/>
              <w:br w:type="textWrapping"/>
            </w:r>
            <w:hyperlink r:id="rId20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SalesHUB | Promo Item Order Form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6A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6C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19, 2026</w:t>
            </w:r>
          </w:p>
        </w:tc>
      </w:tr>
      <w:tr>
        <w:trPr>
          <w:cantSplit w:val="0"/>
          <w:trHeight w:val="1533.7011718750002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Added the Luggage tags to the SalesHUB Promotional Material page and Order Form.  </w:t>
              <w:br w:type="textWrapping"/>
            </w:r>
            <w:hyperlink r:id="rId21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SalesHUB | Promo Material List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br w:type="textWrapping"/>
              <w:br w:type="textWrapping"/>
            </w:r>
            <w:hyperlink r:id="rId22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SalesHUB | Promo Item Order Form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6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71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20, 2026</w:t>
            </w:r>
          </w:p>
        </w:tc>
      </w:tr>
      <w:tr>
        <w:trPr>
          <w:cantSplit w:val="0"/>
          <w:trHeight w:val="1533.7011718750002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Added the Japanese brochures to the Product Guide Brochures library page</w:t>
              <w:br w:type="textWrapping"/>
              <w:t xml:space="preserve"> </w:t>
              <w:br w:type="textWrapping"/>
            </w:r>
            <w:hyperlink r:id="rId23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Product Guides &amp; Brochures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7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Scott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76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20, 2026</w:t>
            </w:r>
          </w:p>
        </w:tc>
      </w:tr>
    </w:tbl>
    <w:p w:rsidR="00000000" w:rsidDel="00000000" w:rsidP="00000000" w:rsidRDefault="00000000" w:rsidRPr="00000000" w14:paraId="00000077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Work Sans" w:cs="Work Sans" w:eastAsia="Work Sans" w:hAnsi="Work Sans"/>
          <w:b w:val="1"/>
          <w:bCs w:val="1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Work Sans" w:cs="Work Sans" w:eastAsia="Work Sans" w:hAnsi="Work Sans"/>
          <w:b w:val="1"/>
          <w:bCs w:val="1"/>
          <w:color w:val="431c1c"/>
          <w:sz w:val="20"/>
          <w:szCs w:val="20"/>
          <w:rtl w:val="0"/>
        </w:rPr>
        <w:t xml:space="preserve">Content changes summary for this week on </w:t>
      </w:r>
      <w:hyperlink r:id="rId24">
        <w:r w:rsidDel="00000000" w:rsidR="00000000" w:rsidRPr="00000000">
          <w:rPr>
            <w:rFonts w:ascii="Work Sans" w:cs="Work Sans" w:eastAsia="Work Sans" w:hAnsi="Work Sans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surfacetechnologies.curtisswright.com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620"/>
        <w:gridCol w:w="2460"/>
        <w:gridCol w:w="2820"/>
        <w:tblGridChange w:id="0">
          <w:tblGrid>
            <w:gridCol w:w="1635"/>
            <w:gridCol w:w="1620"/>
            <w:gridCol w:w="2460"/>
            <w:gridCol w:w="28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Week of October 2026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Overall Updates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Change Requests via Business Group Users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Content Updates via CW Leadership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New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Enhancement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5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331.2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Please see the Links of all content changed for this Week</w:t>
      </w:r>
    </w:p>
    <w:tbl>
      <w:tblPr>
        <w:tblStyle w:val="Table10"/>
        <w:tblW w:w="8895.0" w:type="dxa"/>
        <w:jc w:val="left"/>
        <w:tblInd w:w="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835"/>
        <w:gridCol w:w="2910"/>
        <w:tblGridChange w:id="0">
          <w:tblGrid>
            <w:gridCol w:w="3150"/>
            <w:gridCol w:w="2835"/>
            <w:gridCol w:w="2910"/>
          </w:tblGrid>
        </w:tblGridChange>
      </w:tblGrid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88" w:lineRule="auto"/>
              <w:jc w:val="center"/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b w:val="1"/>
                <w:bCs w:val="1"/>
                <w:sz w:val="20"/>
                <w:szCs w:val="20"/>
                <w:rtl w:val="0"/>
              </w:rPr>
              <w:t xml:space="preserve">Published Date</w:t>
            </w:r>
          </w:p>
        </w:tc>
      </w:tr>
      <w:tr>
        <w:trPr>
          <w:cantSplit w:val="0"/>
          <w:trHeight w:val="1533.7011718750002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The location links on the homepage have been updated for all languages. </w:t>
              <w:br w:type="textWrapping"/>
            </w: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 </w:t>
              <w:br w:type="textWrapping"/>
            </w:r>
            <w:hyperlink r:id="rId25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https://surfacetechnologies.curtisswright.com/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8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Amanda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8E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26, 2026</w:t>
            </w:r>
          </w:p>
        </w:tc>
      </w:tr>
      <w:tr>
        <w:trPr>
          <w:cantSplit w:val="0"/>
          <w:trHeight w:val="1533.7011718750002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The sidebar content changes have been completed on the staging site and sent for review.</w:t>
            </w:r>
          </w:p>
          <w:p w:rsidR="00000000" w:rsidDel="00000000" w:rsidP="00000000" w:rsidRDefault="00000000" w:rsidRPr="00000000" w14:paraId="00000090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https://cwstcomstage.prod.acquia-sites.com/about-us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92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Amanda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94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26, 2026</w:t>
              <w:br w:type="textWrapping"/>
              <w:t xml:space="preserve">Waiting for Approval</w:t>
            </w:r>
          </w:p>
        </w:tc>
      </w:tr>
      <w:tr>
        <w:trPr>
          <w:cantSplit w:val="0"/>
          <w:trHeight w:val="1533.7011718750002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spacing w:after="200" w:before="20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The News section has been configured to display automatically on the homepage for all languages. </w:t>
              <w:br w:type="textWrapping"/>
            </w:r>
            <w:hyperlink r:id="rId27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https://surfacetechnologies.curtisswright.com/</w:t>
              </w:r>
            </w:hyperlink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97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Amanda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99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27, 2026</w:t>
            </w:r>
          </w:p>
        </w:tc>
      </w:tr>
      <w:tr>
        <w:trPr>
          <w:cantSplit w:val="0"/>
          <w:trHeight w:val="1533.7011718750002" w:hRule="atLeast"/>
          <w:tblHeader w:val="1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after="240" w:before="240" w:line="276" w:lineRule="auto"/>
              <w:rPr>
                <w:rFonts w:ascii="Work Sans" w:cs="Work Sans" w:eastAsia="Work Sans" w:hAnsi="Work Sa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color w:val="222222"/>
                <w:sz w:val="20"/>
                <w:szCs w:val="20"/>
                <w:rtl w:val="0"/>
              </w:rPr>
              <w:t xml:space="preserve">The Contact Us page content has been updated for all languages.</w:t>
              <w:br w:type="textWrapping"/>
              <w:t xml:space="preserve"> </w:t>
              <w:br w:type="textWrapping"/>
            </w:r>
            <w:hyperlink r:id="rId28">
              <w:r w:rsidDel="00000000" w:rsidR="00000000" w:rsidRPr="00000000">
                <w:rPr>
                  <w:rFonts w:ascii="Work Sans" w:cs="Work Sans" w:eastAsia="Work Sans" w:hAnsi="Work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https://surfacetechnologies.curtisswright.com/contact-us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Via service now from </w:t>
            </w:r>
          </w:p>
          <w:p w:rsidR="00000000" w:rsidDel="00000000" w:rsidP="00000000" w:rsidRDefault="00000000" w:rsidRPr="00000000" w14:paraId="0000009C">
            <w:pPr>
              <w:spacing w:line="288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Amanda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Live ✅</w:t>
            </w:r>
          </w:p>
          <w:p w:rsidR="00000000" w:rsidDel="00000000" w:rsidP="00000000" w:rsidRDefault="00000000" w:rsidRPr="00000000" w14:paraId="0000009E">
            <w:pPr>
              <w:spacing w:after="200" w:line="345.6" w:lineRule="auto"/>
              <w:jc w:val="center"/>
              <w:rPr>
                <w:rFonts w:ascii="Work Sans" w:cs="Work Sans" w:eastAsia="Work Sans" w:hAnsi="Work Sans"/>
                <w:sz w:val="20"/>
                <w:szCs w:val="20"/>
              </w:rPr>
            </w:pPr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October 27, 2026</w:t>
            </w:r>
          </w:p>
        </w:tc>
      </w:tr>
    </w:tbl>
    <w:p w:rsidR="00000000" w:rsidDel="00000000" w:rsidP="00000000" w:rsidRDefault="00000000" w:rsidRPr="00000000" w14:paraId="0000009F">
      <w:pPr>
        <w:spacing w:after="200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alves.curtisswright.com/en-us/est/SalesHUB-HTML/Order-Form" TargetMode="External"/><Relationship Id="rId22" Type="http://schemas.openxmlformats.org/officeDocument/2006/relationships/hyperlink" Target="https://valves.curtisswright.com/en-us/est/SalesHUB-HTML/Order-Form" TargetMode="External"/><Relationship Id="rId21" Type="http://schemas.openxmlformats.org/officeDocument/2006/relationships/hyperlink" Target="https://valves.curtisswright.com/en-us/est/SalesHUB-HTML/SalesHUB-Promotional-Material" TargetMode="External"/><Relationship Id="rId24" Type="http://schemas.openxmlformats.org/officeDocument/2006/relationships/hyperlink" Target="https://surfacetechnologies.curtisswright.com/" TargetMode="External"/><Relationship Id="rId23" Type="http://schemas.openxmlformats.org/officeDocument/2006/relationships/hyperlink" Target="https://cwvalvescomstage.prod.acquia-sites.com/en-us/est/Library/Product-Guide-Brochur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uclear.curtisswright.com/download-library" TargetMode="External"/><Relationship Id="rId26" Type="http://schemas.openxmlformats.org/officeDocument/2006/relationships/hyperlink" Target="https://cwstcomstage.prod.acquia-sites.com/about-us" TargetMode="External"/><Relationship Id="rId25" Type="http://schemas.openxmlformats.org/officeDocument/2006/relationships/hyperlink" Target="https://surfacetechnologies.curtisswright.com/" TargetMode="External"/><Relationship Id="rId28" Type="http://schemas.openxmlformats.org/officeDocument/2006/relationships/hyperlink" Target="https://surfacetechnologies.curtisswright.com/contact-us" TargetMode="External"/><Relationship Id="rId27" Type="http://schemas.openxmlformats.org/officeDocument/2006/relationships/hyperlink" Target="https://surfacetechnologies.curtisswright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curtisswright.com" TargetMode="External"/><Relationship Id="rId7" Type="http://schemas.openxmlformats.org/officeDocument/2006/relationships/hyperlink" Target="https://curtisswright.com/news/press-releases/news-release-details/2026/Curtiss-Wright-Announces-30-Million-Capital-Investment-to-Expand-Its-Operations-in-Round-Rock-Texas" TargetMode="External"/><Relationship Id="rId8" Type="http://schemas.openxmlformats.org/officeDocument/2006/relationships/hyperlink" Target="https://nuclear.curtisswright.com" TargetMode="External"/><Relationship Id="rId11" Type="http://schemas.openxmlformats.org/officeDocument/2006/relationships/hyperlink" Target="https://industrial.curtisswright.com/en-gb/products/transmission-shifters/can-actuator" TargetMode="External"/><Relationship Id="rId10" Type="http://schemas.openxmlformats.org/officeDocument/2006/relationships/hyperlink" Target="https://industrial.curtisswright.com/" TargetMode="External"/><Relationship Id="rId13" Type="http://schemas.openxmlformats.org/officeDocument/2006/relationships/hyperlink" Target="https://industrial.curtisswright.com/en-gb/FNR-switch" TargetMode="External"/><Relationship Id="rId12" Type="http://schemas.openxmlformats.org/officeDocument/2006/relationships/hyperlink" Target="https://industrial.curtisswright.com/en-gb/off-highway/agriculture/nrh27c-no-contact-canbus-rotary-position-sensor" TargetMode="External"/><Relationship Id="rId15" Type="http://schemas.openxmlformats.org/officeDocument/2006/relationships/hyperlink" Target="https://industrial.curtisswright.com/en-gb/products/sensors/VTS2022" TargetMode="External"/><Relationship Id="rId14" Type="http://schemas.openxmlformats.org/officeDocument/2006/relationships/hyperlink" Target="https://industrial.curtisswright.com/en-gb/off-highway/material-handling/vts2021-vibration-tolerant-tilt-sensor" TargetMode="External"/><Relationship Id="rId17" Type="http://schemas.openxmlformats.org/officeDocument/2006/relationships/hyperlink" Target="https://valves.curtisswright.com/" TargetMode="External"/><Relationship Id="rId16" Type="http://schemas.openxmlformats.org/officeDocument/2006/relationships/hyperlink" Target="https://industrial.curtisswright.com/en-gb/pgdt/Customer-Services/Mobility-Accredited-Partners-and-Centers" TargetMode="External"/><Relationship Id="rId19" Type="http://schemas.openxmlformats.org/officeDocument/2006/relationships/hyperlink" Target="https://valves.curtisswright.com/en-us/est/SalesHUB-HTML/SalesHUB-Promotional-Material" TargetMode="External"/><Relationship Id="rId18" Type="http://schemas.openxmlformats.org/officeDocument/2006/relationships/hyperlink" Target="https://valves.curtisswright.com/en-us/est/SalesHUB-HTML/EST-Group-Internal-Document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