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br/>
        <w:br/>
        <w:t>Agribusiness Data Analysis Plan</w:t>
        <w:br/>
      </w:r>
    </w:p>
    <w:p>
      <w:pPr>
        <w:jc w:val="center"/>
      </w:pPr>
      <w:r>
        <w:rPr>
          <w:sz w:val="28"/>
        </w:rPr>
        <w:t>Forecasting Market Trends in Maharashtra Agriculture</w:t>
        <w:br/>
        <w:t>(Nagpur Mandarin, Soybean &amp; Wheat)</w:t>
      </w:r>
    </w:p>
    <w:p>
      <w:pPr>
        <w:jc w:val="center"/>
      </w:pPr>
      <w:r>
        <w:rPr>
          <w:sz w:val="24"/>
        </w:rPr>
        <w:br/>
        <w:t>Week 1 Task — Junior Data Scientist Internship (Nagpur)</w:t>
        <w:br/>
        <w:t>YuvaIntern | 22 Oct 2026 – 26 Nov 2026</w:t>
        <w:br/>
        <w:t>Prepared by: Divyan Andisamy</w:t>
        <w:br/>
        <w:t>divyandon615@gmail.com</w:t>
      </w:r>
    </w:p>
    <w:p>
      <w:r>
        <w:br w:type="page"/>
      </w:r>
    </w:p>
    <w:p>
      <w:pPr>
        <w:pStyle w:val="Heading1"/>
      </w:pPr>
      <w:r>
        <w:t>1. Introduction and Research Rationale</w:t>
      </w:r>
    </w:p>
    <w:p>
      <w:r>
        <w:rPr>
          <w:b w:val="0"/>
        </w:rPr>
        <w:t>Agriculture contributes roughly 18–19% of India’s GDP and employs over 45% of the workforce, yet agribusiness decisions are still made largely on intuition rather than data. Price volatility in perishables such as Nagpur mandarin (orange) can wipe out farmer income within days, while underutilized yield data hides productivity gaps across districts.</w:t>
      </w:r>
    </w:p>
    <w:p>
      <w:r>
        <w:rPr>
          <w:b w:val="0"/>
        </w:rPr>
        <w:t>This project designs a structured, end-to-end plan to collect and analyze publicly available agribusiness data in order to forecast market trends for three strategically chosen Maharashtra crops: Nagpur mandarin (a perishable, export-oriented horticulture crop and the identity crop of the host city), soybean (a major kharif oilseed with strong mandi price data), and wheat (a stable rabi staple with long historical series).</w:t>
      </w:r>
    </w:p>
    <w:p>
      <w:r>
        <w:rPr>
          <w:b/>
        </w:rPr>
        <w:t>The rationale for this three-crop portfolio is deliberate analytical design:</w:t>
      </w:r>
    </w:p>
    <w:p>
      <w:pPr>
        <w:pStyle w:val="ListBullet"/>
      </w:pPr>
      <w:r>
        <w:t>Contrasting market behaviors: a perishable horticulture crop (orange), a traded oilseed (soybean), and a staple grain (wheat) produce comparable but distinct price/yield dynamics — enabling richer insight than a single-commodity study.</w:t>
      </w:r>
    </w:p>
    <w:p>
      <w:pPr>
        <w:pStyle w:val="ListBullet"/>
      </w:pPr>
      <w:r>
        <w:t>Data availability: all three have consistent public records on Agmarknet (daily mandi prices) and Ministry of Agriculture statistics (area, production, yield).</w:t>
      </w:r>
    </w:p>
    <w:p>
      <w:pPr>
        <w:pStyle w:val="ListBullet"/>
      </w:pPr>
      <w:r>
        <w:t>Local relevance: Nagpur APMC is one of India’s largest orange markets, making findings directly meaningful to regional agribusiness stakeholders.</w:t>
      </w:r>
    </w:p>
    <w:p>
      <w:pPr>
        <w:pStyle w:val="Heading1"/>
      </w:pPr>
      <w:r>
        <w:t>2. Project Scope and Objectives</w:t>
      </w:r>
    </w:p>
    <w:p>
      <w:pPr>
        <w:pStyle w:val="Heading2"/>
      </w:pPr>
      <w:r>
        <w:t>2.1 Scope</w:t>
      </w:r>
    </w:p>
    <w:p>
      <w:pPr>
        <w:pStyle w:val="ListBullet"/>
      </w:pPr>
      <w:r>
        <w:t>Geography: Maharashtra state, with Nagpur district as the primary focal market.</w:t>
      </w:r>
    </w:p>
    <w:p>
      <w:pPr>
        <w:pStyle w:val="ListBullet"/>
      </w:pPr>
      <w:r>
        <w:t>Commodities: Nagpur mandarin (orange), soybean, wheat.</w:t>
      </w:r>
    </w:p>
    <w:p>
      <w:pPr>
        <w:pStyle w:val="ListBullet"/>
      </w:pPr>
      <w:r>
        <w:t>Time period: 2015–2025 (10 years; long enough for trend and seasonality analysis, short enough to remain manageable).</w:t>
      </w:r>
    </w:p>
    <w:p>
      <w:pPr>
        <w:pStyle w:val="ListBullet"/>
      </w:pPr>
      <w:r>
        <w:t>Data types: mandi prices, area/production/yield, rainfall &amp; temperature, minimum support price (MSP), export volumes.</w:t>
      </w:r>
    </w:p>
    <w:p>
      <w:pPr>
        <w:pStyle w:val="Heading2"/>
      </w:pPr>
      <w:r>
        <w:t>2.2 Objectives</w:t>
      </w:r>
    </w:p>
    <w:p>
      <w:pPr>
        <w:pStyle w:val="ListBullet"/>
      </w:pPr>
      <w:r>
        <w:t>Identify and catalog reliable public data sources for the selected indicators.</w:t>
      </w:r>
    </w:p>
    <w:p>
      <w:pPr>
        <w:pStyle w:val="ListBullet"/>
      </w:pPr>
      <w:r>
        <w:t>Define measurable key indicators (crop yield, pricing dynamics, resource utilization).</w:t>
      </w:r>
    </w:p>
    <w:p>
      <w:pPr>
        <w:pStyle w:val="ListBullet"/>
      </w:pPr>
      <w:r>
        <w:t>Design a reproducible pipeline: collection → cleaning → integration → analysis → interpretation.</w:t>
      </w:r>
    </w:p>
    <w:p>
      <w:pPr>
        <w:pStyle w:val="ListBullet"/>
      </w:pPr>
      <w:r>
        <w:t>Forecast short-term price/market trends using baseline time-series methods, with honest uncertainty bounds.</w:t>
      </w:r>
    </w:p>
    <w:p>
      <w:pPr>
        <w:pStyle w:val="Heading1"/>
      </w:pPr>
      <w:r>
        <w:t>3. Key Metrics and Indicators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Indicator</w:t>
            </w:r>
          </w:p>
        </w:tc>
        <w:tc>
          <w:tcPr>
            <w:tcW w:type="dxa" w:w="2160"/>
          </w:tcPr>
          <w:p>
            <w:r>
              <w:rPr>
                <w:b/>
              </w:rPr>
              <w:t>Definition / Formula</w:t>
            </w:r>
          </w:p>
        </w:tc>
        <w:tc>
          <w:tcPr>
            <w:tcW w:type="dxa" w:w="2160"/>
          </w:tcPr>
          <w:p>
            <w:r>
              <w:rPr>
                <w:b/>
              </w:rPr>
              <w:t>Unit</w:t>
            </w:r>
          </w:p>
        </w:tc>
        <w:tc>
          <w:tcPr>
            <w:tcW w:type="dxa" w:w="2160"/>
          </w:tcPr>
          <w:p>
            <w:r>
              <w:rPr>
                <w:b/>
              </w:rPr>
              <w:t>Purpose</w:t>
            </w:r>
          </w:p>
        </w:tc>
      </w:tr>
      <w:tr>
        <w:tc>
          <w:tcPr>
            <w:tcW w:type="dxa" w:w="2160"/>
          </w:tcPr>
          <w:p>
            <w:r>
              <w:t>Crop yield</w:t>
            </w:r>
          </w:p>
        </w:tc>
        <w:tc>
          <w:tcPr>
            <w:tcW w:type="dxa" w:w="2160"/>
          </w:tcPr>
          <w:p>
            <w:r>
              <w:t>Production ÷ Harvested area</w:t>
            </w:r>
          </w:p>
        </w:tc>
        <w:tc>
          <w:tcPr>
            <w:tcW w:type="dxa" w:w="2160"/>
          </w:tcPr>
          <w:p>
            <w:r>
              <w:t>kg/hectare (or qtl/ha)</w:t>
            </w:r>
          </w:p>
        </w:tc>
        <w:tc>
          <w:tcPr>
            <w:tcW w:type="dxa" w:w="2160"/>
          </w:tcPr>
          <w:p>
            <w:r>
              <w:t>Measure productivity trends by crop/district</w:t>
            </w:r>
          </w:p>
        </w:tc>
      </w:tr>
      <w:tr>
        <w:tc>
          <w:tcPr>
            <w:tcW w:type="dxa" w:w="2160"/>
          </w:tcPr>
          <w:p>
            <w:r>
              <w:t>Price level &amp; trend</w:t>
            </w:r>
          </w:p>
        </w:tc>
        <w:tc>
          <w:tcPr>
            <w:tcW w:type="dxa" w:w="2160"/>
          </w:tcPr>
          <w:p>
            <w:r>
              <w:t>Daily/modal mandi price time series</w:t>
            </w:r>
          </w:p>
        </w:tc>
        <w:tc>
          <w:tcPr>
            <w:tcW w:type="dxa" w:w="2160"/>
          </w:tcPr>
          <w:p>
            <w:r>
              <w:t>₹/quintal</w:t>
            </w:r>
          </w:p>
        </w:tc>
        <w:tc>
          <w:tcPr>
            <w:tcW w:type="dxa" w:w="2160"/>
          </w:tcPr>
          <w:p>
            <w:r>
              <w:t>Track market movement and seasonality</w:t>
            </w:r>
          </w:p>
        </w:tc>
      </w:tr>
      <w:tr>
        <w:tc>
          <w:tcPr>
            <w:tcW w:type="dxa" w:w="2160"/>
          </w:tcPr>
          <w:p>
            <w:r>
              <w:t>Price volatility</w:t>
            </w:r>
          </w:p>
        </w:tc>
        <w:tc>
          <w:tcPr>
            <w:tcW w:type="dxa" w:w="2160"/>
          </w:tcPr>
          <w:p>
            <w:r>
              <w:t>Std. deviation of month-on-month % price change</w:t>
            </w:r>
          </w:p>
        </w:tc>
        <w:tc>
          <w:tcPr>
            <w:tcW w:type="dxa" w:w="2160"/>
          </w:tcPr>
          <w:p>
            <w:r>
              <w:t>%</w:t>
            </w:r>
          </w:p>
        </w:tc>
        <w:tc>
          <w:tcPr>
            <w:tcW w:type="dxa" w:w="2160"/>
          </w:tcPr>
          <w:p>
            <w:r>
              <w:t>Quantify market risk for traders/farmers</w:t>
            </w:r>
          </w:p>
        </w:tc>
      </w:tr>
      <w:tr>
        <w:tc>
          <w:tcPr>
            <w:tcW w:type="dxa" w:w="2160"/>
          </w:tcPr>
          <w:p>
            <w:r>
              <w:t>Mandi price spread</w:t>
            </w:r>
          </w:p>
        </w:tc>
        <w:tc>
          <w:tcPr>
            <w:tcW w:type="dxa" w:w="2160"/>
          </w:tcPr>
          <w:p>
            <w:r>
              <w:t>Max − min price across major mandis for same crop/date</w:t>
            </w:r>
          </w:p>
        </w:tc>
        <w:tc>
          <w:tcPr>
            <w:tcW w:type="dxa" w:w="2160"/>
          </w:tcPr>
          <w:p>
            <w:r>
              <w:t>₹/quintal</w:t>
            </w:r>
          </w:p>
        </w:tc>
        <w:tc>
          <w:tcPr>
            <w:tcW w:type="dxa" w:w="2160"/>
          </w:tcPr>
          <w:p>
            <w:r>
              <w:t>Proxy for market integration &amp; efficiency</w:t>
            </w:r>
          </w:p>
        </w:tc>
      </w:tr>
      <w:tr>
        <w:tc>
          <w:tcPr>
            <w:tcW w:type="dxa" w:w="2160"/>
          </w:tcPr>
          <w:p>
            <w:r>
              <w:t>Resource utilization</w:t>
            </w:r>
          </w:p>
        </w:tc>
        <w:tc>
          <w:tcPr>
            <w:tcW w:type="dxa" w:w="2160"/>
          </w:tcPr>
          <w:p>
            <w:r>
              <w:t>Fertilizer consumption per hectare; irrigation coverage</w:t>
            </w:r>
          </w:p>
        </w:tc>
        <w:tc>
          <w:tcPr>
            <w:tcW w:type="dxa" w:w="2160"/>
          </w:tcPr>
          <w:p>
            <w:r>
              <w:t>kg/ha; % of area</w:t>
            </w:r>
          </w:p>
        </w:tc>
        <w:tc>
          <w:tcPr>
            <w:tcW w:type="dxa" w:w="2160"/>
          </w:tcPr>
          <w:p>
            <w:r>
              <w:t>Assess input intensity and sustainability</w:t>
            </w:r>
          </w:p>
        </w:tc>
      </w:tr>
      <w:tr>
        <w:tc>
          <w:tcPr>
            <w:tcW w:type="dxa" w:w="2160"/>
          </w:tcPr>
          <w:p>
            <w:r>
              <w:t>Weather deviation</w:t>
            </w:r>
          </w:p>
        </w:tc>
        <w:tc>
          <w:tcPr>
            <w:tcW w:type="dxa" w:w="2160"/>
          </w:tcPr>
          <w:p>
            <w:r>
              <w:t>Actual rainfall vs. long-period average (LPA)</w:t>
            </w:r>
          </w:p>
        </w:tc>
        <w:tc>
          <w:tcPr>
            <w:tcW w:type="dxa" w:w="2160"/>
          </w:tcPr>
          <w:p>
            <w:r>
              <w:t>% deviation</w:t>
            </w:r>
          </w:p>
        </w:tc>
        <w:tc>
          <w:tcPr>
            <w:tcW w:type="dxa" w:w="2160"/>
          </w:tcPr>
          <w:p>
            <w:r>
              <w:t>Leading explanatory variable for yield shocks</w:t>
            </w:r>
          </w:p>
        </w:tc>
      </w:tr>
      <w:tr>
        <w:tc>
          <w:tcPr>
            <w:tcW w:type="dxa" w:w="2160"/>
          </w:tcPr>
          <w:p>
            <w:r>
              <w:t>MSP comparison</w:t>
            </w:r>
          </w:p>
        </w:tc>
        <w:tc>
          <w:tcPr>
            <w:tcW w:type="dxa" w:w="2160"/>
          </w:tcPr>
          <w:p>
            <w:r>
              <w:t>Mandi price − announced MSP</w:t>
            </w:r>
          </w:p>
        </w:tc>
        <w:tc>
          <w:tcPr>
            <w:tcW w:type="dxa" w:w="2160"/>
          </w:tcPr>
          <w:p>
            <w:r>
              <w:t>₹/quintal</w:t>
            </w:r>
          </w:p>
        </w:tc>
        <w:tc>
          <w:tcPr>
            <w:tcW w:type="dxa" w:w="2160"/>
          </w:tcPr>
          <w:p>
            <w:r>
              <w:t>Policy effectiveness signal</w:t>
            </w:r>
          </w:p>
        </w:tc>
      </w:tr>
    </w:tbl>
    <w:p/>
    <w:p>
      <w:pPr>
        <w:pStyle w:val="Heading1"/>
      </w:pPr>
      <w:r>
        <w:t>4. Proposed Public Data 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URL</w:t>
            </w:r>
          </w:p>
        </w:tc>
        <w:tc>
          <w:tcPr>
            <w:tcW w:type="dxa" w:w="2160"/>
          </w:tcPr>
          <w:p>
            <w:r>
              <w:rPr>
                <w:b/>
              </w:rPr>
              <w:t>Data Provided</w:t>
            </w:r>
          </w:p>
        </w:tc>
        <w:tc>
          <w:tcPr>
            <w:tcW w:type="dxa" w:w="2160"/>
          </w:tcPr>
          <w:p>
            <w:r>
              <w:rPr>
                <w:b/>
              </w:rPr>
              <w:t>Format / Frequency</w:t>
            </w:r>
          </w:p>
        </w:tc>
      </w:tr>
      <w:tr>
        <w:tc>
          <w:tcPr>
            <w:tcW w:type="dxa" w:w="2160"/>
          </w:tcPr>
          <w:p>
            <w:r>
              <w:t>Agmarknet (APMC prices)</w:t>
            </w:r>
          </w:p>
        </w:tc>
        <w:tc>
          <w:tcPr>
            <w:tcW w:type="dxa" w:w="2160"/>
          </w:tcPr>
          <w:p>
            <w:r>
              <w:t>agmarknet.gov.in</w:t>
            </w:r>
          </w:p>
        </w:tc>
        <w:tc>
          <w:tcPr>
            <w:tcW w:type="dxa" w:w="2160"/>
          </w:tcPr>
          <w:p>
            <w:r>
              <w:t>Daily modal/min/max prices, arrivals for all crops &amp; mandis</w:t>
            </w:r>
          </w:p>
        </w:tc>
        <w:tc>
          <w:tcPr>
            <w:tcW w:type="dxa" w:w="2160"/>
          </w:tcPr>
          <w:p>
            <w:r>
              <w:t>Web query / CSV, daily</w:t>
            </w:r>
          </w:p>
        </w:tc>
      </w:tr>
      <w:tr>
        <w:tc>
          <w:tcPr>
            <w:tcW w:type="dxa" w:w="2160"/>
          </w:tcPr>
          <w:p>
            <w:r>
              <w:t>data.gov.in</w:t>
            </w:r>
          </w:p>
        </w:tc>
        <w:tc>
          <w:tcPr>
            <w:tcW w:type="dxa" w:w="2160"/>
          </w:tcPr>
          <w:p>
            <w:r>
              <w:t>data.gov.in</w:t>
            </w:r>
          </w:p>
        </w:tc>
        <w:tc>
          <w:tcPr>
            <w:tcW w:type="dxa" w:w="2160"/>
          </w:tcPr>
          <w:p>
            <w:r>
              <w:t>Machine-readable agri datasets, APIs</w:t>
            </w:r>
          </w:p>
        </w:tc>
        <w:tc>
          <w:tcPr>
            <w:tcW w:type="dxa" w:w="2160"/>
          </w:tcPr>
          <w:p>
            <w:r>
              <w:t>CSV/JSON/API</w:t>
            </w:r>
          </w:p>
        </w:tc>
      </w:tr>
      <w:tr>
        <w:tc>
          <w:tcPr>
            <w:tcW w:type="dxa" w:w="2160"/>
          </w:tcPr>
          <w:p>
            <w:r>
              <w:t>Min. of Agriculture (eands)</w:t>
            </w:r>
          </w:p>
        </w:tc>
        <w:tc>
          <w:tcPr>
            <w:tcW w:type="dxa" w:w="2160"/>
          </w:tcPr>
          <w:p>
            <w:r>
              <w:t>eands.dacnet.nic.in</w:t>
            </w:r>
          </w:p>
        </w:tc>
        <w:tc>
          <w:tcPr>
            <w:tcW w:type="dxa" w:w="2160"/>
          </w:tcPr>
          <w:p>
            <w:r>
              <w:t>Area, production, yield by crop/state/district</w:t>
            </w:r>
          </w:p>
        </w:tc>
        <w:tc>
          <w:tcPr>
            <w:tcW w:type="dxa" w:w="2160"/>
          </w:tcPr>
          <w:p>
            <w:r>
              <w:t>PDF/Excel, annual</w:t>
            </w:r>
          </w:p>
        </w:tc>
      </w:tr>
      <w:tr>
        <w:tc>
          <w:tcPr>
            <w:tcW w:type="dxa" w:w="2160"/>
          </w:tcPr>
          <w:p>
            <w:r>
              <w:t>IMD / NASA POWER</w:t>
            </w:r>
          </w:p>
        </w:tc>
        <w:tc>
          <w:tcPr>
            <w:tcW w:type="dxa" w:w="2160"/>
          </w:tcPr>
          <w:p>
            <w:r>
              <w:t>mausam.imd.gov.in / power.larc.nasa.gov</w:t>
            </w:r>
          </w:p>
        </w:tc>
        <w:tc>
          <w:tcPr>
            <w:tcW w:type="dxa" w:w="2160"/>
          </w:tcPr>
          <w:p>
            <w:r>
              <w:t>Rainfall, temperature by district/month</w:t>
            </w:r>
          </w:p>
        </w:tc>
        <w:tc>
          <w:tcPr>
            <w:tcW w:type="dxa" w:w="2160"/>
          </w:tcPr>
          <w:p>
            <w:r>
              <w:t>CSV/API, daily/monthly</w:t>
            </w:r>
          </w:p>
        </w:tc>
      </w:tr>
      <w:tr>
        <w:tc>
          <w:tcPr>
            <w:tcW w:type="dxa" w:w="2160"/>
          </w:tcPr>
          <w:p>
            <w:r>
              <w:t>World Bank Pink Sheet</w:t>
            </w:r>
          </w:p>
        </w:tc>
        <w:tc>
          <w:tcPr>
            <w:tcW w:type="dxa" w:w="2160"/>
          </w:tcPr>
          <w:p>
            <w:r>
              <w:t>pinksheet.worldbank.org</w:t>
            </w:r>
          </w:p>
        </w:tc>
        <w:tc>
          <w:tcPr>
            <w:tcW w:type="dxa" w:w="2160"/>
          </w:tcPr>
          <w:p>
            <w:r>
              <w:t>International benchmark commodity prices</w:t>
            </w:r>
          </w:p>
        </w:tc>
        <w:tc>
          <w:tcPr>
            <w:tcW w:type="dxa" w:w="2160"/>
          </w:tcPr>
          <w:p>
            <w:r>
              <w:t>Excel, monthly</w:t>
            </w:r>
          </w:p>
        </w:tc>
      </w:tr>
      <w:tr>
        <w:tc>
          <w:tcPr>
            <w:tcW w:type="dxa" w:w="2160"/>
          </w:tcPr>
          <w:p>
            <w:r>
              <w:t>FAOSTAT</w:t>
            </w:r>
          </w:p>
        </w:tc>
        <w:tc>
          <w:tcPr>
            <w:tcW w:type="dxa" w:w="2160"/>
          </w:tcPr>
          <w:p>
            <w:r>
              <w:t>fao.org/faostat</w:t>
            </w:r>
          </w:p>
        </w:tc>
        <w:tc>
          <w:tcPr>
            <w:tcW w:type="dxa" w:w="2160"/>
          </w:tcPr>
          <w:p>
            <w:r>
              <w:t>Global production, trade, prices (context/benchmark)</w:t>
            </w:r>
          </w:p>
        </w:tc>
        <w:tc>
          <w:tcPr>
            <w:tcW w:type="dxa" w:w="2160"/>
          </w:tcPr>
          <w:p>
            <w:r>
              <w:t>CSV, annual</w:t>
            </w:r>
          </w:p>
        </w:tc>
      </w:tr>
      <w:tr>
        <w:tc>
          <w:tcPr>
            <w:tcW w:type="dxa" w:w="2160"/>
          </w:tcPr>
          <w:p>
            <w:r>
              <w:t>CACP / DACFW</w:t>
            </w:r>
          </w:p>
        </w:tc>
        <w:tc>
          <w:tcPr>
            <w:tcW w:type="dxa" w:w="2160"/>
          </w:tcPr>
          <w:p>
            <w:r>
              <w:t>cacp.dacnet.nic.in</w:t>
            </w:r>
          </w:p>
        </w:tc>
        <w:tc>
          <w:tcPr>
            <w:tcW w:type="dxa" w:w="2160"/>
          </w:tcPr>
          <w:p>
            <w:r>
              <w:t>MSP announcements, cost of cultivation</w:t>
            </w:r>
          </w:p>
        </w:tc>
        <w:tc>
          <w:tcPr>
            <w:tcW w:type="dxa" w:w="2160"/>
          </w:tcPr>
          <w:p>
            <w:r>
              <w:t>PDF, seasonal</w:t>
            </w:r>
          </w:p>
        </w:tc>
      </w:tr>
      <w:tr>
        <w:tc>
          <w:tcPr>
            <w:tcW w:type="dxa" w:w="2160"/>
          </w:tcPr>
          <w:p>
            <w:r>
              <w:t>APEDA</w:t>
            </w:r>
          </w:p>
        </w:tc>
        <w:tc>
          <w:tcPr>
            <w:tcW w:type="dxa" w:w="2160"/>
          </w:tcPr>
          <w:p>
            <w:r>
              <w:t>apeda.gov.in</w:t>
            </w:r>
          </w:p>
        </w:tc>
        <w:tc>
          <w:tcPr>
            <w:tcW w:type="dxa" w:w="2160"/>
          </w:tcPr>
          <w:p>
            <w:r>
              <w:t>Export volumes &amp; values (oranges, soybean meal)</w:t>
            </w:r>
          </w:p>
        </w:tc>
        <w:tc>
          <w:tcPr>
            <w:tcW w:type="dxa" w:w="2160"/>
          </w:tcPr>
          <w:p>
            <w:r>
              <w:t>Web tables, monthly</w:t>
            </w:r>
          </w:p>
        </w:tc>
      </w:tr>
    </w:tbl>
    <w:p/>
    <w:p>
      <w:r>
        <w:rPr>
          <w:b w:val="0"/>
        </w:rPr>
        <w:t>All sources above are publicly accessible at no cost and are maintained by government or multilateral institutions, ensuring credibility and reproducibility.</w:t>
      </w:r>
    </w:p>
    <w:p>
      <w:pPr>
        <w:pStyle w:val="Heading1"/>
      </w:pPr>
      <w:r>
        <w:t>5. Methodology: Step-by-Step Plan</w:t>
      </w:r>
    </w:p>
    <w:p>
      <w:pPr>
        <w:pStyle w:val="Heading2"/>
      </w:pPr>
      <w:r>
        <w:t>5.1 Data Collection</w:t>
      </w:r>
    </w:p>
    <w:p>
      <w:pPr>
        <w:pStyle w:val="ListBullet"/>
      </w:pPr>
      <w:r>
        <w:t>Step 1: Download daily mandi price data (2015–2025) for orange, soybean, and wheat from Agmarknet, filtered to Maharashtra mandis (priority: Nagpur, Amravati, Pune, Nashik).</w:t>
      </w:r>
    </w:p>
    <w:p>
      <w:pPr>
        <w:pStyle w:val="ListBullet"/>
      </w:pPr>
      <w:r>
        <w:t>Step 2: Extract annual area/production/yield tables from Ministry of Agriculture statistics.</w:t>
      </w:r>
    </w:p>
    <w:p>
      <w:pPr>
        <w:pStyle w:val="ListBullet"/>
      </w:pPr>
      <w:r>
        <w:t>Step 3: Pull monthly rainfall and temperature for Nagpur district from IMD/NASA POWER API.</w:t>
      </w:r>
    </w:p>
    <w:p>
      <w:pPr>
        <w:pStyle w:val="ListBullet"/>
      </w:pPr>
      <w:r>
        <w:t>Step 4: Compile MSP announcements and APEDA export figures for the three crops.</w:t>
      </w:r>
    </w:p>
    <w:p>
      <w:pPr>
        <w:pStyle w:val="ListBullet"/>
      </w:pPr>
      <w:r>
        <w:t>Step 5: Build a data inventory table recording source, URL, date downloaded, coverage, and license for every file (supports reproducibility).</w:t>
      </w:r>
    </w:p>
    <w:p>
      <w:pPr>
        <w:pStyle w:val="Heading2"/>
      </w:pPr>
      <w:r>
        <w:t>5.2 Data Cleaning (feeds directly into Week 2 task)</w:t>
      </w:r>
    </w:p>
    <w:p>
      <w:pPr>
        <w:pStyle w:val="ListBullet"/>
      </w:pPr>
      <w:r>
        <w:t>Standardize units (₹/quintal), dates (YYYY-MM-DD), and crop/variety names across sources.</w:t>
      </w:r>
    </w:p>
    <w:p>
      <w:pPr>
        <w:pStyle w:val="ListBullet"/>
      </w:pPr>
      <w:r>
        <w:t>Handle missing mandi days (no-arrival days vs. true gaps), duplicate records, and obvious entry errors (e.g., prices 10× out of range) using documented rules.</w:t>
      </w:r>
    </w:p>
    <w:p>
      <w:pPr>
        <w:pStyle w:val="ListBullet"/>
      </w:pPr>
      <w:r>
        <w:t>Outlier treatment: flag via IQR/z-score, verify against external news (weather events, policy shocks) before correcting or removing — never silently delete.</w:t>
      </w:r>
    </w:p>
    <w:p>
      <w:pPr>
        <w:pStyle w:val="Heading2"/>
      </w:pPr>
      <w:r>
        <w:t>5.3 Integration and Analysis</w:t>
      </w:r>
    </w:p>
    <w:p>
      <w:pPr>
        <w:pStyle w:val="ListBullet"/>
      </w:pPr>
      <w:r>
        <w:t>Merge price, yield, and weather data into a single master dataset keyed by crop–district–date.</w:t>
      </w:r>
    </w:p>
    <w:p>
      <w:pPr>
        <w:pStyle w:val="ListBullet"/>
      </w:pPr>
      <w:r>
        <w:t>Exploratory analysis: trend plots, seasonal decomposition of prices, correlation of rainfall deviation with yield.</w:t>
      </w:r>
    </w:p>
    <w:p>
      <w:pPr>
        <w:pStyle w:val="ListBullet"/>
      </w:pPr>
      <w:r>
        <w:t>Forecasting baselines: seasonal-naive benchmark first, then ARIMA/SARIMA per crop; evaluate with MAE, RMSE, MAPE on a held-out 12-month test window.</w:t>
      </w:r>
    </w:p>
    <w:p>
      <w:pPr>
        <w:pStyle w:val="Heading2"/>
      </w:pPr>
      <w:r>
        <w:t>5.4 Interpretation</w:t>
      </w:r>
    </w:p>
    <w:p>
      <w:pPr>
        <w:pStyle w:val="ListBullet"/>
      </w:pPr>
      <w:r>
        <w:t>Translate model outputs into agribusiness insights: peak/harvest price windows, volatility risk periods, and yield-risk drivers.</w:t>
      </w:r>
    </w:p>
    <w:p>
      <w:pPr>
        <w:pStyle w:val="ListBullet"/>
      </w:pPr>
      <w:r>
        <w:t>State limitations explicitly: monsoon shocks, export policy changes (e.g., soybean meal export restrictions), and perishability effects are not fully captured by historical price models.</w:t>
      </w:r>
    </w:p>
    <w:p>
      <w:pPr>
        <w:pStyle w:val="Heading1"/>
      </w:pPr>
      <w:r>
        <w:t>6. Timeline and Milestones (Aligned to Internship: 22 Oct – 26 Nov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Week</w:t>
            </w:r>
          </w:p>
        </w:tc>
        <w:tc>
          <w:tcPr>
            <w:tcW w:type="dxa" w:w="2160"/>
          </w:tcPr>
          <w:p>
            <w:r>
              <w:rPr>
                <w:b/>
              </w:rPr>
              <w:t>Dates</w:t>
            </w:r>
          </w:p>
        </w:tc>
        <w:tc>
          <w:tcPr>
            <w:tcW w:type="dxa" w:w="2160"/>
          </w:tcPr>
          <w:p>
            <w:r>
              <w:rPr>
                <w:b/>
              </w:rPr>
              <w:t>Milestone</w:t>
            </w:r>
          </w:p>
        </w:tc>
        <w:tc>
          <w:tcPr>
            <w:tcW w:type="dxa" w:w="2160"/>
          </w:tcPr>
          <w:p>
            <w:r>
              <w:rPr>
                <w:b/>
              </w:rPr>
              <w:t>Deliverable</w:t>
            </w:r>
          </w:p>
        </w:tc>
      </w:tr>
      <w:tr>
        <w:tc>
          <w:tcPr>
            <w:tcW w:type="dxa" w:w="2160"/>
          </w:tcPr>
          <w:p>
            <w:r>
              <w:t>Week 1</w:t>
            </w:r>
          </w:p>
        </w:tc>
        <w:tc>
          <w:tcPr>
            <w:tcW w:type="dxa" w:w="2160"/>
          </w:tcPr>
          <w:p>
            <w:r>
              <w:t>22–28 Oct</w:t>
            </w:r>
          </w:p>
        </w:tc>
        <w:tc>
          <w:tcPr>
            <w:tcW w:type="dxa" w:w="2160"/>
          </w:tcPr>
          <w:p>
            <w:r>
              <w:t>Finalize scope, sources, metrics; submit this plan</w:t>
            </w:r>
          </w:p>
        </w:tc>
        <w:tc>
          <w:tcPr>
            <w:tcW w:type="dxa" w:w="2160"/>
          </w:tcPr>
          <w:p>
            <w:r>
              <w:t>Planning document (this DOCX)</w:t>
            </w:r>
          </w:p>
        </w:tc>
      </w:tr>
      <w:tr>
        <w:tc>
          <w:tcPr>
            <w:tcW w:type="dxa" w:w="2160"/>
          </w:tcPr>
          <w:p>
            <w:r>
              <w:t>Week 2</w:t>
            </w:r>
          </w:p>
        </w:tc>
        <w:tc>
          <w:tcPr>
            <w:tcW w:type="dxa" w:w="2160"/>
          </w:tcPr>
          <w:p>
            <w:r>
              <w:t>29 Oct–4 Nov</w:t>
            </w:r>
          </w:p>
        </w:tc>
        <w:tc>
          <w:tcPr>
            <w:tcW w:type="dxa" w:w="2160"/>
          </w:tcPr>
          <w:p>
            <w:r>
              <w:t>Design cleaning &amp; preprocessing strategy for the datasets defined here</w:t>
            </w:r>
          </w:p>
        </w:tc>
        <w:tc>
          <w:tcPr>
            <w:tcW w:type="dxa" w:w="2160"/>
          </w:tcPr>
          <w:p>
            <w:r>
              <w:t>Cleaning strategy DOCX</w:t>
            </w:r>
          </w:p>
        </w:tc>
      </w:tr>
      <w:tr>
        <w:tc>
          <w:tcPr>
            <w:tcW w:type="dxa" w:w="2160"/>
          </w:tcPr>
          <w:p>
            <w:r>
              <w:t>Week 3</w:t>
            </w:r>
          </w:p>
        </w:tc>
        <w:tc>
          <w:tcPr>
            <w:tcW w:type="dxa" w:w="2160"/>
          </w:tcPr>
          <w:p>
            <w:r>
              <w:t>5–11 Nov</w:t>
            </w:r>
          </w:p>
        </w:tc>
        <w:tc>
          <w:tcPr>
            <w:tcW w:type="dxa" w:w="2160"/>
          </w:tcPr>
          <w:p>
            <w:r>
              <w:t>Collect and clean all datasets per plan; build master dataset</w:t>
            </w:r>
          </w:p>
        </w:tc>
        <w:tc>
          <w:tcPr>
            <w:tcW w:type="dxa" w:w="2160"/>
          </w:tcPr>
          <w:p>
            <w:r>
              <w:t>Clean master CSV + data inventory + GitHub repo</w:t>
            </w:r>
          </w:p>
        </w:tc>
      </w:tr>
      <w:tr>
        <w:tc>
          <w:tcPr>
            <w:tcW w:type="dxa" w:w="2160"/>
          </w:tcPr>
          <w:p>
            <w:r>
              <w:t>Week 4</w:t>
            </w:r>
          </w:p>
        </w:tc>
        <w:tc>
          <w:tcPr>
            <w:tcW w:type="dxa" w:w="2160"/>
          </w:tcPr>
          <w:p>
            <w:r>
              <w:t>12–18 Nov</w:t>
            </w:r>
          </w:p>
        </w:tc>
        <w:tc>
          <w:tcPr>
            <w:tcW w:type="dxa" w:w="2160"/>
          </w:tcPr>
          <w:p>
            <w:r>
              <w:t>EDA + baseline forecasting models (SARIMA) with evaluation metrics</w:t>
            </w:r>
          </w:p>
        </w:tc>
        <w:tc>
          <w:tcPr>
            <w:tcW w:type="dxa" w:w="2160"/>
          </w:tcPr>
          <w:p>
            <w:r>
              <w:t>Notebooks, charts, model comparison table</w:t>
            </w:r>
          </w:p>
        </w:tc>
      </w:tr>
      <w:tr>
        <w:tc>
          <w:tcPr>
            <w:tcW w:type="dxa" w:w="2160"/>
          </w:tcPr>
          <w:p>
            <w:r>
              <w:t>Week 5</w:t>
            </w:r>
          </w:p>
        </w:tc>
        <w:tc>
          <w:tcPr>
            <w:tcW w:type="dxa" w:w="2160"/>
          </w:tcPr>
          <w:p>
            <w:r>
              <w:t>19–26 Nov</w:t>
            </w:r>
          </w:p>
        </w:tc>
        <w:tc>
          <w:tcPr>
            <w:tcW w:type="dxa" w:w="2160"/>
          </w:tcPr>
          <w:p>
            <w:r>
              <w:t>Interpretation, limitations, final report &amp; presentation</w:t>
            </w:r>
          </w:p>
        </w:tc>
        <w:tc>
          <w:tcPr>
            <w:tcW w:type="dxa" w:w="2160"/>
          </w:tcPr>
          <w:p>
            <w:r>
              <w:t>Final report DOCX/PDF + GitHub release</w:t>
            </w:r>
          </w:p>
        </w:tc>
      </w:tr>
    </w:tbl>
    <w:p/>
    <w:p>
      <w:r>
        <w:rPr>
          <w:b w:val="0"/>
        </w:rPr>
        <w:t>Estimation realism: collection is budgeted at ~4 days (sourcing + download + logging), cleaning at ~4 days (the historically underestimated phase), and analysis/forecasting at ~5 days, leaving buffer before the 26 Nov deadline.</w:t>
      </w:r>
    </w:p>
    <w:p>
      <w:pPr>
        <w:pStyle w:val="Heading1"/>
      </w:pPr>
      <w:r>
        <w:t>7. Risks and Mitigations</w:t>
      </w:r>
    </w:p>
    <w:p>
      <w:pPr>
        <w:pStyle w:val="ListBullet"/>
      </w:pPr>
      <w:r>
        <w:t>Risk: Agmarknet data gaps or format changes. Mitigation: cross-validate with eNAM/data.gov.in mirrors; document all decisions.</w:t>
      </w:r>
    </w:p>
    <w:p>
      <w:pPr>
        <w:pStyle w:val="ListBullet"/>
      </w:pPr>
      <w:r>
        <w:t>Risk: Weather data at district granularity unavailable. Mitigation: use nearest IMD station or NASA POWER gridded data.</w:t>
      </w:r>
    </w:p>
    <w:p>
      <w:pPr>
        <w:pStyle w:val="ListBullet"/>
      </w:pPr>
      <w:r>
        <w:t>Risk: Price series dominated by policy shocks. Mitigation: include dummy/event variables and report scenario-based forecasts, not single-point predictions.</w:t>
      </w:r>
    </w:p>
    <w:p>
      <w:pPr>
        <w:pStyle w:val="ListBullet"/>
      </w:pPr>
      <w:r>
        <w:t>Risk: Scope creep. Mitigation: three-crop scope is fixed; any new commodity requires dropping an existing one.</w:t>
      </w:r>
    </w:p>
    <w:p>
      <w:pPr>
        <w:pStyle w:val="Heading1"/>
      </w:pPr>
      <w:r>
        <w:t>8. Tools and Reproducibility</w:t>
      </w:r>
    </w:p>
    <w:p>
      <w:pPr>
        <w:pStyle w:val="ListBullet"/>
      </w:pPr>
      <w:r>
        <w:t>Python (pandas, numpy, matplotlib, statsmodels) in Jupyter notebooks; OpenRefine for interactive cleaning; Git/GitHub for version control of code, data dictionaries, and this plan.</w:t>
      </w:r>
    </w:p>
    <w:p>
      <w:pPr>
        <w:pStyle w:val="ListBullet"/>
      </w:pPr>
      <w:r>
        <w:t>Every cleaning rule will be scripted (not manual edits) so that the full pipeline re-runs end-to-end from raw downloads.</w:t>
      </w:r>
    </w:p>
    <w:p>
      <w:pPr>
        <w:pStyle w:val="Heading1"/>
      </w:pPr>
      <w:r>
        <w:t>9. Expected Outcomes</w:t>
      </w:r>
    </w:p>
    <w:p>
      <w:pPr>
        <w:pStyle w:val="ListBullet"/>
      </w:pPr>
      <w:r>
        <w:t>A reproducible public-data pipeline for Maharashtra agribusiness analysis.</w:t>
      </w:r>
    </w:p>
    <w:p>
      <w:pPr>
        <w:pStyle w:val="ListBullet"/>
      </w:pPr>
      <w:r>
        <w:t>Quantified yield, price, and volatility profiles for orange, soybean, and wheat.</w:t>
      </w:r>
    </w:p>
    <w:p>
      <w:pPr>
        <w:pStyle w:val="ListBullet"/>
      </w:pPr>
      <w:r>
        <w:t>Baseline 3–6 month price forecasts with stated accuracy and uncertainty.</w:t>
      </w:r>
    </w:p>
    <w:p>
      <w:pPr>
        <w:pStyle w:val="ListBullet"/>
      </w:pPr>
      <w:r>
        <w:t>Actionable insights for farmers, traders, and policymakers in the Nagpur region.</w:t>
      </w:r>
    </w:p>
    <w:p>
      <w:pPr>
        <w:pStyle w:val="Heading1"/>
      </w:pPr>
      <w:r>
        <w:t>10. References</w:t>
      </w:r>
    </w:p>
    <w:p>
      <w:pPr>
        <w:pStyle w:val="ListBullet"/>
      </w:pPr>
      <w:r>
        <w:t>Agmarknet — Directorate of Marketing &amp; Inspection, Ministry of Agriculture. agmarknet.gov.in</w:t>
      </w:r>
    </w:p>
    <w:p>
      <w:pPr>
        <w:pStyle w:val="ListBullet"/>
      </w:pPr>
      <w:r>
        <w:t>Ministry of Agriculture &amp; Farmers Welfare, Economics &amp; Statistics Division. eands.dacnet.nic.in</w:t>
      </w:r>
    </w:p>
    <w:p>
      <w:pPr>
        <w:pStyle w:val="ListBullet"/>
      </w:pPr>
      <w:r>
        <w:t>India Meteorological Department. mausam.imd.gov.in</w:t>
      </w:r>
    </w:p>
    <w:p>
      <w:pPr>
        <w:pStyle w:val="ListBullet"/>
      </w:pPr>
      <w:r>
        <w:t>World Bank Commodity Markets "Pink Sheet". pinksheet.worldbank.org</w:t>
      </w:r>
    </w:p>
    <w:p>
      <w:pPr>
        <w:pStyle w:val="ListBullet"/>
      </w:pPr>
      <w:r>
        <w:t>FAOSTAT — Food and Agriculture Organization. fao.org/faostat</w:t>
      </w:r>
    </w:p>
    <w:p>
      <w:pPr>
        <w:pStyle w:val="ListBullet"/>
      </w:pPr>
      <w:r>
        <w:t>data.gov.in — Open Government Data Platform India</w:t>
      </w:r>
    </w:p>
    <w:p>
      <w:pPr>
        <w:pStyle w:val="ListBullet"/>
      </w:pPr>
      <w:r>
        <w:t>APEDA — Agricultural and Processed Food Products Export Development Authority. apeda.gov.in</w:t>
      </w:r>
    </w:p>
    <w:p>
      <w:pPr>
        <w:pStyle w:val="ListBullet"/>
      </w:pPr>
      <w:r>
        <w:t>NASA POWER Data Access Viewer. power.larc.nasa.gov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