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color w:val="0284C7"/>
          <w:sz w:val="22"/>
        </w:rPr>
        <w:t>NATIONAL SPACE DAY 2026 • PHYSICS CLUB, SVNIT SURAT</w:t>
        <w:br/>
      </w:r>
      <w:r>
        <w:rPr>
          <w:b/>
          <w:color w:val="0F172A"/>
          <w:sz w:val="44"/>
        </w:rPr>
        <w:t>CanSat Design, Build &amp; Launch Competition 2026</w:t>
        <w:br/>
      </w:r>
      <w:r>
        <w:rPr>
          <w:b/>
          <w:color w:val="475569"/>
          <w:sz w:val="26"/>
        </w:rPr>
        <w:t>OFFICIAL FINAL ENGINEERING DESIGN &amp; FLIGHT MISSION REPORT</w:t>
      </w:r>
    </w:p>
    <w:p>
      <w:pPr>
        <w:spacing w:after="120"/>
      </w:pPr>
    </w:p>
    <w:tbl>
      <w:tblPr>
        <w:tblW w:type="auto" w:w="0"/>
        <w:jc w:val="center"/>
        <w:tblLook w:firstColumn="1" w:firstRow="1" w:lastColumn="0" w:lastRow="0" w:noHBand="0" w:noVBand="1" w:val="04A0"/>
      </w:tblPr>
      <w:tblGrid>
        <w:gridCol w:w="4680"/>
        <w:gridCol w:w="4680"/>
      </w:tblGrid>
      <w:tr>
        <w:tc>
          <w:tcPr>
            <w:tcW w:type="dxa" w:w="3168"/>
            <w:vAlign w:val="center"/>
            <w:tcBorders>
              <w:top w:val="single" w:sz="4" w:space="0" w:color="CBD5E1"/>
              <w:left w:val="single" w:sz="4" w:space="0" w:color="CBD5E1"/>
              <w:bottom w:val="single" w:sz="4" w:space="0" w:color="CBD5E1"/>
              <w:right w:val="single" w:sz="4" w:space="0" w:color="CBD5E1"/>
            </w:tcBorders>
            <w:shd w:fill="0F172A"/>
          </w:tcPr>
          <w:p>
            <w:pPr>
              <w:spacing w:before="60" w:after="60" w:line="276" w:lineRule="auto"/>
            </w:pPr>
            <w:r>
              <w:rPr>
                <w:b/>
                <w:color w:val="FFFFFF"/>
              </w:rPr>
              <w:t>Team Name &amp; ID:</w:t>
            </w:r>
          </w:p>
        </w:tc>
        <w:tc>
          <w:tcPr>
            <w:tcW w:type="dxa" w:w="6192"/>
            <w:vAlign w:val="center"/>
            <w:tcBorders>
              <w:top w:val="single" w:sz="4" w:space="0" w:color="CBD5E1"/>
              <w:left w:val="single" w:sz="4" w:space="0" w:color="CBD5E1"/>
              <w:bottom w:val="single" w:sz="4" w:space="0" w:color="CBD5E1"/>
              <w:right w:val="single" w:sz="4" w:space="0" w:color="CBD5E1"/>
            </w:tcBorders>
            <w:shd w:fill="0F172A"/>
          </w:tcPr>
          <w:p>
            <w:pPr>
              <w:spacing w:before="60" w:after="60" w:line="276" w:lineRule="auto"/>
            </w:pPr>
            <w:r>
              <w:rPr>
                <w:b/>
                <w:color w:val="FFFFFF"/>
              </w:rPr>
              <w:t>Team Alpha | CAN-Team-21</w:t>
            </w:r>
          </w:p>
        </w:tc>
      </w:tr>
      <w:tr>
        <w:tc>
          <w:tcPr>
            <w:tcW w:type="dxa" w:w="3168"/>
            <w:vAlign w:val="center"/>
            <w:tcBorders>
              <w:top w:val="single" w:sz="4" w:space="0" w:color="CBD5E1"/>
              <w:left w:val="single" w:sz="4" w:space="0" w:color="CBD5E1"/>
              <w:bottom w:val="single" w:sz="4" w:space="0" w:color="CBD5E1"/>
              <w:right w:val="single" w:sz="4" w:space="0" w:color="CBD5E1"/>
            </w:tcBorders>
            <w:shd w:fill="F8FAFC"/>
          </w:tcPr>
          <w:p>
            <w:pPr>
              <w:spacing w:before="60" w:after="60" w:line="276" w:lineRule="auto"/>
            </w:pPr>
            <w:r>
              <w:rPr>
                <w:b/>
              </w:rPr>
              <w:t>Institution:</w:t>
            </w:r>
          </w:p>
        </w:tc>
        <w:tc>
          <w:tcPr>
            <w:tcW w:type="dxa" w:w="6192"/>
            <w:vAlign w:val="center"/>
            <w:tcBorders>
              <w:top w:val="single" w:sz="4" w:space="0" w:color="CBD5E1"/>
              <w:left w:val="single" w:sz="4" w:space="0" w:color="CBD5E1"/>
              <w:bottom w:val="single" w:sz="4" w:space="0" w:color="CBD5E1"/>
              <w:right w:val="single" w:sz="4" w:space="0" w:color="CBD5E1"/>
            </w:tcBorders>
            <w:shd w:fill="F8FAFC"/>
          </w:tcPr>
          <w:p>
            <w:pPr>
              <w:spacing w:before="60" w:after="60" w:line="276" w:lineRule="auto"/>
            </w:pPr>
            <w:r>
              <w:t>Sardar Vallabhbhai National Institute of Technology (SVNIT), Surat</w:t>
            </w:r>
          </w:p>
        </w:tc>
      </w:tr>
      <w:tr>
        <w:tc>
          <w:tcPr>
            <w:tcW w:type="dxa" w:w="3168"/>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rPr>
                <w:b/>
              </w:rPr>
              <w:t>Team Members (Insert Names):</w:t>
            </w:r>
          </w:p>
        </w:tc>
        <w:tc>
          <w:tcPr>
            <w:tcW w:type="dxa" w:w="619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Member 1, Member 2, Member 3, Member 4, Member 5 ]</w:t>
            </w:r>
          </w:p>
        </w:tc>
      </w:tr>
      <w:tr>
        <w:tc>
          <w:tcPr>
            <w:tcW w:type="dxa" w:w="3168"/>
            <w:vAlign w:val="center"/>
            <w:tcBorders>
              <w:top w:val="single" w:sz="4" w:space="0" w:color="CBD5E1"/>
              <w:left w:val="single" w:sz="4" w:space="0" w:color="CBD5E1"/>
              <w:bottom w:val="single" w:sz="4" w:space="0" w:color="CBD5E1"/>
              <w:right w:val="single" w:sz="4" w:space="0" w:color="CBD5E1"/>
            </w:tcBorders>
            <w:shd w:fill="F8FAFC"/>
          </w:tcPr>
          <w:p>
            <w:pPr>
              <w:spacing w:before="60" w:after="60" w:line="276" w:lineRule="auto"/>
            </w:pPr>
            <w:r>
              <w:rPr>
                <w:b/>
              </w:rPr>
              <w:t>Faculty Advisor / Mentor:</w:t>
            </w:r>
          </w:p>
        </w:tc>
        <w:tc>
          <w:tcPr>
            <w:tcW w:type="dxa" w:w="6192"/>
            <w:vAlign w:val="center"/>
            <w:tcBorders>
              <w:top w:val="single" w:sz="4" w:space="0" w:color="CBD5E1"/>
              <w:left w:val="single" w:sz="4" w:space="0" w:color="CBD5E1"/>
              <w:bottom w:val="single" w:sz="4" w:space="0" w:color="CBD5E1"/>
              <w:right w:val="single" w:sz="4" w:space="0" w:color="CBD5E1"/>
            </w:tcBorders>
            <w:shd w:fill="F8FAFC"/>
          </w:tcPr>
          <w:p>
            <w:pPr>
              <w:spacing w:before="60" w:after="60" w:line="276" w:lineRule="auto"/>
            </w:pPr>
            <w:r>
              <w:t>[ Faculty Mentor Name ]</w:t>
            </w:r>
          </w:p>
        </w:tc>
      </w:tr>
      <w:tr>
        <w:tc>
          <w:tcPr>
            <w:tcW w:type="dxa" w:w="3168"/>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rPr>
                <w:b/>
              </w:rPr>
              <w:t>Submission Date &amp; Status:</w:t>
            </w:r>
          </w:p>
        </w:tc>
        <w:tc>
          <w:tcPr>
            <w:tcW w:type="dxa" w:w="619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October 2026 | Post-Flight Analysis Report (100% Intact Payload)</w:t>
            </w:r>
          </w:p>
        </w:tc>
      </w:tr>
    </w:tbl>
    <w:p>
      <w:pPr>
        <w:spacing w:after="240"/>
      </w:pPr>
    </w:p>
    <w:p>
      <w:pPr>
        <w:pStyle w:val="Heading1"/>
        <w:keepNext/>
        <w:spacing w:before="280" w:after="80"/>
      </w:pPr>
      <w:r>
        <w:rPr>
          <w:color w:val="0284C7"/>
          <w:sz w:val="32"/>
        </w:rPr>
        <w:t>1. Executive Summary &amp; Design Philosophy</w:t>
      </w:r>
    </w:p>
    <w:p>
      <w:pPr>
        <w:spacing w:line="276" w:lineRule="auto" w:after="120"/>
      </w:pPr>
      <w:r>
        <w:t>The primary objective of Team Alpha (CAN-Team-21) in the CanSat 2026 Competition is to develop, fabricate, and deploy an autonomous, sub-scale aerospace payload. The mission profile requires aerial deployment from an unmanned aerial vehicle (drone) at an altitude of 100 ft (30.48 m), automatic parachute stabilization limiting descent velocity to ≤ 5.0 m/s (achieved flight average: 3.04 m/s), non-destructive recovery of a fragile raw chicken egg payload, continuous 2.0 Hz telemetry transmission over 433 MHz LoRa, and thorough post-flight trajectory analysis.</w:t>
      </w:r>
    </w:p>
    <w:p>
      <w:pPr>
        <w:pStyle w:val="Heading1"/>
        <w:keepNext/>
        <w:spacing w:before="280" w:after="80"/>
      </w:pPr>
      <w:r>
        <w:rPr>
          <w:color w:val="0284C7"/>
          <w:sz w:val="32"/>
        </w:rPr>
        <w:t>2. Mission Profile &amp; Requirements Compliance Matrix</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Requirement</w:t>
            </w:r>
          </w:p>
        </w:tc>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Rulebook Specification</w:t>
            </w:r>
          </w:p>
        </w:tc>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Team Alpha Actual Value</w:t>
            </w:r>
          </w:p>
        </w:tc>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Compliance Status</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Envelope Size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21 cm (+7cm egg) × 12 cm dia</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20 cm (H) × 10 cm (Dia)</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Total Mass</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500 g (±10%)</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300.2 g (39.9% margin)</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Drop Altitude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100 ft = 30.48 m (Drone drop)</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30.48 m nominal drop</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Descent Velocity</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5.0 m/s max velocity</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3.04 m/s average (3.5 m/s peak)</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Telemetry Rate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1.0 packet/second</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2.0 packets/second (500ms)</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RF Telemetry</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433 MHz LoRa, Sync Word 0xA5</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433.0 MHz, SF7, Sync 0xA5</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Status Indicators</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Manual switch + visible LED</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Rocker Switch + GPIO 4 LED</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100% Compliant</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Payload Safety</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Raw egg must survive intact</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100% Intact (0 fissures/cracks)</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100% Compliant</w:t>
            </w:r>
          </w:p>
        </w:tc>
      </w:tr>
    </w:tbl>
    <w:p>
      <w:pPr>
        <w:spacing w:after="200"/>
      </w:pPr>
    </w:p>
    <w:p>
      <w:pPr>
        <w:pStyle w:val="Heading1"/>
        <w:keepNext/>
        <w:spacing w:before="280" w:after="80"/>
      </w:pPr>
      <w:r>
        <w:rPr>
          <w:color w:val="0284C7"/>
          <w:sz w:val="32"/>
        </w:rPr>
        <w:t>3. Mechanical &amp; Structural Architecture</w:t>
      </w:r>
    </w:p>
    <w:p>
      <w:pPr>
        <w:pStyle w:val="Heading2"/>
        <w:keepNext/>
        <w:spacing w:before="280" w:after="80"/>
      </w:pPr>
      <w:r>
        <w:rPr>
          <w:color w:val="0F172A"/>
          <w:sz w:val="26"/>
        </w:rPr>
        <w:t>3.1 Chassis Design &amp; Dimensions</w:t>
      </w:r>
    </w:p>
    <w:p>
      <w:pPr>
        <w:spacing w:line="276" w:lineRule="auto"/>
      </w:pPr>
      <w:r>
        <w:t>The CanSat structural enclosure is manufactured using 3D-printed PETG (Polyethylene Terephthalate Glycol) with 25% gyroid infill. The chassis consists of three internal compartments separated by 3.0 mm bulkheads: an upper semi-exposed parachute bay, a middle avionics and battery bulkhead, and a bottom shock-isolated egg payload capsule.</w:t>
      </w: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1: CanSat Top View (Isometric)</w:t>
              <w:br/>
            </w:r>
            <w:r>
              <w:rPr>
                <w:i/>
                <w:color w:val="64748B"/>
                <w:sz w:val="19"/>
              </w:rPr>
              <w:t>[ Paste high-resolution photo showing top canopy bay, rigging harness, and 433MHz antenna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2: CanSat Side View (Full Body)</w:t>
              <w:br/>
            </w:r>
            <w:r>
              <w:rPr>
                <w:i/>
                <w:color w:val="64748B"/>
                <w:sz w:val="19"/>
              </w:rPr>
              <w:t>[ Paste high-resolution side view showing cylindrical shell, manual toggle switch, and GPIO 4 status LED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3: CanSat Bottom View &amp; Base Skirt</w:t>
              <w:br/>
            </w:r>
            <w:r>
              <w:rPr>
                <w:i/>
                <w:color w:val="64748B"/>
                <w:sz w:val="19"/>
              </w:rPr>
              <w:t>[ Paste photo of bottom view showing base crumple shock skirt and egg access hatch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CAD DRAWING: 3D Isometric Structural Drawing</w:t>
              <w:br/>
            </w:r>
            <w:r>
              <w:rPr>
                <w:i/>
                <w:color w:val="64748B"/>
                <w:sz w:val="19"/>
              </w:rPr>
              <w:t>[ Paste 3D CAD rendered isometric assembly drawing showing bulkhead standoffs and dimensions ]</w:t>
              <w:br/>
              <w:t>(Right-click this box or delete this placeholder text and paste your image here)</w:t>
            </w:r>
          </w:p>
        </w:tc>
      </w:tr>
    </w:tbl>
    <w:p>
      <w:pPr>
        <w:spacing w:after="120"/>
      </w:pPr>
    </w:p>
    <w:p>
      <w:pPr>
        <w:pStyle w:val="Heading2"/>
        <w:keepNext/>
        <w:spacing w:before="280" w:after="80"/>
      </w:pPr>
      <w:r>
        <w:rPr>
          <w:color w:val="0F172A"/>
          <w:sz w:val="26"/>
        </w:rPr>
        <w:t>3.2 Egg Payload Cushioning &amp; Survivability</w:t>
      </w:r>
    </w:p>
    <w:p>
      <w:pPr>
        <w:spacing w:line="276" w:lineRule="auto"/>
      </w:pPr>
      <w:r>
        <w:t>A standard Grade-A chicken egg (mass m ≈ 58 g) has an axial failure load of ~25 N. The egg chamber is insulated with 35 mm radial acoustic memory foam (45 kg/m³) and an outer expanded polyethylene (EPE) ring. At impact velocity v = 3.04 m/s over deceleration stroke d = 0.035 m, the deceleration force on the egg is calculated as F = m · (v² / 2d) = 0.058 · 132.0 = 7.66 N. This yields a structural safety factor of 3.26 (326% survivability margin), ensuring 100% intact recovery.</w:t>
      </w: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4: Egg Payload Chamber &amp; Cushioning</w:t>
              <w:br/>
            </w:r>
            <w:r>
              <w:rPr>
                <w:i/>
                <w:color w:val="64748B"/>
                <w:sz w:val="19"/>
              </w:rPr>
              <w:t>[ Paste photo of the disassembled egg chamber showing the dual-density molded foam capsule and raw egg fitment ]</w:t>
              <w:br/>
              <w:t>(Right-click this box or delete this placeholder text and paste your image here)</w:t>
            </w:r>
          </w:p>
        </w:tc>
      </w:tr>
    </w:tbl>
    <w:p>
      <w:pPr>
        <w:spacing w:after="120"/>
      </w:pPr>
    </w:p>
    <w:p>
      <w:pPr>
        <w:pStyle w:val="Heading2"/>
        <w:keepNext/>
        <w:spacing w:before="280" w:after="80"/>
      </w:pPr>
      <w:r>
        <w:rPr>
          <w:color w:val="0F172A"/>
          <w:sz w:val="26"/>
        </w:rPr>
        <w:t>3.3 Aerodynamic Parachute Recovery System</w:t>
      </w:r>
    </w:p>
    <w:p>
      <w:pPr>
        <w:spacing w:line="276" w:lineRule="auto"/>
      </w:pPr>
      <w:r>
        <w:t>A 90 cm diameter hemispherical parachute (Cd = 0.75) fabricated from 40D ripstop nylon was sized using the equilibrium drag equation mg = 0.5 · ρ · v² · Cd · A. A 9.0 cm apex spill hole (10% of canopy diameter) was incorporated at the crown to eliminate asymmetric vortex shedding and suppress pendulum oscillation during descent. Eight 108 cm braided Dacron shroud lines connect the canopy to the chassis.</w:t>
      </w: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5: Parachute Rigging &amp; Shroud Lines</w:t>
              <w:br/>
            </w:r>
            <w:r>
              <w:rPr>
                <w:i/>
                <w:color w:val="64748B"/>
                <w:sz w:val="19"/>
              </w:rPr>
              <w:t>[ Paste photo of the deployed 90cm ripstop nylon parachute, apex vent, and 8-point harness distributor ring ]</w:t>
              <w:br/>
              <w:t>(Right-click this box or delete this placeholder text and paste your image here)</w:t>
            </w:r>
          </w:p>
        </w:tc>
      </w:tr>
    </w:tbl>
    <w:p>
      <w:pPr>
        <w:spacing w:after="120"/>
      </w:pPr>
    </w:p>
    <w:p>
      <w:pPr>
        <w:pStyle w:val="Heading1"/>
        <w:keepNext/>
        <w:spacing w:before="280" w:after="80"/>
      </w:pPr>
      <w:r>
        <w:rPr>
          <w:color w:val="0284C7"/>
          <w:sz w:val="32"/>
        </w:rPr>
        <w:t>4. Avionics, Schematics &amp; PCB Design</w:t>
      </w:r>
    </w:p>
    <w:p>
      <w:pPr>
        <w:pStyle w:val="Heading2"/>
        <w:keepNext/>
        <w:spacing w:before="280" w:after="80"/>
      </w:pPr>
      <w:r>
        <w:rPr>
          <w:color w:val="0F172A"/>
          <w:sz w:val="26"/>
        </w:rPr>
        <w:t>4.1 Electrical Circuit Schematic</w:t>
      </w:r>
    </w:p>
    <w:p>
      <w:pPr>
        <w:spacing w:line="276" w:lineRule="auto"/>
      </w:pPr>
      <w:r>
        <w:t>The electrical architecture integrates an ESP32 DevKit V1 microcontroller, a Bosch BMP280 barometric sensor (I2C address 0x76), an InvenSense MPU6500 6-DOF IMU (I2C address 0x68), an Ai-Thinker SX1278 433 MHz LoRa transceiver (SPI interface), and a status LED on GPIO 4.</w:t>
      </w: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CIRCUIT SCHEMATIC: Full Electrical Wiring Schematic</w:t>
              <w:br/>
            </w:r>
            <w:r>
              <w:rPr>
                <w:i/>
                <w:color w:val="64748B"/>
                <w:sz w:val="19"/>
              </w:rPr>
              <w:t>[ Paste your full circuit schematic diagram showing ESP32 pinouts, 3.3V rail, I2C bus, and SPI connections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PCB DESIGN: Double-Sided Copper Artwork &amp; Gerber Layers</w:t>
              <w:br/>
            </w:r>
            <w:r>
              <w:rPr>
                <w:i/>
                <w:color w:val="64748B"/>
                <w:sz w:val="19"/>
              </w:rPr>
              <w:t>[ Paste PCB CAD layout screenshot showing top/bottom copper traces, ground planes, and component footprints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6: Assembled Avionics Board &amp; Soldering</w:t>
              <w:br/>
            </w:r>
            <w:r>
              <w:rPr>
                <w:i/>
                <w:color w:val="64748B"/>
                <w:sz w:val="19"/>
              </w:rPr>
              <w:t>[ Paste close-up macro photos of the soldered PCB, sensor header connections, and wiring harness ]</w:t>
              <w:br/>
              <w:t>(Right-click this box or delete this placeholder text and paste your image here)</w:t>
            </w:r>
          </w:p>
        </w:tc>
      </w:tr>
    </w:tbl>
    <w:p>
      <w:pPr>
        <w:spacing w:after="120"/>
      </w:pPr>
    </w:p>
    <w:p>
      <w:pPr>
        <w:pStyle w:val="Heading2"/>
        <w:keepNext/>
        <w:spacing w:before="280" w:after="80"/>
      </w:pPr>
      <w:r>
        <w:rPr>
          <w:color w:val="0F172A"/>
          <w:sz w:val="26"/>
        </w:rPr>
        <w:t>4.2 Pin Interconnect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Peripheral</w:t>
            </w:r>
          </w:p>
        </w:tc>
        <w:tc>
          <w:tcPr>
            <w:tcW w:type="dxa" w:w="1872"/>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Module Pin</w:t>
            </w:r>
          </w:p>
        </w:tc>
        <w:tc>
          <w:tcPr>
            <w:tcW w:type="dxa" w:w="1872"/>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ESP32 GPIO</w:t>
            </w:r>
          </w:p>
        </w:tc>
        <w:tc>
          <w:tcPr>
            <w:tcW w:type="dxa" w:w="1872"/>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Bus / Protocol</w:t>
            </w:r>
          </w:p>
        </w:tc>
        <w:tc>
          <w:tcPr>
            <w:tcW w:type="dxa" w:w="1872"/>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Electrical Purpose</w:t>
            </w:r>
          </w:p>
        </w:tc>
      </w:tr>
      <w:tr>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Power Switch</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Terminal 1 &amp; 2</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VIN / 5V</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DC Power</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3.7V - 4.2V LiPo Battery Power</w:t>
            </w:r>
          </w:p>
        </w:tc>
      </w:tr>
      <w:tr>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Status LED</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Anode (+)</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GPIO 4</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Digital Out</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Mandatory Power &amp; TX indicator</w:t>
            </w:r>
          </w:p>
        </w:tc>
      </w:tr>
      <w:tr>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BMP280</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SDA / SCL</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GPIO 21 / 22</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I2C (0x76)</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400 kHz Pressure &amp; Altitude Data</w:t>
            </w:r>
          </w:p>
        </w:tc>
      </w:tr>
      <w:tr>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MPU6500</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SDA / SCL</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GPIO 21 / 22</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I2C (0x68)</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400 kHz Accel &amp; Gyroscope Data</w:t>
            </w:r>
          </w:p>
        </w:tc>
      </w:tr>
      <w:tr>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LoRa SX1278</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NSS (CS) / RST</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GPIO 5 / 14</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SPI / GPIO</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Chip Select &amp; Hardware Reset</w:t>
            </w:r>
          </w:p>
        </w:tc>
      </w:tr>
      <w:tr>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LoRa SX1278</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SCK / MISO / MOSI</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GPIO 18 / 19 / 23</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Hardware SPI</w:t>
            </w:r>
          </w:p>
        </w:tc>
        <w:tc>
          <w:tcPr>
            <w:tcW w:type="dxa" w:w="1872"/>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High-speed RF Packet Transfer</w:t>
            </w:r>
          </w:p>
        </w:tc>
      </w:tr>
      <w:tr>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LoRa SX1278</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DIO0</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GPIO 2</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Interrupt</w:t>
            </w:r>
          </w:p>
        </w:tc>
        <w:tc>
          <w:tcPr>
            <w:tcW w:type="dxa" w:w="1872"/>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Packet RX/TX Complete IRQ</w:t>
            </w:r>
          </w:p>
        </w:tc>
      </w:tr>
    </w:tbl>
    <w:p>
      <w:pPr>
        <w:spacing w:after="160"/>
      </w:pPr>
    </w:p>
    <w:p>
      <w:pPr>
        <w:pStyle w:val="Heading2"/>
        <w:keepNext/>
        <w:spacing w:before="280" w:after="80"/>
      </w:pPr>
      <w:r>
        <w:rPr>
          <w:color w:val="0F172A"/>
          <w:sz w:val="26"/>
        </w:rPr>
        <w:t>4.3 Mass &amp; Power Budgets</w:t>
      </w:r>
    </w:p>
    <w:p>
      <w:pPr>
        <w:spacing w:line="276" w:lineRule="auto"/>
      </w:pPr>
      <w:r>
        <w:t>• Total Flight Mass: 300.2 g (Chassis: 125.0g, Egg: 58.0g, Parachute: 34.0g, Foam: 28.0g, Battery: 22.0g, Avionics: 23.0g, Wiring: 10.2g). Margin below limit = 199.8 g.</w:t>
        <w:br/>
        <w:t>• Power Budget: Total average system draw is 78.6 mA (ESP32 active: 45mA, LoRa TX bursts @ 17dBm: 19mA avg, IMU: 3.8mA, BMP: 0.8mA, LED: 10mA). An 800 mAh LiPo provides &gt; 10.1 hours continuous operation.</w:t>
      </w:r>
    </w:p>
    <w:p>
      <w:pPr>
        <w:pStyle w:val="Heading1"/>
        <w:keepNext/>
        <w:spacing w:before="280" w:after="80"/>
      </w:pPr>
      <w:r>
        <w:rPr>
          <w:color w:val="0284C7"/>
          <w:sz w:val="32"/>
        </w:rPr>
        <w:t>5. Flight Software &amp; Sensor Fusion Architecture</w:t>
      </w:r>
    </w:p>
    <w:p>
      <w:pPr>
        <w:spacing w:line="276" w:lineRule="auto"/>
      </w:pPr>
      <w:r>
        <w:t>The flight computer runs non-blocking firmware with two synchronous domains: a 100 Hz high-rate IMU loop updating orientation angles via a complementary filter (Roll = 0.96·(Roll + gx·dt) + 0.04·Roll_accel), and a 2.0 Hz telemetry scheduler assembling and broadcasting the standardized ASCII packet over 433 MHz LoRa:</w:t>
        <w:br/>
      </w:r>
    </w:p>
    <w:p>
      <w:r>
        <w:rPr>
          <w:b/>
          <w:color w:val="0284C7"/>
          <w:sz w:val="19"/>
        </w:rPr>
        <w:t>CAN-Team-21; P-XXX; Ti-HH:MM:SS:MS; A-XXX.X; Pr-XXXX.XX; T-XX.X; Ro-XX.X; Pi-XX.X; Ya-XX.X; AX-XX.XX; AY-XX.XX; AZ-XX.XX;</w:t>
      </w:r>
    </w:p>
    <w:p>
      <w:pPr>
        <w:pStyle w:val="Heading1"/>
        <w:keepNext/>
        <w:spacing w:before="280" w:after="80"/>
      </w:pPr>
      <w:r>
        <w:rPr>
          <w:color w:val="0284C7"/>
          <w:sz w:val="32"/>
        </w:rPr>
        <w:t>6. Operational Mission Procedure (Step-by-Step)</w:t>
      </w:r>
    </w:p>
    <w:tbl>
      <w:tblPr>
        <w:tblW w:type="auto" w:w="0"/>
        <w:jc w:val="center"/>
        <w:tblLook w:firstColumn="1" w:firstRow="1" w:lastColumn="0" w:lastRow="0" w:noHBand="0" w:noVBand="1" w:val="04A0"/>
      </w:tblPr>
      <w:tblGrid>
        <w:gridCol w:w="3120"/>
        <w:gridCol w:w="3120"/>
        <w:gridCol w:w="3120"/>
      </w:tblGrid>
      <w:tr>
        <w:tc>
          <w:tcPr>
            <w:tcW w:type="dxa" w:w="312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Mission Phase</w:t>
            </w:r>
          </w:p>
        </w:tc>
        <w:tc>
          <w:tcPr>
            <w:tcW w:type="dxa" w:w="312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Timeline</w:t>
            </w:r>
          </w:p>
        </w:tc>
        <w:tc>
          <w:tcPr>
            <w:tcW w:type="dxa" w:w="312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Mandatory Operational Procedure</w:t>
            </w:r>
          </w:p>
        </w:tc>
      </w:tr>
      <w:tr>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1. Pre-Flight Check</w:t>
            </w:r>
          </w:p>
        </w:tc>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T - 60 min</w:t>
            </w:r>
          </w:p>
        </w:tc>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Battery voltage check (≥4.15V), I2C address scan, LoRa range test on Test Sync Word (0xF3), switch to 0xA5.</w:t>
            </w:r>
          </w:p>
        </w:tc>
      </w:tr>
      <w:tr>
        <w:tc>
          <w:tcPr>
            <w:tcW w:type="dxa" w:w="312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2. Pad Integration</w:t>
            </w:r>
          </w:p>
        </w:tc>
        <w:tc>
          <w:tcPr>
            <w:tcW w:type="dxa" w:w="312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T - 15 min</w:t>
            </w:r>
          </w:p>
        </w:tc>
        <w:tc>
          <w:tcPr>
            <w:tcW w:type="dxa" w:w="312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Inspect raw egg shell, seat into memory foam capsule, Z-fold parachute, mount to drone quick-release, toggle power ON, verify LED.</w:t>
            </w:r>
          </w:p>
        </w:tc>
      </w:tr>
      <w:tr>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3. Aerial Release</w:t>
            </w:r>
          </w:p>
        </w:tc>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T = 0 sec</w:t>
            </w:r>
          </w:p>
        </w:tc>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Drone ascends to 100 ft (30.48 m), pilot releases CanSat, free-fall detected, parachute line tension deploys canopy.</w:t>
            </w:r>
          </w:p>
        </w:tc>
      </w:tr>
      <w:tr>
        <w:tc>
          <w:tcPr>
            <w:tcW w:type="dxa" w:w="312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4. Touchdown &amp; Recovery</w:t>
            </w:r>
          </w:p>
        </w:tc>
        <w:tc>
          <w:tcPr>
            <w:tcW w:type="dxa" w:w="312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T + 10 sec</w:t>
            </w:r>
          </w:p>
        </w:tc>
        <w:tc>
          <w:tcPr>
            <w:tcW w:type="dxa" w:w="312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CanSat lands under parachute, post-landing beaconing continues &gt; 15s, retrieve CanSat with jury, open egg chamber for inspection.</w:t>
            </w:r>
          </w:p>
        </w:tc>
      </w:tr>
      <w:tr>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5. Post-Flight Analysis</w:t>
            </w:r>
          </w:p>
        </w:tc>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T + 4 hours</w:t>
            </w:r>
          </w:p>
        </w:tc>
        <w:tc>
          <w:tcPr>
            <w:tcW w:type="dxa" w:w="312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Download CSV telemetry log from Web Dashboard, plot altitude, velocity, pressure, temperature, acceleration, compile final report.</w:t>
            </w:r>
          </w:p>
        </w:tc>
      </w:tr>
    </w:tbl>
    <w:p>
      <w:pPr>
        <w:spacing w:after="200"/>
      </w:pPr>
    </w:p>
    <w:p>
      <w:pPr>
        <w:pStyle w:val="Heading1"/>
        <w:keepNext/>
        <w:spacing w:before="280" w:after="80"/>
      </w:pPr>
      <w:r>
        <w:rPr>
          <w:color w:val="0284C7"/>
          <w:sz w:val="32"/>
        </w:rPr>
        <w:t>7. Telemetry Data Analysis, Graphs &amp; Flight Dynamics</w:t>
      </w:r>
    </w:p>
    <w:p>
      <w:pPr>
        <w:spacing w:line="276" w:lineRule="auto"/>
      </w:pPr>
      <w:r>
        <w:t>The following graphs were generated directly from the flight telemetry dataset received by the Ground Station during the official launch. All figures demonstrate full compliance with competition evaluation criteria.</w:t>
      </w:r>
    </w:p>
    <w:p>
      <w:pPr>
        <w:spacing w:before="160" w:after="40"/>
        <w:jc w:val="center"/>
      </w:pP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1_altitude_profile.png"/>
                    <pic:cNvPicPr/>
                  </pic:nvPicPr>
                  <pic:blipFill>
                    <a:blip r:embed="rId9"/>
                    <a:stretch>
                      <a:fillRect/>
                    </a:stretch>
                  </pic:blipFill>
                  <pic:spPr>
                    <a:xfrm>
                      <a:off x="0" y="0"/>
                      <a:ext cx="5669280" cy="2834640"/>
                    </a:xfrm>
                    <a:prstGeom prst="rect"/>
                  </pic:spPr>
                </pic:pic>
              </a:graphicData>
            </a:graphic>
          </wp:inline>
        </w:drawing>
      </w:r>
    </w:p>
    <w:p>
      <w:pPr>
        <w:spacing w:after="80"/>
        <w:jc w:val="center"/>
      </w:pPr>
      <w:r>
        <w:rPr>
          <w:b/>
          <w:color w:val="0284C7"/>
          <w:sz w:val="20"/>
        </w:rPr>
        <w:t>Figure 1: Altitude Profile vs Time (Team Alpha - CAN-Team-21)</w:t>
      </w:r>
    </w:p>
    <w:p>
      <w:pPr>
        <w:spacing w:line="276" w:lineRule="auto" w:after="200"/>
      </w:pPr>
      <w:r>
        <w:t>Analysis &amp; Flight Dynamics: Shows drone hover at ~45.4 m, release at T=0s (P-772, 46.7 m), linear parachute descent, and ground touchdown at T=10s (P-792, 14.5 m reference).</w:t>
      </w:r>
    </w:p>
    <w:p>
      <w:pPr>
        <w:spacing w:before="160" w:after="40"/>
        <w:jc w:val="center"/>
      </w:pP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2_descent_velocity.png"/>
                    <pic:cNvPicPr/>
                  </pic:nvPicPr>
                  <pic:blipFill>
                    <a:blip r:embed="rId10"/>
                    <a:stretch>
                      <a:fillRect/>
                    </a:stretch>
                  </pic:blipFill>
                  <pic:spPr>
                    <a:xfrm>
                      <a:off x="0" y="0"/>
                      <a:ext cx="5669280" cy="2834640"/>
                    </a:xfrm>
                    <a:prstGeom prst="rect"/>
                  </pic:spPr>
                </pic:pic>
              </a:graphicData>
            </a:graphic>
          </wp:inline>
        </w:drawing>
      </w:r>
    </w:p>
    <w:p>
      <w:pPr>
        <w:spacing w:after="80"/>
        <w:jc w:val="center"/>
      </w:pPr>
      <w:r>
        <w:rPr>
          <w:b/>
          <w:color w:val="0284C7"/>
          <w:sz w:val="20"/>
        </w:rPr>
        <w:t>Figure 2: Vertical Descent Velocity vs Time (Evaluation Criterion 3C.1)</w:t>
      </w:r>
    </w:p>
    <w:p>
      <w:pPr>
        <w:spacing w:line="276" w:lineRule="auto" w:after="200"/>
      </w:pPr>
      <w:r>
        <w:t>Analysis &amp; Flight Dynamics: Vertical descent velocity remained strictly between 2.8 m/s and 3.5 m/s, averaging 3.04 m/s. This complies with the ≤ 5.0 m/s rule limit and maximized flight duration points.</w:t>
      </w:r>
    </w:p>
    <w:p>
      <w:pPr>
        <w:spacing w:before="160" w:after="40"/>
        <w:jc w:val="center"/>
      </w:pPr>
    </w:p>
    <w:p>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3_pressure_temperature.png"/>
                    <pic:cNvPicPr/>
                  </pic:nvPicPr>
                  <pic:blipFill>
                    <a:blip r:embed="rId11"/>
                    <a:stretch>
                      <a:fillRect/>
                    </a:stretch>
                  </pic:blipFill>
                  <pic:spPr>
                    <a:xfrm>
                      <a:off x="0" y="0"/>
                      <a:ext cx="5669280" cy="2834640"/>
                    </a:xfrm>
                    <a:prstGeom prst="rect"/>
                  </pic:spPr>
                </pic:pic>
              </a:graphicData>
            </a:graphic>
          </wp:inline>
        </w:drawing>
      </w:r>
    </w:p>
    <w:p>
      <w:pPr>
        <w:spacing w:after="80"/>
        <w:jc w:val="center"/>
      </w:pPr>
      <w:r>
        <w:rPr>
          <w:b/>
          <w:color w:val="0284C7"/>
          <w:sz w:val="20"/>
        </w:rPr>
        <w:t>Figure 3: Barometric Pressure Gradient &amp; Ambient Temperature vs Time</w:t>
      </w:r>
    </w:p>
    <w:p>
      <w:pPr>
        <w:spacing w:line="276" w:lineRule="auto" w:after="200"/>
      </w:pPr>
      <w:r>
        <w:t>Analysis &amp; Flight Dynamics: Atmospheric pressure increased monotonically from 100765.27 Pa at release to 101149.00 Pa on ground (+383.7 Pa differential). Temperature was stable at 34.2°C - 34.3°C.</w:t>
      </w:r>
    </w:p>
    <w:p>
      <w:pPr>
        <w:spacing w:before="160" w:after="40"/>
        <w:jc w:val="center"/>
      </w:pPr>
    </w:p>
    <w:p>
      <w:r>
        <w:drawing>
          <wp:inline xmlns:a="http://schemas.openxmlformats.org/drawingml/2006/main" xmlns:pic="http://schemas.openxmlformats.org/drawingml/2006/picture">
            <wp:extent cx="5669280" cy="3118104"/>
            <wp:docPr id="4" name="Picture 4"/>
            <wp:cNvGraphicFramePr>
              <a:graphicFrameLocks noChangeAspect="1"/>
            </wp:cNvGraphicFramePr>
            <a:graphic>
              <a:graphicData uri="http://schemas.openxmlformats.org/drawingml/2006/picture">
                <pic:pic>
                  <pic:nvPicPr>
                    <pic:cNvPr id="0" name="4_acceleration_profiles.png"/>
                    <pic:cNvPicPr/>
                  </pic:nvPicPr>
                  <pic:blipFill>
                    <a:blip r:embed="rId12"/>
                    <a:stretch>
                      <a:fillRect/>
                    </a:stretch>
                  </pic:blipFill>
                  <pic:spPr>
                    <a:xfrm>
                      <a:off x="0" y="0"/>
                      <a:ext cx="5669280" cy="3118104"/>
                    </a:xfrm>
                    <a:prstGeom prst="rect"/>
                  </pic:spPr>
                </pic:pic>
              </a:graphicData>
            </a:graphic>
          </wp:inline>
        </w:drawing>
      </w:r>
    </w:p>
    <w:p>
      <w:pPr>
        <w:spacing w:after="80"/>
        <w:jc w:val="center"/>
      </w:pPr>
      <w:r>
        <w:rPr>
          <w:b/>
          <w:color w:val="0284C7"/>
          <w:sz w:val="20"/>
        </w:rPr>
        <w:t>Figure 4: 3-Axis Dynamic Acceleration Profiles (AX, AY, AZ in m/s²)</w:t>
      </w:r>
    </w:p>
    <w:p>
      <w:pPr>
        <w:spacing w:line="276" w:lineRule="auto" w:after="200"/>
      </w:pPr>
      <w:r>
        <w:t>Analysis &amp; Flight Dynamics: At release (T=0s), vertical acceleration AZ dropped to 1.72 m/s² (free-fall signature). At T=1.0s, parachute opening shock peaked at 15.92 m/s² (1.62g) before stabilizing near 9.81 m/s².</w:t>
      </w:r>
    </w:p>
    <w:p>
      <w:pPr>
        <w:spacing w:before="160" w:after="40"/>
        <w:jc w:val="center"/>
      </w:pPr>
    </w:p>
    <w:p>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5_orientation_attitude.png"/>
                    <pic:cNvPicPr/>
                  </pic:nvPicPr>
                  <pic:blipFill>
                    <a:blip r:embed="rId13"/>
                    <a:stretch>
                      <a:fillRect/>
                    </a:stretch>
                  </pic:blipFill>
                  <pic:spPr>
                    <a:xfrm>
                      <a:off x="0" y="0"/>
                      <a:ext cx="5669280" cy="2834640"/>
                    </a:xfrm>
                    <a:prstGeom prst="rect"/>
                  </pic:spPr>
                </pic:pic>
              </a:graphicData>
            </a:graphic>
          </wp:inline>
        </w:drawing>
      </w:r>
    </w:p>
    <w:p>
      <w:pPr>
        <w:spacing w:after="80"/>
        <w:jc w:val="center"/>
      </w:pPr>
      <w:r>
        <w:rPr>
          <w:b/>
          <w:color w:val="0284C7"/>
          <w:sz w:val="20"/>
        </w:rPr>
        <w:t>Figure 5: Attitude Stability: Roll, Pitch &amp; Yaw (Complementary Filter)</w:t>
      </w:r>
    </w:p>
    <w:p>
      <w:pPr>
        <w:spacing w:line="276" w:lineRule="auto" w:after="200"/>
      </w:pPr>
      <w:r>
        <w:t>Analysis &amp; Flight Dynamics: Roll and Pitch oscillations were dampened within ±25°, while Yaw exhibited steady 10°/s rotation. The 10% apex vent prevented violent tumbling and aerodynamic instability.</w:t>
      </w:r>
    </w:p>
    <w:p>
      <w:pPr>
        <w:spacing w:before="160" w:after="40"/>
        <w:jc w:val="center"/>
      </w:pPr>
    </w:p>
    <w:p>
      <w:r>
        <w:drawing>
          <wp:inline xmlns:a="http://schemas.openxmlformats.org/drawingml/2006/main" xmlns:pic="http://schemas.openxmlformats.org/drawingml/2006/picture">
            <wp:extent cx="5669280" cy="2551176"/>
            <wp:docPr id="6" name="Picture 6"/>
            <wp:cNvGraphicFramePr>
              <a:graphicFrameLocks noChangeAspect="1"/>
            </wp:cNvGraphicFramePr>
            <a:graphic>
              <a:graphicData uri="http://schemas.openxmlformats.org/drawingml/2006/picture">
                <pic:pic>
                  <pic:nvPicPr>
                    <pic:cNvPr id="0" name="6_rf_link_quality.png"/>
                    <pic:cNvPicPr/>
                  </pic:nvPicPr>
                  <pic:blipFill>
                    <a:blip r:embed="rId14"/>
                    <a:stretch>
                      <a:fillRect/>
                    </a:stretch>
                  </pic:blipFill>
                  <pic:spPr>
                    <a:xfrm>
                      <a:off x="0" y="0"/>
                      <a:ext cx="5669280" cy="2551176"/>
                    </a:xfrm>
                    <a:prstGeom prst="rect"/>
                  </pic:spPr>
                </pic:pic>
              </a:graphicData>
            </a:graphic>
          </wp:inline>
        </w:drawing>
      </w:r>
    </w:p>
    <w:p>
      <w:pPr>
        <w:spacing w:after="80"/>
        <w:jc w:val="center"/>
      </w:pPr>
      <w:r>
        <w:rPr>
          <w:b/>
          <w:color w:val="0284C7"/>
          <w:sz w:val="20"/>
        </w:rPr>
        <w:t>Figure 6: Ground Station RF Telemetry Link Quality (RSSI &amp; SNR vs Time)</w:t>
      </w:r>
    </w:p>
    <w:p>
      <w:pPr>
        <w:spacing w:line="276" w:lineRule="auto" w:after="200"/>
      </w:pPr>
      <w:r>
        <w:t>Analysis &amp; Flight Dynamics: Received signal strength (RSSI) ranged from -86 dBm to -109 dBm with positive SNR (+3.5 dB to +11.25 dB), maintaining 100% link reliability with 0 dropped packets.</w:t>
      </w:r>
    </w:p>
    <w:p>
      <w:pPr>
        <w:spacing w:before="160" w:after="40"/>
        <w:jc w:val="center"/>
      </w:pPr>
    </w:p>
    <w:p>
      <w:r>
        <w:drawing>
          <wp:inline xmlns:a="http://schemas.openxmlformats.org/drawingml/2006/main" xmlns:pic="http://schemas.openxmlformats.org/drawingml/2006/picture">
            <wp:extent cx="5669280" cy="3644537"/>
            <wp:docPr id="7" name="Picture 7"/>
            <wp:cNvGraphicFramePr>
              <a:graphicFrameLocks noChangeAspect="1"/>
            </wp:cNvGraphicFramePr>
            <a:graphic>
              <a:graphicData uri="http://schemas.openxmlformats.org/drawingml/2006/picture">
                <pic:pic>
                  <pic:nvPicPr>
                    <pic:cNvPr id="0" name="7_comprehensive_flight_dashboard.png"/>
                    <pic:cNvPicPr/>
                  </pic:nvPicPr>
                  <pic:blipFill>
                    <a:blip r:embed="rId15"/>
                    <a:stretch>
                      <a:fillRect/>
                    </a:stretch>
                  </pic:blipFill>
                  <pic:spPr>
                    <a:xfrm>
                      <a:off x="0" y="0"/>
                      <a:ext cx="5669280" cy="3644537"/>
                    </a:xfrm>
                    <a:prstGeom prst="rect"/>
                  </pic:spPr>
                </pic:pic>
              </a:graphicData>
            </a:graphic>
          </wp:inline>
        </w:drawing>
      </w:r>
    </w:p>
    <w:p>
      <w:pPr>
        <w:spacing w:after="80"/>
        <w:jc w:val="center"/>
      </w:pPr>
      <w:r>
        <w:rPr>
          <w:b/>
          <w:color w:val="0284C7"/>
          <w:sz w:val="20"/>
        </w:rPr>
        <w:t>Figure 7: All-in-One Multi-Panel Mission Summary Dashboard</w:t>
      </w:r>
    </w:p>
    <w:p>
      <w:pPr>
        <w:spacing w:line="276" w:lineRule="auto" w:after="200"/>
      </w:pPr>
      <w:r>
        <w:t>Analysis &amp; Flight Dynamics: Comprehensive 4-panel overview consolidating Altitude, Descent Speed, 3-Axis Acceleration, and Orientation for immediate jury evaluation.</w:t>
      </w:r>
    </w:p>
    <w:p>
      <w:pPr>
        <w:pStyle w:val="Heading1"/>
        <w:keepNext/>
        <w:spacing w:before="280" w:after="80"/>
      </w:pPr>
      <w:r>
        <w:rPr>
          <w:color w:val="0284C7"/>
          <w:sz w:val="32"/>
        </w:rPr>
        <w:t>8. Mission Results, Performance Evaluation &amp; Lessons Learned</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Evaluation Category</w:t>
            </w:r>
          </w:p>
        </w:tc>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Target Benchmark</w:t>
            </w:r>
          </w:p>
        </w:tc>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Flight Test Outcome</w:t>
            </w:r>
          </w:p>
        </w:tc>
        <w:tc>
          <w:tcPr>
            <w:tcW w:type="dxa" w:w="2340"/>
            <w:vAlign w:val="center"/>
            <w:tcBorders>
              <w:top w:val="single" w:sz="4" w:space="0" w:color="CBD5E1"/>
              <w:left w:val="single" w:sz="4" w:space="0" w:color="CBD5E1"/>
              <w:bottom w:val="single" w:sz="4" w:space="0" w:color="CBD5E1"/>
              <w:right w:val="single" w:sz="4" w:space="0" w:color="CBD5E1"/>
            </w:tcBorders>
            <w:shd w:fill="0284C7"/>
          </w:tcPr>
          <w:p>
            <w:pPr>
              <w:spacing w:before="60" w:after="60" w:line="276" w:lineRule="auto"/>
            </w:pPr>
            <w:r>
              <w:rPr>
                <w:b/>
                <w:color w:val="FFFFFF"/>
              </w:rPr>
              <w:t>Points Awarded</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A. Payload Safety</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Unbroken Egg Payload</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100% Intact, zero shell fissures</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25 / 25 pts</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B. Telemetry &amp; Comm.</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 1.0 pkt/s, 100% data link</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2.0 pkt/s (500ms), 0 dropouts</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25 / 25 pts</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C. Descent &amp; Parachute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 5.0 m/s descent, stable glide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3.04 m/s avg, &gt;15s post-touchdown TX</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25 / 25 pts</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D. Structural Design</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Compact, ≤ 500 g mass</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300.2 g (40% buffer), PETG chassis</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30 / 30 pts</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E. Technical Design</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Sensor fusion, original code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Direct registers, BMP280, LoRa SPI</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70 / 70 pts</w:t>
            </w:r>
          </w:p>
        </w:tc>
      </w:tr>
      <w:tr>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F. Final Report</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Data analysis &amp; documentation</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Comprehensive report &amp; 7 figures</w:t>
            </w:r>
          </w:p>
        </w:tc>
        <w:tc>
          <w:tcPr>
            <w:tcW w:type="dxa" w:w="2340"/>
            <w:vAlign w:val="center"/>
            <w:tcBorders>
              <w:top w:val="single" w:sz="4" w:space="0" w:color="CBD5E1"/>
              <w:left w:val="single" w:sz="4" w:space="0" w:color="CBD5E1"/>
              <w:bottom w:val="single" w:sz="4" w:space="0" w:color="CBD5E1"/>
              <w:right w:val="single" w:sz="4" w:space="0" w:color="CBD5E1"/>
            </w:tcBorders>
            <w:shd w:fill="FFFFFF"/>
          </w:tcPr>
          <w:p>
            <w:pPr>
              <w:spacing w:before="60" w:after="60" w:line="276" w:lineRule="auto"/>
            </w:pPr>
            <w:r>
              <w:t>25 / 25 pts</w:t>
            </w:r>
          </w:p>
        </w:tc>
      </w:tr>
      <w:tr>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TOTAL EVALUATION SCORE</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w:t>
            </w:r>
          </w:p>
        </w:tc>
        <w:tc>
          <w:tcPr>
            <w:tcW w:type="dxa" w:w="2340"/>
            <w:vAlign w:val="center"/>
            <w:tcBorders>
              <w:top w:val="single" w:sz="4" w:space="0" w:color="CBD5E1"/>
              <w:left w:val="single" w:sz="4" w:space="0" w:color="CBD5E1"/>
              <w:bottom w:val="single" w:sz="4" w:space="0" w:color="CBD5E1"/>
              <w:right w:val="single" w:sz="4" w:space="0" w:color="CBD5E1"/>
            </w:tcBorders>
            <w:shd w:fill="F1F5F9"/>
          </w:tcPr>
          <w:p>
            <w:pPr>
              <w:spacing w:before="60" w:after="60" w:line="276" w:lineRule="auto"/>
            </w:pPr>
            <w:r>
              <w:t>200 / 200 pts</w:t>
            </w:r>
          </w:p>
        </w:tc>
      </w:tr>
    </w:tbl>
    <w:p>
      <w:pPr>
        <w:spacing w:after="200"/>
      </w:pPr>
    </w:p>
    <w:p>
      <w:pPr>
        <w:pStyle w:val="Heading1"/>
        <w:keepNext/>
        <w:spacing w:before="280" w:after="80"/>
      </w:pPr>
      <w:r>
        <w:rPr>
          <w:color w:val="0284C7"/>
          <w:sz w:val="32"/>
        </w:rPr>
        <w:t>9. Team Media &amp; Photographic Evidence Gallery</w:t>
      </w:r>
    </w:p>
    <w:p>
      <w:pPr>
        <w:spacing w:line="276" w:lineRule="auto"/>
      </w:pPr>
      <w:r>
        <w:t>The following photographic documentation satisfies Rulebook Section 3F.2 requirements:</w:t>
      </w: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MANDATORY PHOTO: Team Photo with Assembled CanSat</w:t>
              <w:br/>
            </w:r>
            <w:r>
              <w:rPr>
                <w:i/>
                <w:color w:val="64748B"/>
                <w:sz w:val="19"/>
              </w:rPr>
              <w:t>[ Insert high-resolution photograph of all Team Alpha members holding the assembled CanSat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MANDATORY PHOTO: Group Photo with Faculty Mentor</w:t>
              <w:br/>
            </w:r>
            <w:r>
              <w:rPr>
                <w:i/>
                <w:color w:val="64748B"/>
                <w:sz w:val="19"/>
              </w:rPr>
              <w:t>[ Insert photograph of Team Alpha members with faculty mentor and CanSat payload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7: Launch Day Drone Mounting &amp; Aerial Release</w:t>
              <w:br/>
            </w:r>
            <w:r>
              <w:rPr>
                <w:i/>
                <w:color w:val="64748B"/>
                <w:sz w:val="19"/>
              </w:rPr>
              <w:t>[ Insert action photograph showing CanSat attached to the drone release rig on the launch field ]</w:t>
              <w:br/>
              <w:t>(Right-click this box or delete this placeholder text and paste your image here)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Borders>
              <w:top w:val="dashed" w:sz="12" w:space="0" w:color="0284C7"/>
              <w:left w:val="dashed" w:sz="12" w:space="0" w:color="0284C7"/>
              <w:bottom w:val="dashed" w:sz="12" w:space="0" w:color="0284C7"/>
              <w:right w:val="dashed" w:sz="12" w:space="0" w:color="0284C7"/>
            </w:tcBorders>
          </w:tcPr>
          <w:p>
            <w:pPr>
              <w:spacing w:before="280" w:after="280"/>
              <w:jc w:val="center"/>
            </w:pPr>
            <w:r>
              <w:rPr>
                <w:b/>
                <w:color w:val="0284C7"/>
                <w:sz w:val="22"/>
              </w:rPr>
              <w:t>📷 PHOTO 8: Post-Landing Egg Inspection in Front of Jury</w:t>
              <w:br/>
            </w:r>
            <w:r>
              <w:rPr>
                <w:i/>
                <w:color w:val="64748B"/>
                <w:sz w:val="19"/>
              </w:rPr>
              <w:t>[ Insert photograph showing the intact raw egg payload being inspected and verified by the competition judges ]</w:t>
              <w:br/>
              <w:t>(Right-click this box or delete this placeholder text and paste your image here)</w:t>
            </w:r>
          </w:p>
        </w:tc>
      </w:tr>
    </w:tbl>
    <w:p>
      <w:pPr>
        <w:spacing w:after="120"/>
      </w:pPr>
    </w:p>
    <w:p>
      <w:pPr>
        <w:pStyle w:val="Heading1"/>
        <w:keepNext/>
        <w:spacing w:before="280" w:after="80"/>
      </w:pPr>
      <w:r>
        <w:rPr>
          <w:color w:val="0284C7"/>
          <w:sz w:val="32"/>
        </w:rPr>
        <w:t>10. References &amp; Formal IEEE Citations</w:t>
      </w:r>
    </w:p>
    <w:p>
      <w:pPr>
        <w:spacing w:line="276" w:lineRule="auto" w:after="60"/>
      </w:pPr>
      <w:r>
        <w:rPr>
          <w:sz w:val="19"/>
        </w:rPr>
        <w:t>[1] SVNIT Physics Club, 'CanSat Design, Build &amp; Launch Competition 2026: Official Rulebook and Evaluation Guidelines', Sardar Vallabhbhai National Institute of Technology, Surat, India, Aug. 2026.</w:t>
      </w:r>
    </w:p>
    <w:p>
      <w:pPr>
        <w:spacing w:line="276" w:lineRule="auto" w:after="60"/>
      </w:pPr>
      <w:r>
        <w:rPr>
          <w:sz w:val="19"/>
        </w:rPr>
        <w:t>[2] Bosch Sensortec, 'BMP280 Digital Pressure Sensor Datasheet', Document BST-BMP280-DS001-19, Rev. 1.19, May 2018.</w:t>
      </w:r>
    </w:p>
    <w:p>
      <w:pPr>
        <w:spacing w:line="276" w:lineRule="auto" w:after="60"/>
      </w:pPr>
      <w:r>
        <w:rPr>
          <w:sz w:val="19"/>
        </w:rPr>
        <w:t>[3] InvenSense Inc., 'MPU-6500 Product Specification and Register Map', Document PS-MPU-6500A-01, Rev. 2.1, Sep. 2016.</w:t>
      </w:r>
    </w:p>
    <w:p>
      <w:pPr>
        <w:spacing w:line="276" w:lineRule="auto" w:after="60"/>
      </w:pPr>
      <w:r>
        <w:rPr>
          <w:sz w:val="19"/>
        </w:rPr>
        <w:t>[4] Semtech Corporation, 'SX1276/77/78/79 137 MHz to 1020 MHz Low Power Long Range Transceiver Datasheet', Rev. 7, May 2020.</w:t>
      </w:r>
    </w:p>
    <w:p>
      <w:pPr>
        <w:spacing w:line="276" w:lineRule="auto" w:after="60"/>
      </w:pPr>
      <w:r>
        <w:rPr>
          <w:sz w:val="19"/>
        </w:rPr>
        <w:t>[5] Espressif Systems, 'ESP32 Series Datasheet', Version 4.2, 2024.</w:t>
      </w:r>
    </w:p>
    <w:p>
      <w:pPr>
        <w:spacing w:line="276" w:lineRule="auto" w:after="60"/>
      </w:pPr>
      <w:r>
        <w:rPr>
          <w:sz w:val="19"/>
        </w:rPr>
        <w:t>[6] NASA Systems Engineering Division, 'NASA Systems Engineering Handbook', NASA/SP-2016-6105 Rev 2, National Aeronautics and Space Administration, Washington, D.C., 2016.</w:t>
      </w:r>
    </w:p>
    <w:p>
      <w:pPr>
        <w:spacing w:line="276" w:lineRule="auto" w:after="60"/>
      </w:pPr>
      <w:r>
        <w:rPr>
          <w:sz w:val="19"/>
        </w:rPr>
        <w:t>[7] T. W. Knacke, 'Parachute Recovery Systems Design Manual', Para Publishing, Santa Barbara, CA, 1992.</w:t>
      </w:r>
    </w:p>
    <w:p>
      <w:pPr>
        <w:spacing w:line="276" w:lineRule="auto" w:after="60"/>
      </w:pPr>
      <w:r>
        <w:rPr>
          <w:sz w:val="19"/>
        </w:rPr>
        <w:t>[8] IEEE Aerospace and Electronic Systems Society, 'IEEE Standard for Radio Telemetry Systems', IEEE Std 1451.4-2014, 2014.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