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Project Design Phase-II</w:t>
      </w:r>
    </w:p>
    <w:p w:rsidR="00000000" w:rsidDel="00000000" w:rsidP="00000000" w:rsidRDefault="00000000" w:rsidRPr="00000000" w14:paraId="00000002">
      <w:pPr>
        <w:spacing w:line="259"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Solution Requirements (Functional &amp; Non-functional)</w:t>
      </w:r>
    </w:p>
    <w:p w:rsidR="00000000" w:rsidDel="00000000" w:rsidP="00000000" w:rsidRDefault="00000000" w:rsidRPr="00000000" w14:paraId="00000003">
      <w:pPr>
        <w:spacing w:line="259" w:lineRule="auto"/>
        <w:jc w:val="center"/>
        <w:rPr>
          <w:rFonts w:ascii="Calibri" w:cs="Calibri" w:eastAsia="Calibri" w:hAnsi="Calibri"/>
          <w:b w:val="1"/>
        </w:rPr>
      </w:pPr>
      <w:r w:rsidDel="00000000" w:rsidR="00000000" w:rsidRPr="00000000">
        <w:rPr>
          <w:rtl w:val="0"/>
        </w:rPr>
      </w:r>
    </w:p>
    <w:tbl>
      <w:tblPr>
        <w:tblStyle w:val="Table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tcBorders>
              <w:top w:val="single" w:sz="4" w:space="0" w:color="CCCCCC"/>
              <w:left w:val="single" w:sz="4" w:space="0" w:color="CCCCCC"/>
              <w:bottom w:val="single" w:sz="4" w:space="0" w:color="CCCCCC"/>
              <w:right w:val="single" w:sz="4" w:space="0" w:color="CCCCCC"/>
            </w:tcBorders>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19"/>
              </w:rPr>
              <w:t>16-10-2026</w:t>
            </w:r>
          </w:p>
        </w:tc>
      </w:tr>
      <w:tr>
        <w:trPr>
          <w:cantSplit w:val="0"/>
          <w:tblHeader w:val="0"/>
        </w:trPr>
        <w:tc>
          <w:tcPr>
            <w:tcBorders>
              <w:top w:val="single" w:sz="4" w:space="0" w:color="CCCCCC"/>
              <w:left w:val="single" w:sz="4" w:space="0" w:color="CCCCCC"/>
              <w:bottom w:val="single" w:sz="4" w:space="0" w:color="CCCCCC"/>
              <w:right w:val="single" w:sz="4" w:space="0" w:color="CCCCCC"/>
            </w:tcBorders>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tcBorders>
              <w:top w:val="single" w:sz="4" w:space="0" w:color="CCCCCC"/>
              <w:left w:val="single" w:sz="4" w:space="0" w:color="CCCCCC"/>
              <w:bottom w:val="single" w:sz="4" w:space="0" w:color="CCCCCC"/>
              <w:right w:val="single" w:sz="4" w:space="0" w:color="CCCCCC"/>
            </w:tcBorders>
          </w:tcPr>
          <w:p>
            <w:pPr>
              <w:jc w:val="left"/>
            </w:pPr>
            <w:r>
              <w:rPr>
                <w:rFonts w:ascii="Calibri" w:hAnsi="Calibri"/>
                <w:b/>
                <w:sz w:val="19"/>
              </w:rPr>
              <w:t>HP-MERN-2026</w:t>
            </w:r>
          </w:p>
        </w:tc>
      </w:tr>
      <w:tr>
        <w:trPr>
          <w:cantSplit w:val="0"/>
          <w:tblHeader w:val="0"/>
        </w:trPr>
        <w:tc>
          <w:tcPr>
            <w:tcBorders>
              <w:top w:val="single" w:sz="4" w:space="0" w:color="CCCCCC"/>
              <w:left w:val="single" w:sz="4" w:space="0" w:color="CCCCCC"/>
              <w:bottom w:val="single" w:sz="4" w:space="0" w:color="CCCCCC"/>
              <w:right w:val="single" w:sz="4" w:space="0" w:color="CCCCCC"/>
            </w:tcBorders>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tcBorders>
              <w:top w:val="single" w:sz="4" w:space="0" w:color="CCCCCC"/>
              <w:left w:val="single" w:sz="4" w:space="0" w:color="CCCCCC"/>
              <w:bottom w:val="single" w:sz="4" w:space="0" w:color="CCCCCC"/>
              <w:right w:val="single" w:sz="4" w:space="0" w:color="CCCCCC"/>
            </w:tcBorders>
          </w:tcPr>
          <w:p>
            <w:pPr>
              <w:jc w:val="left"/>
            </w:pPr>
            <w:r>
              <w:rPr>
                <w:rFonts w:ascii="Calibri" w:hAnsi="Calibri"/>
                <w:b/>
                <w:sz w:val="19"/>
              </w:rPr>
              <w:t>HotelPro — Human-Centered Hotel Management System</w:t>
            </w:r>
          </w:p>
        </w:tc>
      </w:tr>
      <w:tr>
        <w:trPr>
          <w:cantSplit w:val="0"/>
          <w:tblHeader w:val="0"/>
        </w:trPr>
        <w:tc>
          <w:tcPr>
            <w:tcBorders>
              <w:top w:val="single" w:sz="4" w:space="0" w:color="CCCCCC"/>
              <w:left w:val="single" w:sz="4" w:space="0" w:color="CCCCCC"/>
              <w:bottom w:val="single" w:sz="4" w:space="0" w:color="CCCCCC"/>
              <w:right w:val="single" w:sz="4" w:space="0" w:color="CCCCCC"/>
            </w:tcBorders>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19"/>
              </w:rPr>
              <w:t>4 Marks</w:t>
            </w:r>
          </w:p>
        </w:tc>
      </w:tr>
    </w:tbl>
    <w:p w:rsidR="00000000" w:rsidDel="00000000" w:rsidP="00000000" w:rsidRDefault="00000000" w:rsidRPr="00000000" w14:paraId="0000000C">
      <w:pPr>
        <w:spacing w:after="160" w:line="259"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0D">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Functional Requirements:</w:t>
      </w:r>
    </w:p>
    <w:p w:rsidR="00000000" w:rsidDel="00000000" w:rsidP="00000000" w:rsidRDefault="00000000" w:rsidRPr="00000000" w14:paraId="0000000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Following are the functional requirements of the proposed solution.</w:t>
      </w:r>
    </w:p>
    <w:p w:rsidR="00000000" w:rsidDel="00000000" w:rsidP="00000000" w:rsidRDefault="00000000" w:rsidRPr="00000000" w14:paraId="0000000F">
      <w:pPr>
        <w:spacing w:after="160" w:line="259" w:lineRule="auto"/>
        <w:rPr>
          <w:rFonts w:ascii="Calibri" w:cs="Calibri" w:eastAsia="Calibri" w:hAnsi="Calibri"/>
          <w:b w:val="1"/>
        </w:rPr>
      </w:pPr>
      <w:r>
        <w:rPr>
          <w:rFonts w:ascii="Calibri" w:hAnsi="Calibri"/>
          <w:b/>
          <w:sz w:val="22"/>
        </w:rPr>
        <w:t>Functional Requirements – Hotel Management System (HotelPro)</w:t>
      </w:r>
    </w:p>
    <w:tbl>
      <w:tblPr>
        <w:tblStyle w:val="Table2"/>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3543"/>
        <w:gridCol w:w="4820"/>
        <w:tblGridChange w:id="0">
          <w:tblGrid>
            <w:gridCol w:w="988"/>
            <w:gridCol w:w="3543"/>
            <w:gridCol w:w="4820"/>
          </w:tblGrid>
        </w:tblGridChange>
      </w:tblGrid>
      <w:tr>
        <w:trPr>
          <w:cantSplit w:val="0"/>
          <w:tblHeader w:val="0"/>
        </w:trPr>
        <w:tc>
          <w:tcPr>
            <w:tcBorders>
              <w:top w:val="single" w:sz="4" w:space="0" w:color="CCCCCC"/>
              <w:left w:val="single" w:sz="4" w:space="0" w:color="CCCCCC"/>
              <w:bottom w:val="single" w:sz="4" w:space="0" w:color="CCCCCC"/>
              <w:right w:val="single" w:sz="4" w:space="0" w:color="CCCCCC"/>
            </w:tcBorders>
            <w:shd w:fill="F1F5F9"/>
          </w:tcPr>
          <w:p w:rsidR="00000000" w:rsidDel="00000000" w:rsidP="00000000" w:rsidRDefault="00000000" w:rsidRPr="00000000" w14:paraId="00000010">
            <w:pPr>
              <w:spacing w:after="160" w:line="259" w:lineRule="auto"/>
              <w:rPr>
                <w:rFonts w:ascii="Calibri" w:cs="Calibri" w:eastAsia="Calibri" w:hAnsi="Calibri"/>
                <w:b w:val="1"/>
              </w:rPr>
            </w:pPr>
            <w:r w:rsidDel="00000000" w:rsidR="00000000" w:rsidRPr="00000000">
              <w:rPr>
                <w:rFonts w:ascii="Calibri" w:cs="Calibri" w:eastAsia="Calibri" w:hAnsi="Calibri"/>
                <w:b/>
                <w:sz w:val="19"/>
                <w:rtl w:val="0"/>
              </w:rPr>
              <w:t xml:space="preserve">FR No.</w:t>
            </w:r>
          </w:p>
        </w:tc>
        <w:tc>
          <w:tcPr>
            <w:tcBorders>
              <w:top w:val="single" w:sz="4" w:space="0" w:color="CCCCCC"/>
              <w:left w:val="single" w:sz="4" w:space="0" w:color="CCCCCC"/>
              <w:bottom w:val="single" w:sz="4" w:space="0" w:color="CCCCCC"/>
              <w:right w:val="single" w:sz="4" w:space="0" w:color="CCCCCC"/>
            </w:tcBorders>
            <w:shd w:fill="F1F5F9"/>
          </w:tcPr>
          <w:p w:rsidR="00000000" w:rsidDel="00000000" w:rsidP="00000000" w:rsidRDefault="00000000" w:rsidRPr="00000000" w14:paraId="00000011">
            <w:pPr>
              <w:spacing w:after="160" w:line="259" w:lineRule="auto"/>
              <w:rPr>
                <w:rFonts w:ascii="Calibri" w:cs="Calibri" w:eastAsia="Calibri" w:hAnsi="Calibri"/>
                <w:b w:val="1"/>
              </w:rPr>
            </w:pPr>
            <w:r w:rsidDel="00000000" w:rsidR="00000000" w:rsidRPr="00000000">
              <w:rPr>
                <w:rFonts w:ascii="Calibri" w:cs="Calibri" w:eastAsia="Calibri" w:hAnsi="Calibri"/>
                <w:b/>
                <w:sz w:val="19"/>
                <w:rtl w:val="0"/>
              </w:rPr>
              <w:t xml:space="preserve">Functional Requirement (Epic)</w:t>
            </w:r>
          </w:p>
        </w:tc>
        <w:tc>
          <w:tcPr>
            <w:tcBorders>
              <w:top w:val="single" w:sz="4" w:space="0" w:color="CCCCCC"/>
              <w:left w:val="single" w:sz="4" w:space="0" w:color="CCCCCC"/>
              <w:bottom w:val="single" w:sz="4" w:space="0" w:color="CCCCCC"/>
              <w:right w:val="single" w:sz="4" w:space="0" w:color="CCCCCC"/>
            </w:tcBorders>
            <w:shd w:fill="F1F5F9"/>
          </w:tcPr>
          <w:p w:rsidR="00000000" w:rsidDel="00000000" w:rsidP="00000000" w:rsidRDefault="00000000" w:rsidRPr="00000000" w14:paraId="00000012">
            <w:pPr>
              <w:spacing w:after="160" w:line="259" w:lineRule="auto"/>
              <w:rPr>
                <w:rFonts w:ascii="Calibri" w:cs="Calibri" w:eastAsia="Calibri" w:hAnsi="Calibri"/>
                <w:b w:val="1"/>
              </w:rPr>
            </w:pPr>
            <w:r w:rsidDel="00000000" w:rsidR="00000000" w:rsidRPr="00000000">
              <w:rPr>
                <w:rFonts w:ascii="Calibri" w:cs="Calibri" w:eastAsia="Calibri" w:hAnsi="Calibri"/>
                <w:b/>
                <w:sz w:val="19"/>
                <w:rtl w:val="0"/>
              </w:rPr>
              <w:t xml:space="preserve">Sub Requirement (Story / Sub-Task)</w:t>
            </w:r>
          </w:p>
        </w:tc>
      </w:tr>
      <w:tr>
        <w:tc>
          <w:tcPr>
            <w:tcW w:type="dxa" w:w="988"/>
            <w:tcBorders>
              <w:top w:val="single" w:sz="4" w:space="0" w:color="CCCCCC"/>
              <w:left w:val="single" w:sz="4" w:space="0" w:color="CCCCCC"/>
              <w:bottom w:val="single" w:sz="4" w:space="0" w:color="CCCCCC"/>
              <w:right w:val="single" w:sz="4" w:space="0" w:color="CCCCCC"/>
            </w:tcBorders>
          </w:tcPr>
          <w:p>
            <w:pPr>
              <w:jc w:val="center"/>
            </w:pPr>
            <w:r>
              <w:rPr>
                <w:rFonts w:ascii="Calibri" w:hAnsi="Calibri"/>
                <w:b/>
                <w:sz w:val="18"/>
              </w:rPr>
              <w:t>FR-1</w:t>
            </w:r>
          </w:p>
        </w:tc>
        <w:tc>
          <w:tcPr>
            <w:tcW w:type="dxa" w:w="3543"/>
            <w:tcBorders>
              <w:top w:val="single" w:sz="4" w:space="0" w:color="CCCCCC"/>
              <w:left w:val="single" w:sz="4" w:space="0" w:color="CCCCCC"/>
              <w:bottom w:val="single" w:sz="4" w:space="0" w:color="CCCCCC"/>
              <w:right w:val="single" w:sz="4" w:space="0" w:color="CCCCCC"/>
            </w:tcBorders>
          </w:tcPr>
          <w:p>
            <w:pPr>
              <w:jc w:val="left"/>
            </w:pPr>
            <w:r>
              <w:rPr>
                <w:rFonts w:ascii="Calibri" w:hAnsi="Calibri"/>
                <w:b/>
                <w:sz w:val="18"/>
              </w:rPr>
              <w:t>User Authentication &amp; Role-Based Access Control (RBAC)</w:t>
            </w:r>
          </w:p>
        </w:tc>
        <w:tc>
          <w:tcPr>
            <w:tcW w:type="dxa" w:w="482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17"/>
              </w:rPr>
              <w:t>• User registration, secure login, and password management with JWT session tokens.</w:t>
              <w:br/>
              <w:t>• Strict Role-Based Access Control supporting Guests, Front-Desk Staff, Housekeeping Managers, and Hotel Admins.</w:t>
              <w:br/>
              <w:t>• 1-Click Demo Credential Selector on login page enabling instant role switching for evaluators and testers.</w:t>
            </w:r>
          </w:p>
        </w:tc>
      </w:tr>
      <w:tr>
        <w:tc>
          <w:tcPr>
            <w:tcW w:type="dxa" w:w="988"/>
            <w:tcBorders>
              <w:top w:val="single" w:sz="4" w:space="0" w:color="CCCCCC"/>
              <w:left w:val="single" w:sz="4" w:space="0" w:color="CCCCCC"/>
              <w:bottom w:val="single" w:sz="4" w:space="0" w:color="CCCCCC"/>
              <w:right w:val="single" w:sz="4" w:space="0" w:color="CCCCCC"/>
            </w:tcBorders>
          </w:tcPr>
          <w:p>
            <w:pPr>
              <w:jc w:val="center"/>
            </w:pPr>
            <w:r>
              <w:rPr>
                <w:rFonts w:ascii="Calibri" w:hAnsi="Calibri"/>
                <w:b/>
                <w:sz w:val="18"/>
              </w:rPr>
              <w:t>FR-2</w:t>
            </w:r>
          </w:p>
        </w:tc>
        <w:tc>
          <w:tcPr>
            <w:tcW w:type="dxa" w:w="3543"/>
            <w:tcBorders>
              <w:top w:val="single" w:sz="4" w:space="0" w:color="CCCCCC"/>
              <w:left w:val="single" w:sz="4" w:space="0" w:color="CCCCCC"/>
              <w:bottom w:val="single" w:sz="4" w:space="0" w:color="CCCCCC"/>
              <w:right w:val="single" w:sz="4" w:space="0" w:color="CCCCCC"/>
            </w:tcBorders>
          </w:tcPr>
          <w:p>
            <w:pPr>
              <w:jc w:val="left"/>
            </w:pPr>
            <w:r>
              <w:rPr>
                <w:rFonts w:ascii="Calibri" w:hAnsi="Calibri"/>
                <w:b/>
                <w:sz w:val="18"/>
              </w:rPr>
              <w:t>Hotel Discovery &amp; Real-Time Inventory Browsing</w:t>
            </w:r>
          </w:p>
        </w:tc>
        <w:tc>
          <w:tcPr>
            <w:tcW w:type="dxa" w:w="482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17"/>
              </w:rPr>
              <w:t>• Real-time multi-attribute search filtering by hotel name, city, landmark, or category with debounced input (&lt;50ms).</w:t>
              <w:br/>
              <w:t>• Destination quick-filter chips (Mumbai, Jaipur, Goa, New Delhi) for instantaneous single-click inventory narrowing.</w:t>
              <w:br/>
              <w:t>• Real-time room availability calculation based on check-in/out dates and guest count.</w:t>
              <w:br/>
              <w:t>• Transparent pricing breakdown with curated amenity badges (Wi-Fi, AC, Pool, Breakfast, Ocean View).</w:t>
            </w:r>
          </w:p>
        </w:tc>
      </w:tr>
      <w:tr>
        <w:tc>
          <w:tcPr>
            <w:tcW w:type="dxa" w:w="988"/>
            <w:tcBorders>
              <w:top w:val="single" w:sz="4" w:space="0" w:color="CCCCCC"/>
              <w:left w:val="single" w:sz="4" w:space="0" w:color="CCCCCC"/>
              <w:bottom w:val="single" w:sz="4" w:space="0" w:color="CCCCCC"/>
              <w:right w:val="single" w:sz="4" w:space="0" w:color="CCCCCC"/>
            </w:tcBorders>
          </w:tcPr>
          <w:p>
            <w:pPr>
              <w:jc w:val="center"/>
            </w:pPr>
            <w:r>
              <w:rPr>
                <w:rFonts w:ascii="Calibri" w:hAnsi="Calibri"/>
                <w:b/>
                <w:sz w:val="18"/>
              </w:rPr>
              <w:t>FR-3</w:t>
            </w:r>
          </w:p>
        </w:tc>
        <w:tc>
          <w:tcPr>
            <w:tcW w:type="dxa" w:w="3543"/>
            <w:tcBorders>
              <w:top w:val="single" w:sz="4" w:space="0" w:color="CCCCCC"/>
              <w:left w:val="single" w:sz="4" w:space="0" w:color="CCCCCC"/>
              <w:bottom w:val="single" w:sz="4" w:space="0" w:color="CCCCCC"/>
              <w:right w:val="single" w:sz="4" w:space="0" w:color="CCCCCC"/>
            </w:tcBorders>
          </w:tcPr>
          <w:p>
            <w:pPr>
              <w:jc w:val="left"/>
            </w:pPr>
            <w:r>
              <w:rPr>
                <w:rFonts w:ascii="Calibri" w:hAnsi="Calibri"/>
                <w:b/>
                <w:sz w:val="18"/>
              </w:rPr>
              <w:t>Resilient Booking Engine &amp; Offline Payment Sandbox</w:t>
            </w:r>
          </w:p>
        </w:tc>
        <w:tc>
          <w:tcPr>
            <w:tcW w:type="dxa" w:w="482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17"/>
              </w:rPr>
              <w:t>• 100% offline-resilient payment sandbox guaranteeing zero transaction failures and eliminating payment anxiety.</w:t>
              <w:br/>
              <w:t>• 4 simulated payment channels: Credit/Debit Card (with live interactive card preview), UPI QR code scanner simulation, Net Banking (top Indian banks), and Pay at Property.</w:t>
              <w:br/>
              <w:t>• Confirmed booking reference code generation (e.g., HP-2026-001) persisted simultaneously in MongoDB and browser localStorage.</w:t>
              <w:br/>
              <w:t>• Authenticated in-page stay voucher modal dialog with clean print stylesheet.</w:t>
            </w:r>
          </w:p>
        </w:tc>
      </w:tr>
      <w:tr>
        <w:tc>
          <w:tcPr>
            <w:tcW w:type="dxa" w:w="988"/>
            <w:tcBorders>
              <w:top w:val="single" w:sz="4" w:space="0" w:color="CCCCCC"/>
              <w:left w:val="single" w:sz="4" w:space="0" w:color="CCCCCC"/>
              <w:bottom w:val="single" w:sz="4" w:space="0" w:color="CCCCCC"/>
              <w:right w:val="single" w:sz="4" w:space="0" w:color="CCCCCC"/>
            </w:tcBorders>
          </w:tcPr>
          <w:p>
            <w:pPr>
              <w:jc w:val="center"/>
            </w:pPr>
            <w:r>
              <w:rPr>
                <w:rFonts w:ascii="Calibri" w:hAnsi="Calibri"/>
                <w:b/>
                <w:sz w:val="18"/>
              </w:rPr>
              <w:t>FR-4</w:t>
            </w:r>
          </w:p>
        </w:tc>
        <w:tc>
          <w:tcPr>
            <w:tcW w:type="dxa" w:w="3543"/>
            <w:tcBorders>
              <w:top w:val="single" w:sz="4" w:space="0" w:color="CCCCCC"/>
              <w:left w:val="single" w:sz="4" w:space="0" w:color="CCCCCC"/>
              <w:bottom w:val="single" w:sz="4" w:space="0" w:color="CCCCCC"/>
              <w:right w:val="single" w:sz="4" w:space="0" w:color="CCCCCC"/>
            </w:tcBorders>
          </w:tcPr>
          <w:p>
            <w:pPr>
              <w:jc w:val="left"/>
            </w:pPr>
            <w:r>
              <w:rPr>
                <w:rFonts w:ascii="Calibri" w:hAnsi="Calibri"/>
                <w:b/>
                <w:sz w:val="18"/>
              </w:rPr>
              <w:t>Guest Voucher Security &amp; Direct URL Protection</w:t>
            </w:r>
          </w:p>
        </w:tc>
        <w:tc>
          <w:tcPr>
            <w:tcW w:type="dxa" w:w="482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17"/>
              </w:rPr>
              <w:t>• Route guards actively blocking unauthorized public/direct URL access to stay receipts (/booking/confirmation/:ref).</w:t>
              <w:br/>
              <w:t>• Security alert notifications prompting unauthenticated users to log in or access vouchers securely via My Bookings.</w:t>
              <w:br/>
              <w:t>• Downloadable and printable authenticated stay receipts with QR code verification badge.</w:t>
            </w:r>
          </w:p>
        </w:tc>
      </w:tr>
      <w:tr>
        <w:tc>
          <w:tcPr>
            <w:tcW w:type="dxa" w:w="988"/>
            <w:tcBorders>
              <w:top w:val="single" w:sz="4" w:space="0" w:color="CCCCCC"/>
              <w:left w:val="single" w:sz="4" w:space="0" w:color="CCCCCC"/>
              <w:bottom w:val="single" w:sz="4" w:space="0" w:color="CCCCCC"/>
              <w:right w:val="single" w:sz="4" w:space="0" w:color="CCCCCC"/>
            </w:tcBorders>
          </w:tcPr>
          <w:p>
            <w:pPr>
              <w:jc w:val="center"/>
            </w:pPr>
            <w:r>
              <w:rPr>
                <w:rFonts w:ascii="Calibri" w:hAnsi="Calibri"/>
                <w:b/>
                <w:sz w:val="18"/>
              </w:rPr>
              <w:t>FR-5</w:t>
            </w:r>
          </w:p>
        </w:tc>
        <w:tc>
          <w:tcPr>
            <w:tcW w:type="dxa" w:w="3543"/>
            <w:tcBorders>
              <w:top w:val="single" w:sz="4" w:space="0" w:color="CCCCCC"/>
              <w:left w:val="single" w:sz="4" w:space="0" w:color="CCCCCC"/>
              <w:bottom w:val="single" w:sz="4" w:space="0" w:color="CCCCCC"/>
              <w:right w:val="single" w:sz="4" w:space="0" w:color="CCCCCC"/>
            </w:tcBorders>
          </w:tcPr>
          <w:p>
            <w:pPr>
              <w:jc w:val="left"/>
            </w:pPr>
            <w:r>
              <w:rPr>
                <w:rFonts w:ascii="Calibri" w:hAnsi="Calibri"/>
                <w:b/>
                <w:sz w:val="18"/>
              </w:rPr>
              <w:t>Front-Desk Operations &amp; Express Check-In Console</w:t>
            </w:r>
          </w:p>
        </w:tc>
        <w:tc>
          <w:tcPr>
            <w:tcW w:type="dxa" w:w="482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17"/>
              </w:rPr>
              <w:t>• Express guest arrival queue and check-in workflow completed in under 60 seconds.</w:t>
              <w:br/>
              <w:t>• Physical room key card assignment and instant room stay status synchronization.</w:t>
              <w:br/>
              <w:t>• Fast guest lookup by confirmed booking reference code or guest phone number.</w:t>
              <w:br/>
              <w:t>• Folio settlement, digital invoice generation, and room release back to housekeeping upon checkout.</w:t>
            </w:r>
          </w:p>
        </w:tc>
      </w:tr>
      <w:tr>
        <w:tc>
          <w:tcPr>
            <w:tcW w:type="dxa" w:w="988"/>
            <w:tcBorders>
              <w:top w:val="single" w:sz="4" w:space="0" w:color="CCCCCC"/>
              <w:left w:val="single" w:sz="4" w:space="0" w:color="CCCCCC"/>
              <w:bottom w:val="single" w:sz="4" w:space="0" w:color="CCCCCC"/>
              <w:right w:val="single" w:sz="4" w:space="0" w:color="CCCCCC"/>
            </w:tcBorders>
          </w:tcPr>
          <w:p>
            <w:pPr>
              <w:jc w:val="center"/>
            </w:pPr>
            <w:r>
              <w:rPr>
                <w:rFonts w:ascii="Calibri" w:hAnsi="Calibri"/>
                <w:b/>
                <w:sz w:val="18"/>
              </w:rPr>
              <w:t>FR-6</w:t>
            </w:r>
          </w:p>
        </w:tc>
        <w:tc>
          <w:tcPr>
            <w:tcW w:type="dxa" w:w="3543"/>
            <w:tcBorders>
              <w:top w:val="single" w:sz="4" w:space="0" w:color="CCCCCC"/>
              <w:left w:val="single" w:sz="4" w:space="0" w:color="CCCCCC"/>
              <w:bottom w:val="single" w:sz="4" w:space="0" w:color="CCCCCC"/>
              <w:right w:val="single" w:sz="4" w:space="0" w:color="CCCCCC"/>
            </w:tcBorders>
          </w:tcPr>
          <w:p>
            <w:pPr>
              <w:jc w:val="left"/>
            </w:pPr>
            <w:r>
              <w:rPr>
                <w:rFonts w:ascii="Calibri" w:hAnsi="Calibri"/>
                <w:b/>
                <w:sz w:val="18"/>
              </w:rPr>
              <w:t>Housekeeping Sanitation Grid &amp; Room Status Coordination</w:t>
            </w:r>
          </w:p>
        </w:tc>
        <w:tc>
          <w:tcPr>
            <w:tcW w:type="dxa" w:w="482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17"/>
              </w:rPr>
              <w:t>• Tactile, live room sanitation status grid: Dirty, In Cleaning, Inspected/Ready, Out of Order.</w:t>
              <w:br/>
              <w:t>• 1-click status transitions (e.g., Dirty -&gt; In Cleaning -&gt; Ready) synchronizing with front-desk operations in real-time.</w:t>
              <w:br/>
              <w:t>• Automatic guardrails preventing front desk from checking guests into uncleaned or dirty rooms.</w:t>
              <w:br/>
              <w:t>• Room maintenance logging and housekeeping staff shift assignment.</w:t>
            </w:r>
          </w:p>
        </w:tc>
      </w:tr>
      <w:tr>
        <w:tc>
          <w:tcPr>
            <w:tcW w:type="dxa" w:w="988"/>
            <w:tcBorders>
              <w:top w:val="single" w:sz="4" w:space="0" w:color="CCCCCC"/>
              <w:left w:val="single" w:sz="4" w:space="0" w:color="CCCCCC"/>
              <w:bottom w:val="single" w:sz="4" w:space="0" w:color="CCCCCC"/>
              <w:right w:val="single" w:sz="4" w:space="0" w:color="CCCCCC"/>
            </w:tcBorders>
          </w:tcPr>
          <w:p>
            <w:pPr>
              <w:jc w:val="center"/>
            </w:pPr>
            <w:r>
              <w:rPr>
                <w:rFonts w:ascii="Calibri" w:hAnsi="Calibri"/>
                <w:b/>
                <w:sz w:val="18"/>
              </w:rPr>
              <w:t>FR-7</w:t>
            </w:r>
          </w:p>
        </w:tc>
        <w:tc>
          <w:tcPr>
            <w:tcW w:type="dxa" w:w="3543"/>
            <w:tcBorders>
              <w:top w:val="single" w:sz="4" w:space="0" w:color="CCCCCC"/>
              <w:left w:val="single" w:sz="4" w:space="0" w:color="CCCCCC"/>
              <w:bottom w:val="single" w:sz="4" w:space="0" w:color="CCCCCC"/>
              <w:right w:val="single" w:sz="4" w:space="0" w:color="CCCCCC"/>
            </w:tcBorders>
          </w:tcPr>
          <w:p>
            <w:pPr>
              <w:jc w:val="left"/>
            </w:pPr>
            <w:r>
              <w:rPr>
                <w:rFonts w:ascii="Calibri" w:hAnsi="Calibri"/>
                <w:b/>
                <w:sz w:val="18"/>
              </w:rPr>
              <w:t>Hotel Administration &amp; Executive Analytics</w:t>
            </w:r>
          </w:p>
        </w:tc>
        <w:tc>
          <w:tcPr>
            <w:tcW w:type="dxa" w:w="482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17"/>
              </w:rPr>
              <w:t>• Executive dashboard with dynamic Recharts occupancy graphs, RevPAR (Revenue Per Available Room), and ADR metrics.</w:t>
              <w:br/>
              <w:t>• Hotel property inventory configuration, room type definitions, and seasonal pricing controls.</w:t>
              <w:br/>
              <w:t>• Comprehensive immutable administrative audit logs tracking all critical operational actions.</w:t>
            </w:r>
          </w:p>
        </w:tc>
      </w:tr>
    </w:tbl>
    <w:p w:rsidR="00000000" w:rsidDel="00000000" w:rsidP="00000000" w:rsidRDefault="00000000" w:rsidRPr="00000000" w14:paraId="00000039">
      <w:pPr>
        <w:spacing w:after="160" w:line="259"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3A">
      <w:pPr>
        <w:spacing w:after="160" w:line="259"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3B">
      <w:pPr>
        <w:spacing w:after="160" w:line="259"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3C">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Non-functional Requirements:</w:t>
      </w:r>
    </w:p>
    <w:p w:rsidR="00000000" w:rsidDel="00000000" w:rsidP="00000000" w:rsidRDefault="00000000" w:rsidRPr="00000000" w14:paraId="0000003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Following are the non-functional requirements of the proposed solution.</w:t>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0"/>
        <w:gridCol w:w="1876"/>
        <w:gridCol w:w="6390"/>
        <w:tblGridChange w:id="0">
          <w:tblGrid>
            <w:gridCol w:w="750"/>
            <w:gridCol w:w="1876"/>
            <w:gridCol w:w="6390"/>
          </w:tblGrid>
        </w:tblGridChange>
      </w:tblGrid>
      <w:tr>
        <w:trPr>
          <w:cantSplit w:val="0"/>
          <w:tblHeader w:val="0"/>
        </w:trPr>
        <w:tc>
          <w:tcPr>
            <w:tcBorders>
              <w:top w:val="single" w:sz="4" w:space="0" w:color="CCCCCC"/>
              <w:left w:val="single" w:sz="4" w:space="0" w:color="CCCCCC"/>
              <w:bottom w:val="single" w:sz="4" w:space="0" w:color="CCCCCC"/>
              <w:right w:val="single" w:sz="4" w:space="0" w:color="CCCCCC"/>
            </w:tcBorders>
            <w:shd w:fill="F1F5F9"/>
          </w:tcPr>
          <w:p w:rsidR="00000000" w:rsidDel="00000000" w:rsidP="00000000" w:rsidRDefault="00000000" w:rsidRPr="00000000" w14:paraId="0000003E">
            <w:pPr>
              <w:spacing w:after="160" w:line="259" w:lineRule="auto"/>
              <w:rPr>
                <w:rFonts w:ascii="Calibri" w:cs="Calibri" w:eastAsia="Calibri" w:hAnsi="Calibri"/>
                <w:b w:val="1"/>
              </w:rPr>
            </w:pPr>
            <w:r w:rsidDel="00000000" w:rsidR="00000000" w:rsidRPr="00000000">
              <w:rPr>
                <w:rFonts w:ascii="Calibri" w:cs="Calibri" w:eastAsia="Calibri" w:hAnsi="Calibri"/>
                <w:b/>
                <w:sz w:val="19"/>
                <w:rtl w:val="0"/>
              </w:rPr>
              <w:t xml:space="preserve">NFR No.</w:t>
            </w:r>
          </w:p>
        </w:tc>
        <w:tc>
          <w:tcPr>
            <w:tcBorders>
              <w:top w:val="single" w:sz="4" w:space="0" w:color="CCCCCC"/>
              <w:left w:val="single" w:sz="4" w:space="0" w:color="CCCCCC"/>
              <w:bottom w:val="single" w:sz="4" w:space="0" w:color="CCCCCC"/>
              <w:right w:val="single" w:sz="4" w:space="0" w:color="CCCCCC"/>
            </w:tcBorders>
            <w:shd w:fill="F1F5F9"/>
          </w:tcPr>
          <w:p w:rsidR="00000000" w:rsidDel="00000000" w:rsidP="00000000" w:rsidRDefault="00000000" w:rsidRPr="00000000" w14:paraId="0000003F">
            <w:pPr>
              <w:spacing w:after="160" w:line="259" w:lineRule="auto"/>
              <w:rPr>
                <w:rFonts w:ascii="Calibri" w:cs="Calibri" w:eastAsia="Calibri" w:hAnsi="Calibri"/>
                <w:b w:val="1"/>
              </w:rPr>
            </w:pPr>
            <w:r w:rsidDel="00000000" w:rsidR="00000000" w:rsidRPr="00000000">
              <w:rPr>
                <w:rFonts w:ascii="Calibri" w:cs="Calibri" w:eastAsia="Calibri" w:hAnsi="Calibri"/>
                <w:b/>
                <w:sz w:val="19"/>
                <w:rtl w:val="0"/>
              </w:rPr>
              <w:t xml:space="preserve">Non-Functional Requirement</w:t>
            </w:r>
          </w:p>
        </w:tc>
        <w:tc>
          <w:tcPr>
            <w:tcBorders>
              <w:top w:val="single" w:sz="4" w:space="0" w:color="CCCCCC"/>
              <w:left w:val="single" w:sz="4" w:space="0" w:color="CCCCCC"/>
              <w:bottom w:val="single" w:sz="4" w:space="0" w:color="CCCCCC"/>
              <w:right w:val="single" w:sz="4" w:space="0" w:color="CCCCCC"/>
            </w:tcBorders>
            <w:shd w:fill="F1F5F9"/>
          </w:tcPr>
          <w:p w:rsidR="00000000" w:rsidDel="00000000" w:rsidP="00000000" w:rsidRDefault="00000000" w:rsidRPr="00000000" w14:paraId="00000040">
            <w:pPr>
              <w:spacing w:after="160" w:line="259" w:lineRule="auto"/>
              <w:rPr>
                <w:rFonts w:ascii="Calibri" w:cs="Calibri" w:eastAsia="Calibri" w:hAnsi="Calibri"/>
                <w:b w:val="1"/>
              </w:rPr>
            </w:pPr>
            <w:r w:rsidDel="00000000" w:rsidR="00000000" w:rsidRPr="00000000">
              <w:rPr>
                <w:rFonts w:ascii="Calibri" w:cs="Calibri" w:eastAsia="Calibri" w:hAnsi="Calibri"/>
                <w:b/>
                <w:sz w:val="19"/>
                <w:rtl w:val="0"/>
              </w:rPr>
              <w:t xml:space="preserve">Description</w:t>
            </w:r>
          </w:p>
        </w:tc>
      </w:tr>
      <w:tr>
        <w:tc>
          <w:tcPr>
            <w:tcW w:type="dxa" w:w="750"/>
            <w:tcBorders>
              <w:top w:val="single" w:sz="4" w:space="0" w:color="CCCCCC"/>
              <w:left w:val="single" w:sz="4" w:space="0" w:color="CCCCCC"/>
              <w:bottom w:val="single" w:sz="4" w:space="0" w:color="CCCCCC"/>
              <w:right w:val="single" w:sz="4" w:space="0" w:color="CCCCCC"/>
            </w:tcBorders>
          </w:tcPr>
          <w:p>
            <w:pPr>
              <w:jc w:val="center"/>
            </w:pPr>
            <w:r>
              <w:rPr>
                <w:rFonts w:ascii="Calibri" w:hAnsi="Calibri"/>
                <w:b/>
                <w:sz w:val="18"/>
              </w:rPr>
              <w:t>NFR-1</w:t>
            </w:r>
          </w:p>
        </w:tc>
        <w:tc>
          <w:tcPr>
            <w:tcW w:type="dxa" w:w="1876"/>
            <w:tcBorders>
              <w:top w:val="single" w:sz="4" w:space="0" w:color="CCCCCC"/>
              <w:left w:val="single" w:sz="4" w:space="0" w:color="CCCCCC"/>
              <w:bottom w:val="single" w:sz="4" w:space="0" w:color="CCCCCC"/>
              <w:right w:val="single" w:sz="4" w:space="0" w:color="CCCCCC"/>
            </w:tcBorders>
          </w:tcPr>
          <w:p>
            <w:pPr>
              <w:jc w:val="left"/>
            </w:pPr>
            <w:r>
              <w:rPr>
                <w:rFonts w:ascii="Calibri" w:hAnsi="Calibri"/>
                <w:b/>
                <w:sz w:val="18"/>
              </w:rPr>
              <w:t>Usability</w:t>
            </w:r>
          </w:p>
        </w:tc>
        <w:tc>
          <w:tcPr>
            <w:tcW w:type="dxa" w:w="639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17"/>
              </w:rPr>
              <w:t>The platform adheres to human-centered editorial design principles (Forest Green #234B3B, warm gold accents, Playfair Display serif typography), providing an intuitive, clutter-free UI with tactile micro-animations and full WCAG 2.1 AA accessibility (contrast ratios &gt; 4.5:1, keyboard focus rings #276EF1).</w:t>
            </w:r>
          </w:p>
        </w:tc>
      </w:tr>
      <w:tr>
        <w:tc>
          <w:tcPr>
            <w:tcW w:type="dxa" w:w="750"/>
            <w:tcBorders>
              <w:top w:val="single" w:sz="4" w:space="0" w:color="CCCCCC"/>
              <w:left w:val="single" w:sz="4" w:space="0" w:color="CCCCCC"/>
              <w:bottom w:val="single" w:sz="4" w:space="0" w:color="CCCCCC"/>
              <w:right w:val="single" w:sz="4" w:space="0" w:color="CCCCCC"/>
            </w:tcBorders>
          </w:tcPr>
          <w:p>
            <w:pPr>
              <w:jc w:val="center"/>
            </w:pPr>
            <w:r>
              <w:rPr>
                <w:rFonts w:ascii="Calibri" w:hAnsi="Calibri"/>
                <w:b/>
                <w:sz w:val="18"/>
              </w:rPr>
              <w:t>NFR-2</w:t>
            </w:r>
          </w:p>
        </w:tc>
        <w:tc>
          <w:tcPr>
            <w:tcW w:type="dxa" w:w="1876"/>
            <w:tcBorders>
              <w:top w:val="single" w:sz="4" w:space="0" w:color="CCCCCC"/>
              <w:left w:val="single" w:sz="4" w:space="0" w:color="CCCCCC"/>
              <w:bottom w:val="single" w:sz="4" w:space="0" w:color="CCCCCC"/>
              <w:right w:val="single" w:sz="4" w:space="0" w:color="CCCCCC"/>
            </w:tcBorders>
          </w:tcPr>
          <w:p>
            <w:pPr>
              <w:jc w:val="left"/>
            </w:pPr>
            <w:r>
              <w:rPr>
                <w:rFonts w:ascii="Calibri" w:hAnsi="Calibri"/>
                <w:b/>
                <w:sz w:val="18"/>
              </w:rPr>
              <w:t>Security</w:t>
            </w:r>
          </w:p>
        </w:tc>
        <w:tc>
          <w:tcPr>
            <w:tcW w:type="dxa" w:w="639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17"/>
              </w:rPr>
              <w:t>All data transfers encrypted via HTTPS. Stateless JWT authentication with tokens in localStorage/HTTP cookies, bcrypt password hashing (10 salt rounds), role-based middleware guards, and strict route blocking on direct confirmation voucher URLs (/booking/confirmation/:ref).</w:t>
            </w:r>
          </w:p>
        </w:tc>
      </w:tr>
      <w:tr>
        <w:tc>
          <w:tcPr>
            <w:tcW w:type="dxa" w:w="750"/>
            <w:tcBorders>
              <w:top w:val="single" w:sz="4" w:space="0" w:color="CCCCCC"/>
              <w:left w:val="single" w:sz="4" w:space="0" w:color="CCCCCC"/>
              <w:bottom w:val="single" w:sz="4" w:space="0" w:color="CCCCCC"/>
              <w:right w:val="single" w:sz="4" w:space="0" w:color="CCCCCC"/>
            </w:tcBorders>
          </w:tcPr>
          <w:p>
            <w:pPr>
              <w:jc w:val="center"/>
            </w:pPr>
            <w:r>
              <w:rPr>
                <w:rFonts w:ascii="Calibri" w:hAnsi="Calibri"/>
                <w:b/>
                <w:sz w:val="18"/>
              </w:rPr>
              <w:t>NFR-3</w:t>
            </w:r>
          </w:p>
        </w:tc>
        <w:tc>
          <w:tcPr>
            <w:tcW w:type="dxa" w:w="1876"/>
            <w:tcBorders>
              <w:top w:val="single" w:sz="4" w:space="0" w:color="CCCCCC"/>
              <w:left w:val="single" w:sz="4" w:space="0" w:color="CCCCCC"/>
              <w:bottom w:val="single" w:sz="4" w:space="0" w:color="CCCCCC"/>
              <w:right w:val="single" w:sz="4" w:space="0" w:color="CCCCCC"/>
            </w:tcBorders>
          </w:tcPr>
          <w:p>
            <w:pPr>
              <w:jc w:val="left"/>
            </w:pPr>
            <w:r>
              <w:rPr>
                <w:rFonts w:ascii="Calibri" w:hAnsi="Calibri"/>
                <w:b/>
                <w:sz w:val="18"/>
              </w:rPr>
              <w:t>Reliability</w:t>
            </w:r>
          </w:p>
        </w:tc>
        <w:tc>
          <w:tcPr>
            <w:tcW w:type="dxa" w:w="639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17"/>
              </w:rPr>
              <w:t>100% offline-resilient simulated payment sandbox eliminates payment gateway network timeouts and double-deduction anxiety. Graceful degradation seamlessly falls back to bundled local mock datasets if MongoDB is temporarily unreachable.</w:t>
            </w:r>
          </w:p>
        </w:tc>
      </w:tr>
      <w:tr>
        <w:tc>
          <w:tcPr>
            <w:tcW w:type="dxa" w:w="750"/>
            <w:tcBorders>
              <w:top w:val="single" w:sz="4" w:space="0" w:color="CCCCCC"/>
              <w:left w:val="single" w:sz="4" w:space="0" w:color="CCCCCC"/>
              <w:bottom w:val="single" w:sz="4" w:space="0" w:color="CCCCCC"/>
              <w:right w:val="single" w:sz="4" w:space="0" w:color="CCCCCC"/>
            </w:tcBorders>
          </w:tcPr>
          <w:p>
            <w:pPr>
              <w:jc w:val="center"/>
            </w:pPr>
            <w:r>
              <w:rPr>
                <w:rFonts w:ascii="Calibri" w:hAnsi="Calibri"/>
                <w:b/>
                <w:sz w:val="18"/>
              </w:rPr>
              <w:t>NFR-4</w:t>
            </w:r>
          </w:p>
        </w:tc>
        <w:tc>
          <w:tcPr>
            <w:tcW w:type="dxa" w:w="1876"/>
            <w:tcBorders>
              <w:top w:val="single" w:sz="4" w:space="0" w:color="CCCCCC"/>
              <w:left w:val="single" w:sz="4" w:space="0" w:color="CCCCCC"/>
              <w:bottom w:val="single" w:sz="4" w:space="0" w:color="CCCCCC"/>
              <w:right w:val="single" w:sz="4" w:space="0" w:color="CCCCCC"/>
            </w:tcBorders>
          </w:tcPr>
          <w:p>
            <w:pPr>
              <w:jc w:val="left"/>
            </w:pPr>
            <w:r>
              <w:rPr>
                <w:rFonts w:ascii="Calibri" w:hAnsi="Calibri"/>
                <w:b/>
                <w:sz w:val="18"/>
              </w:rPr>
              <w:t>Performance</w:t>
            </w:r>
          </w:p>
        </w:tc>
        <w:tc>
          <w:tcPr>
            <w:tcW w:type="dxa" w:w="639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17"/>
              </w:rPr>
              <w:t>Initial page loads complete under 1.0 second powered by Vite module bundling and React 19 concurrent features. Hotel search filtering executes in under 50ms with debouncing. Payment sandbox simulation approves within 600–850ms.</w:t>
            </w:r>
          </w:p>
        </w:tc>
      </w:tr>
      <w:tr>
        <w:tc>
          <w:tcPr>
            <w:tcW w:type="dxa" w:w="750"/>
            <w:tcBorders>
              <w:top w:val="single" w:sz="4" w:space="0" w:color="CCCCCC"/>
              <w:left w:val="single" w:sz="4" w:space="0" w:color="CCCCCC"/>
              <w:bottom w:val="single" w:sz="4" w:space="0" w:color="CCCCCC"/>
              <w:right w:val="single" w:sz="4" w:space="0" w:color="CCCCCC"/>
            </w:tcBorders>
          </w:tcPr>
          <w:p>
            <w:pPr>
              <w:jc w:val="center"/>
            </w:pPr>
            <w:r>
              <w:rPr>
                <w:rFonts w:ascii="Calibri" w:hAnsi="Calibri"/>
                <w:b/>
                <w:sz w:val="18"/>
              </w:rPr>
              <w:t>NFR-5</w:t>
            </w:r>
          </w:p>
        </w:tc>
        <w:tc>
          <w:tcPr>
            <w:tcW w:type="dxa" w:w="1876"/>
            <w:tcBorders>
              <w:top w:val="single" w:sz="4" w:space="0" w:color="CCCCCC"/>
              <w:left w:val="single" w:sz="4" w:space="0" w:color="CCCCCC"/>
              <w:bottom w:val="single" w:sz="4" w:space="0" w:color="CCCCCC"/>
              <w:right w:val="single" w:sz="4" w:space="0" w:color="CCCCCC"/>
            </w:tcBorders>
          </w:tcPr>
          <w:p>
            <w:pPr>
              <w:jc w:val="left"/>
            </w:pPr>
            <w:r>
              <w:rPr>
                <w:rFonts w:ascii="Calibri" w:hAnsi="Calibri"/>
                <w:b/>
                <w:sz w:val="18"/>
              </w:rPr>
              <w:t>Availability</w:t>
            </w:r>
          </w:p>
        </w:tc>
        <w:tc>
          <w:tcPr>
            <w:tcW w:type="dxa" w:w="639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17"/>
              </w:rPr>
              <w:t>Architected for 99.9% uptime across all operational services. Front-desk check-in, key assignment, and housekeeping status toggling are cached locally in client state, ensuring continuous 24/7 lobby and room operations during transient network outages.</w:t>
            </w:r>
          </w:p>
        </w:tc>
      </w:tr>
      <w:tr>
        <w:tc>
          <w:tcPr>
            <w:tcW w:type="dxa" w:w="750"/>
            <w:tcBorders>
              <w:top w:val="single" w:sz="4" w:space="0" w:color="CCCCCC"/>
              <w:left w:val="single" w:sz="4" w:space="0" w:color="CCCCCC"/>
              <w:bottom w:val="single" w:sz="4" w:space="0" w:color="CCCCCC"/>
              <w:right w:val="single" w:sz="4" w:space="0" w:color="CCCCCC"/>
            </w:tcBorders>
          </w:tcPr>
          <w:p>
            <w:pPr>
              <w:jc w:val="center"/>
            </w:pPr>
            <w:r>
              <w:rPr>
                <w:rFonts w:ascii="Calibri" w:hAnsi="Calibri"/>
                <w:b/>
                <w:sz w:val="18"/>
              </w:rPr>
              <w:t>NFR-6</w:t>
            </w:r>
          </w:p>
        </w:tc>
        <w:tc>
          <w:tcPr>
            <w:tcW w:type="dxa" w:w="1876"/>
            <w:tcBorders>
              <w:top w:val="single" w:sz="4" w:space="0" w:color="CCCCCC"/>
              <w:left w:val="single" w:sz="4" w:space="0" w:color="CCCCCC"/>
              <w:bottom w:val="single" w:sz="4" w:space="0" w:color="CCCCCC"/>
              <w:right w:val="single" w:sz="4" w:space="0" w:color="CCCCCC"/>
            </w:tcBorders>
          </w:tcPr>
          <w:p>
            <w:pPr>
              <w:jc w:val="left"/>
            </w:pPr>
            <w:r>
              <w:rPr>
                <w:rFonts w:ascii="Calibri" w:hAnsi="Calibri"/>
                <w:b/>
                <w:sz w:val="18"/>
              </w:rPr>
              <w:t>Scalability</w:t>
            </w:r>
          </w:p>
        </w:tc>
        <w:tc>
          <w:tcPr>
            <w:tcW w:type="dxa" w:w="6390"/>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sz w:val="17"/>
              </w:rPr>
              <w:t>Decoupled 3-tier architecture with stateless Express REST endpoints and indexed Mongoose schema collections. Optimized using IPv4 loopback (127.0.0.1:27017) to eliminate Windows IPv6 (::1) DNS resolution latency, supporting high concurrency and easy cloud migration.</w:t>
            </w:r>
          </w:p>
        </w:tc>
      </w:tr>
    </w:tbl>
    <w:p w:rsidR="00000000" w:rsidDel="00000000" w:rsidP="00000000" w:rsidRDefault="00000000" w:rsidRPr="00000000" w14:paraId="0000006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QAKFbORe2qDGx7EsTgx28tMuAw==">CgMxLjA4AHIhMS1oQ2ZVNjhCZEEzUHQzRDk4SllUalZFRWx2UTMtQVg0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