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HP-MERN-2026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>
        <w:rPr>
          <w:rFonts w:ascii="Calibri" w:hAnsi="Calibri"/>
          <w:sz w:val="19"/>
        </w:rPr>
        <w:t>The HotelPro platform is designed with a high-performance, human-centered 3-tier architecture comprising a presentation layer (React 19 + Vite frontend), business logic layer (Node.js + Express REST API), and persistent data storage layer (MongoDB Community Server 9.0). The solution ensures responsive user interactions, 100% offline payment resilience, role-based security, and seamless front-desk/housekeeping operational synchronization.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398" w:hRule="atLeast"/>
          <w:tblHeader w:val="1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S.No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Component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Description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Technology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User Interface &amp; Presentation Layer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Web-based editorial interface for guests, front-desk staff, housekeeping managers, and admins; Redwerk design system, WCAG 2.1 AA accessibility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React 19.2, Vite, Vanilla CSS Design Tokens, Lucide Icons, Recharts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Application Logic Tier (Backend API)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RESTful API controllers, JWT authentication, RBAC authorization middleware, room booking computation, stay receipt verification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Node.js, Express.js, JWT, Bcrypt.js, CORS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Resilient Offline Payment Sandbox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Zero-failure offline payment simulation supporting Credit/Debit Card, UPI QR, Net Banking, and Pay at Property with instant voucher generation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Client-side Sandbox Engine, LocalStorage persistence, QR code generator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Database &amp; Persistence Layer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Stores user accounts, hotel properties, room inventory, booking transactions, stay vouchers, room sanitation statuses, and audit logs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MongoDB Community Server 9.0 (Mongoose ODM) with offline mock fallback tier</w:t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5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S.No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Characteristics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Description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/>
                <w:bCs w:val="1"/>
                <w:sz w:val="19"/>
                <w:rtl w:val="0"/>
              </w:rPr>
              <w:t xml:space="preserve">Technology 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Open-Source Modern Frameworks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Modern component architecture, ultra-fast build tooling, and modular serverless-ready JavaScript runtime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React 19, Vite, Node.js, Express.js, Mongoose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Scalable 3-Tier Architecture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Decoupled client, RESTful API controllers, and indexed database collections with IPv4 loopback optimization (127.0.0.1:27017)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3-Tier Architecture (Client-Server-Database), MVC / Controller-Service Pattern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7.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High Concurrency &amp; Low Latency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Debounced search queries (&lt;50ms), simulated payment validation (600–850ms), sub-second page paint times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Asynchronous I/O, In-Memory State Caching, Vite Bundler</w:t>
            </w:r>
          </w:p>
        </w:tc>
      </w:tr>
      <w:tr>
        <w:tc>
          <w:tcPr>
            <w:tcW w:type="dxa" w:w="6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8.</w:t>
            </w:r>
          </w:p>
        </w:tc>
        <w:tc>
          <w:tcPr>
            <w:tcW w:type="dxa" w:w="2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Enterprise Security &amp; Privacy</w:t>
            </w:r>
          </w:p>
        </w:tc>
        <w:tc>
          <w:tcPr>
            <w:tcW w:type="dxa" w:w="38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Stateless JWT session tokens, encrypted password hashing, direct voucher route protection, role-based endpoint isolation</w:t>
            </w:r>
          </w:p>
        </w:tc>
        <w:tc>
          <w:tcPr>
            <w:tcW w:type="dxa" w:w="3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RBAC, Bcrypt (10 rounds), Route Guards, CORS</w:t>
            </w:r>
          </w:p>
        </w:tc>
      </w:tr>
    </w:tbl>
    <w:p w:rsidR="00000000" w:rsidDel="00000000" w:rsidP="00000000" w:rsidRDefault="00000000" w:rsidRPr="00000000" w14:paraId="0000003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b w:val="1"/>
          <w:bCs w:val="1"/>
        </w:rPr>
      </w:pPr>
      <w:r>
        <w:rPr>
          <w:rFonts w:ascii="Calibri" w:hAnsi="Calibri"/>
          <w:b/>
          <w:sz w:val="22"/>
        </w:rPr>
        <w:t>References:</w:t>
      </w:r>
    </w:p>
    <w:p>
      <w:pPr>
        <w:spacing w:after="40"/>
        <w:ind w:left="360"/>
      </w:pPr>
      <w:r>
        <w:rPr>
          <w:rFonts w:ascii="Calibri" w:hAnsi="Calibri"/>
          <w:color w:val="234B3B"/>
          <w:sz w:val="19"/>
        </w:rPr>
        <w:t xml:space="preserve">●  </w:t>
      </w:r>
      <w:r>
        <w:rPr>
          <w:rFonts w:ascii="Calibri" w:hAnsi="Calibri"/>
          <w:sz w:val="19"/>
        </w:rPr>
        <w:t>React.js Documentation — https://react.dev/</w:t>
      </w:r>
    </w:p>
    <w:p>
      <w:pPr>
        <w:spacing w:after="40"/>
        <w:ind w:left="360"/>
      </w:pPr>
      <w:r>
        <w:rPr>
          <w:rFonts w:ascii="Calibri" w:hAnsi="Calibri"/>
          <w:color w:val="234B3B"/>
          <w:sz w:val="19"/>
        </w:rPr>
        <w:t xml:space="preserve">●  </w:t>
      </w:r>
      <w:r>
        <w:rPr>
          <w:rFonts w:ascii="Calibri" w:hAnsi="Calibri"/>
          <w:sz w:val="19"/>
        </w:rPr>
        <w:t>Node.js Security Best Practices — https://nodejs.org/en/learn/getting-started/security-best-practices</w:t>
      </w:r>
    </w:p>
    <w:p>
      <w:pPr>
        <w:spacing w:after="40"/>
        <w:ind w:left="360"/>
      </w:pPr>
      <w:r>
        <w:rPr>
          <w:rFonts w:ascii="Calibri" w:hAnsi="Calibri"/>
          <w:color w:val="234B3B"/>
          <w:sz w:val="19"/>
        </w:rPr>
        <w:t xml:space="preserve">●  </w:t>
      </w:r>
      <w:r>
        <w:rPr>
          <w:rFonts w:ascii="Calibri" w:hAnsi="Calibri"/>
          <w:sz w:val="19"/>
        </w:rPr>
        <w:t>Express.js Performance &amp; Production Best Practices — https://expressjs.com/en/advanced/best-practice-performance.html</w:t>
      </w:r>
    </w:p>
    <w:p>
      <w:pPr>
        <w:spacing w:after="40"/>
        <w:ind w:left="360"/>
      </w:pPr>
      <w:r>
        <w:rPr>
          <w:rFonts w:ascii="Calibri" w:hAnsi="Calibri"/>
          <w:color w:val="234B3B"/>
          <w:sz w:val="19"/>
        </w:rPr>
        <w:t xml:space="preserve">●  </w:t>
      </w:r>
      <w:r>
        <w:rPr>
          <w:rFonts w:ascii="Calibri" w:hAnsi="Calibri"/>
          <w:sz w:val="19"/>
        </w:rPr>
        <w:t>MongoDB Manual &amp; Mongoose Modeling Guide — https://mongoosejs.com/docs/guide.html</w:t>
      </w:r>
    </w:p>
    <w:p>
      <w:pPr>
        <w:spacing w:after="40"/>
        <w:ind w:left="360"/>
      </w:pPr>
      <w:r>
        <w:rPr>
          <w:rFonts w:ascii="Calibri" w:hAnsi="Calibri"/>
          <w:color w:val="234B3B"/>
          <w:sz w:val="19"/>
        </w:rPr>
        <w:t xml:space="preserve">●  </w:t>
      </w:r>
      <w:r>
        <w:rPr>
          <w:rFonts w:ascii="Calibri" w:hAnsi="Calibri"/>
          <w:sz w:val="19"/>
        </w:rPr>
        <w:t>Technical Architecture &amp; System Design Guidelines — https://medium.com/the-internal-startup/how-to-draw-useful-technical-architecture-diagrams-2d20c9fda90d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