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B57"/>
          <w:sz w:val="68"/>
        </w:rPr>
        <w:t>SENTINELDICOM</w:t>
      </w:r>
    </w:p>
    <w:p>
      <w:pPr>
        <w:jc w:val="center"/>
      </w:pPr>
      <w:r>
        <w:rPr>
          <w:rFonts w:ascii="Aptos Display" w:hAnsi="Aptos Display"/>
          <w:b/>
          <w:color w:val="25607A"/>
          <w:sz w:val="56"/>
        </w:rPr>
        <w:t>VEILGUARD</w:t>
      </w:r>
    </w:p>
    <w:p>
      <w:pPr>
        <w:jc w:val="center"/>
      </w:pPr>
      <w:r>
        <w:rPr>
          <w:rFonts w:ascii="Aptos Display" w:hAnsi="Aptos Display"/>
          <w:b/>
          <w:color w:val="374151"/>
          <w:sz w:val="32"/>
        </w:rPr>
        <w:t>Next-Generation DICOM De-Identification &amp; Diagnostic Integrity Platform</w:t>
      </w:r>
    </w:p>
    <w:tbl>
      <w:tblPr>
        <w:tblW w:type="auto" w:w="0"/>
        <w:jc w:val="center"/>
        <w:tblLook w:firstColumn="1" w:firstRow="1" w:lastColumn="0" w:lastRow="0" w:noHBand="0" w:noVBand="1" w:val="04A0"/>
      </w:tblPr>
      <w:tblGrid>
        <w:gridCol w:w="10080"/>
      </w:tblGrid>
      <w:tr>
        <w:tc>
          <w:tcPr>
            <w:tcW w:type="dxa" w:w="10080"/>
            <w:shd w:fill="EEF5FA"/>
            <w:tcBorders>
              <w:top w:val="single" w:sz="8" w:color="173B57"/>
              <w:left w:val="single" w:sz="8" w:color="173B57"/>
              <w:bottom w:val="single" w:sz="8" w:color="173B57"/>
              <w:right w:val="single" w:sz="8" w:color="173B57"/>
            </w:tcBorders>
          </w:tcPr>
          <w:p>
            <w:pPr>
              <w:spacing w:after="40"/>
            </w:pPr>
            <w:r/>
            <w:r>
              <w:rPr>
                <w:rFonts w:ascii="Aptos Display" w:hAnsi="Aptos Display"/>
                <w:b/>
                <w:color w:val="173B57"/>
                <w:sz w:val="20"/>
              </w:rPr>
              <w:t>Core thesis</w:t>
            </w:r>
          </w:p>
          <w:p>
            <w:pPr>
              <w:spacing w:after="60"/>
            </w:pPr>
            <w:r>
              <w:rPr>
                <w:rFonts w:ascii="Aptos" w:hAnsi="Aptos"/>
                <w:color w:val="243447"/>
                <w:sz w:val="18"/>
              </w:rPr>
              <w:t>Do not treat de-identification as tag deletion. Treat every DICOM study as a privacy attack surface that must be discovered, transformed, independently validated, and refused for export whenever uncertainty cannot be safely resolved.</w:t>
            </w:r>
          </w:p>
        </w:tc>
      </w:tr>
    </w:tbl>
    <w:p>
      <w:pPr>
        <w:spacing w:after="40"/>
      </w:pPr>
    </w:p>
    <w:p>
      <w:pPr>
        <w:jc w:val="center"/>
      </w:pPr>
      <w:r>
        <w:rPr>
          <w:rFonts w:ascii="Aptos" w:hAnsi="Aptos"/>
          <w:color w:val="52606D"/>
          <w:sz w:val="18"/>
        </w:rPr>
        <w:t>A merged architecture derived from the supplied SentinelDICOM blueprints and extended with a privacy-integrity co-validation, study-graph, failure-safe, and adversarial verification model.</w:t>
      </w:r>
    </w:p>
    <w:p>
      <w:pPr>
        <w:spacing w:before="480"/>
        <w:jc w:val="center"/>
      </w:pPr>
      <w:r>
        <w:rPr>
          <w:rFonts w:ascii="Aptos" w:hAnsi="Aptos"/>
          <w:color w:val="64748B"/>
          <w:sz w:val="18"/>
        </w:rPr>
        <w:t>Version 1.0  •  Research / Innovation Prototype Blueprint</w:t>
      </w:r>
    </w:p>
    <w:p>
      <w:r>
        <w:br w:type="page"/>
      </w:r>
    </w:p>
    <w:p>
      <w:pPr>
        <w:pStyle w:val="Heading1"/>
        <w:keepNext/>
      </w:pPr>
      <w:r>
        <w:t>1. Executive Summary</w:t>
      </w:r>
    </w:p>
    <w:p>
      <w:pPr>
        <w:spacing w:after="120" w:line="259" w:lineRule="auto"/>
      </w:pPr>
      <w:r>
        <w:t>SentinelDICOM VeilGuard is an offline-first desktop and integration platform for de-identifying DICOM studies before research, AI training, analytics, or controlled data sharing. The design combines standards-oriented metadata sanitization with AI-assisted pixel inspection, context-aware PHI classification, consistent pseudonymization, human review, and an independent validation gate.</w:t>
      </w:r>
    </w:p>
    <w:p>
      <w:pPr>
        <w:spacing w:after="120" w:line="259" w:lineRule="auto"/>
      </w:pPr>
      <w:r>
        <w:t>The key architecture change is to separate the transformation path from the verification path. The anonymizer is not considered successful merely because it produced a new file. A candidate output must independently pass three truths: Privacy Truth, Pixel/Integrity Truth, and DICOM Structural Truth. Only then can the file enter the research cohort.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Capability</w:t>
            </w:r>
          </w:p>
        </w:tc>
        <w:tc>
          <w:tcPr>
            <w:tcW w:type="dxa" w:w="460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What VeilGuard does</w:t>
            </w:r>
          </w:p>
        </w:tc>
        <w:tc>
          <w:tcPr>
            <w:tcW w:type="dxa" w:w="316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Why it matters</w:t>
            </w:r>
          </w:p>
        </w:tc>
      </w:tr>
      <w:tr>
        <w:tc>
          <w:tcPr>
            <w:tcW w:type="dxa" w:w="2160"/>
            <w:vAlign w:val="center"/>
          </w:tcPr>
          <w:p>
            <w:pPr>
              <w:spacing w:after="0"/>
            </w:pPr>
            <w:r/>
            <w:r>
              <w:rPr>
                <w:rFonts w:ascii="Aptos" w:hAnsi="Aptos"/>
                <w:b w:val="0"/>
                <w:color w:val="111827"/>
                <w:sz w:val="17"/>
              </w:rPr>
              <w:t>Multi-layer PHI discovery</w:t>
            </w:r>
          </w:p>
        </w:tc>
        <w:tc>
          <w:tcPr>
            <w:tcW w:type="dxa" w:w="4608"/>
            <w:vAlign w:val="center"/>
          </w:tcPr>
          <w:p>
            <w:pPr>
              <w:spacing w:after="0"/>
            </w:pPr>
            <w:r/>
            <w:r>
              <w:rPr>
                <w:rFonts w:ascii="Aptos" w:hAnsi="Aptos"/>
                <w:b w:val="0"/>
                <w:color w:val="111827"/>
                <w:sz w:val="17"/>
              </w:rPr>
              <w:t>Scans public tags, private tags, nested sequences, free text, encapsulated payloads, overlays, pixels, OCR text, and machine-readable codes.</w:t>
            </w:r>
          </w:p>
        </w:tc>
        <w:tc>
          <w:tcPr>
            <w:tcW w:type="dxa" w:w="3168"/>
            <w:vAlign w:val="center"/>
          </w:tcPr>
          <w:p>
            <w:pPr>
              <w:spacing w:after="0"/>
            </w:pPr>
            <w:r/>
            <w:r>
              <w:rPr>
                <w:rFonts w:ascii="Aptos" w:hAnsi="Aptos"/>
                <w:b w:val="0"/>
                <w:color w:val="111827"/>
                <w:sz w:val="17"/>
              </w:rPr>
              <w:t>PHI can survive simple metadata deletion.</w:t>
            </w:r>
          </w:p>
        </w:tc>
      </w:tr>
      <w:tr>
        <w:tc>
          <w:tcPr>
            <w:tcW w:type="dxa" w:w="2160"/>
            <w:vAlign w:val="center"/>
            <w:shd w:fill="F5F7FA"/>
          </w:tcPr>
          <w:p>
            <w:pPr>
              <w:spacing w:after="0"/>
            </w:pPr>
            <w:r/>
            <w:r>
              <w:rPr>
                <w:rFonts w:ascii="Aptos" w:hAnsi="Aptos"/>
                <w:b w:val="0"/>
                <w:color w:val="111827"/>
                <w:sz w:val="17"/>
              </w:rPr>
              <w:t>Context-aware pixel protection</w:t>
            </w:r>
          </w:p>
        </w:tc>
        <w:tc>
          <w:tcPr>
            <w:tcW w:type="dxa" w:w="4608"/>
            <w:vAlign w:val="center"/>
            <w:shd w:fill="F5F7FA"/>
          </w:tcPr>
          <w:p>
            <w:pPr>
              <w:spacing w:after="0"/>
            </w:pPr>
            <w:r/>
            <w:r>
              <w:rPr>
                <w:rFonts w:ascii="Aptos" w:hAnsi="Aptos"/>
                <w:b w:val="0"/>
                <w:color w:val="111827"/>
                <w:sz w:val="17"/>
              </w:rPr>
              <w:t>Separates patient/hospital identifiers from clinical markers, scales, orientation labels, and operational annotations.</w:t>
            </w:r>
          </w:p>
        </w:tc>
        <w:tc>
          <w:tcPr>
            <w:tcW w:type="dxa" w:w="3168"/>
            <w:vAlign w:val="center"/>
            <w:shd w:fill="F5F7FA"/>
          </w:tcPr>
          <w:p>
            <w:pPr>
              <w:spacing w:after="0"/>
            </w:pPr>
            <w:r/>
            <w:r>
              <w:rPr>
                <w:rFonts w:ascii="Aptos" w:hAnsi="Aptos"/>
                <w:b w:val="0"/>
                <w:color w:val="111827"/>
                <w:sz w:val="17"/>
              </w:rPr>
              <w:t>Avoids turning privacy cleaning into diagnostic damage.</w:t>
            </w:r>
          </w:p>
        </w:tc>
      </w:tr>
      <w:tr>
        <w:tc>
          <w:tcPr>
            <w:tcW w:type="dxa" w:w="2160"/>
            <w:vAlign w:val="center"/>
          </w:tcPr>
          <w:p>
            <w:pPr>
              <w:spacing w:after="0"/>
            </w:pPr>
            <w:r/>
            <w:r>
              <w:rPr>
                <w:rFonts w:ascii="Aptos" w:hAnsi="Aptos"/>
                <w:b w:val="0"/>
                <w:color w:val="111827"/>
                <w:sz w:val="17"/>
              </w:rPr>
              <w:t>Study-level identity management</w:t>
            </w:r>
          </w:p>
        </w:tc>
        <w:tc>
          <w:tcPr>
            <w:tcW w:type="dxa" w:w="4608"/>
            <w:vAlign w:val="center"/>
          </w:tcPr>
          <w:p>
            <w:pPr>
              <w:spacing w:after="0"/>
            </w:pPr>
            <w:r/>
            <w:r>
              <w:rPr>
                <w:rFonts w:ascii="Aptos" w:hAnsi="Aptos"/>
                <w:b w:val="0"/>
                <w:color w:val="111827"/>
                <w:sz w:val="17"/>
              </w:rPr>
              <w:t>Builds a Patient → Study → Series → Instance graph and remaps linked UIDs consistently.</w:t>
            </w:r>
          </w:p>
        </w:tc>
        <w:tc>
          <w:tcPr>
            <w:tcW w:type="dxa" w:w="3168"/>
            <w:vAlign w:val="center"/>
          </w:tcPr>
          <w:p>
            <w:pPr>
              <w:spacing w:after="0"/>
            </w:pPr>
            <w:r/>
            <w:r>
              <w:rPr>
                <w:rFonts w:ascii="Aptos" w:hAnsi="Aptos"/>
                <w:b w:val="0"/>
                <w:color w:val="111827"/>
                <w:sz w:val="17"/>
              </w:rPr>
              <w:t>Preserves longitudinal and cross-series relationships.</w:t>
            </w:r>
          </w:p>
        </w:tc>
      </w:tr>
      <w:tr>
        <w:tc>
          <w:tcPr>
            <w:tcW w:type="dxa" w:w="2160"/>
            <w:vAlign w:val="center"/>
            <w:shd w:fill="F5F7FA"/>
          </w:tcPr>
          <w:p>
            <w:pPr>
              <w:spacing w:after="0"/>
            </w:pPr>
            <w:r/>
            <w:r>
              <w:rPr>
                <w:rFonts w:ascii="Aptos" w:hAnsi="Aptos"/>
                <w:b w:val="0"/>
                <w:color w:val="111827"/>
                <w:sz w:val="17"/>
              </w:rPr>
              <w:t>Uncertainty-aware decisions</w:t>
            </w:r>
          </w:p>
        </w:tc>
        <w:tc>
          <w:tcPr>
            <w:tcW w:type="dxa" w:w="4608"/>
            <w:vAlign w:val="center"/>
            <w:shd w:fill="F5F7FA"/>
          </w:tcPr>
          <w:p>
            <w:pPr>
              <w:spacing w:after="0"/>
            </w:pPr>
            <w:r/>
            <w:r>
              <w:rPr>
                <w:rFonts w:ascii="Aptos" w:hAnsi="Aptos"/>
                <w:b w:val="0"/>
                <w:color w:val="111827"/>
                <w:sz w:val="17"/>
              </w:rPr>
              <w:t>Routes high-confidence cases to automation and ambiguous/high-impact cases to human review.</w:t>
            </w:r>
          </w:p>
        </w:tc>
        <w:tc>
          <w:tcPr>
            <w:tcW w:type="dxa" w:w="3168"/>
            <w:vAlign w:val="center"/>
            <w:shd w:fill="F5F7FA"/>
          </w:tcPr>
          <w:p>
            <w:pPr>
              <w:spacing w:after="0"/>
            </w:pPr>
            <w:r/>
            <w:r>
              <w:rPr>
                <w:rFonts w:ascii="Aptos" w:hAnsi="Aptos"/>
                <w:b w:val="0"/>
                <w:color w:val="111827"/>
                <w:sz w:val="17"/>
              </w:rPr>
              <w:t>Acknowledge model uncertainty instead of silently guessing.</w:t>
            </w:r>
          </w:p>
        </w:tc>
      </w:tr>
      <w:tr>
        <w:tc>
          <w:tcPr>
            <w:tcW w:type="dxa" w:w="2160"/>
            <w:vAlign w:val="center"/>
          </w:tcPr>
          <w:p>
            <w:pPr>
              <w:spacing w:after="0"/>
            </w:pPr>
            <w:r/>
            <w:r>
              <w:rPr>
                <w:rFonts w:ascii="Aptos" w:hAnsi="Aptos"/>
                <w:b w:val="0"/>
                <w:color w:val="111827"/>
                <w:sz w:val="17"/>
              </w:rPr>
              <w:t>Independent release gate</w:t>
            </w:r>
          </w:p>
        </w:tc>
        <w:tc>
          <w:tcPr>
            <w:tcW w:type="dxa" w:w="4608"/>
            <w:vAlign w:val="center"/>
          </w:tcPr>
          <w:p>
            <w:pPr>
              <w:spacing w:after="0"/>
            </w:pPr>
            <w:r/>
            <w:r>
              <w:rPr>
                <w:rFonts w:ascii="Aptos" w:hAnsi="Aptos"/>
                <w:b w:val="0"/>
                <w:color w:val="111827"/>
                <w:sz w:val="17"/>
              </w:rPr>
              <w:t>Re-scans for residual PHI, checks DICOM validity and UID closure, and verifies changed-pixel containment.</w:t>
            </w:r>
          </w:p>
        </w:tc>
        <w:tc>
          <w:tcPr>
            <w:tcW w:type="dxa" w:w="3168"/>
            <w:vAlign w:val="center"/>
          </w:tcPr>
          <w:p>
            <w:pPr>
              <w:spacing w:after="0"/>
            </w:pPr>
            <w:r/>
            <w:r>
              <w:rPr>
                <w:rFonts w:ascii="Aptos" w:hAnsi="Aptos"/>
                <w:b w:val="0"/>
                <w:color w:val="111827"/>
                <w:sz w:val="17"/>
              </w:rPr>
              <w:t>Produces evidence, not just a success message.</w:t>
            </w:r>
          </w:p>
        </w:tc>
      </w:tr>
      <w:tr>
        <w:tc>
          <w:tcPr>
            <w:tcW w:type="dxa" w:w="2160"/>
            <w:vAlign w:val="center"/>
            <w:shd w:fill="F5F7FA"/>
          </w:tcPr>
          <w:p>
            <w:pPr>
              <w:spacing w:after="0"/>
            </w:pPr>
            <w:r/>
            <w:r>
              <w:rPr>
                <w:rFonts w:ascii="Aptos" w:hAnsi="Aptos"/>
                <w:b w:val="0"/>
                <w:color w:val="111827"/>
                <w:sz w:val="17"/>
              </w:rPr>
              <w:t>Audit and provenance</w:t>
            </w:r>
          </w:p>
        </w:tc>
        <w:tc>
          <w:tcPr>
            <w:tcW w:type="dxa" w:w="4608"/>
            <w:vAlign w:val="center"/>
            <w:shd w:fill="F5F7FA"/>
          </w:tcPr>
          <w:p>
            <w:pPr>
              <w:spacing w:after="0"/>
            </w:pPr>
            <w:r/>
            <w:r>
              <w:rPr>
                <w:rFonts w:ascii="Aptos" w:hAnsi="Aptos"/>
                <w:b w:val="0"/>
                <w:color w:val="111827"/>
                <w:sz w:val="17"/>
              </w:rPr>
              <w:t>Generates PHI-minimized, hash-chained audit records and a processing certificate.</w:t>
            </w:r>
          </w:p>
        </w:tc>
        <w:tc>
          <w:tcPr>
            <w:tcW w:type="dxa" w:w="3168"/>
            <w:vAlign w:val="center"/>
            <w:shd w:fill="F5F7FA"/>
          </w:tcPr>
          <w:p>
            <w:pPr>
              <w:spacing w:after="0"/>
            </w:pPr>
            <w:r/>
            <w:r>
              <w:rPr>
                <w:rFonts w:ascii="Aptos" w:hAnsi="Aptos"/>
                <w:b w:val="0"/>
                <w:color w:val="111827"/>
                <w:sz w:val="17"/>
              </w:rPr>
              <w:t>Makes the workflow traceable and tamper-evident.</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8ED"/>
            <w:tcBorders>
              <w:top w:val="single" w:sz="8" w:color="9A6A18"/>
              <w:left w:val="single" w:sz="8" w:color="9A6A18"/>
              <w:bottom w:val="single" w:sz="8" w:color="9A6A18"/>
              <w:right w:val="single" w:sz="8" w:color="9A6A18"/>
            </w:tcBorders>
          </w:tcPr>
          <w:p>
            <w:pPr>
              <w:spacing w:after="40"/>
            </w:pPr>
            <w:r/>
            <w:r>
              <w:rPr>
                <w:rFonts w:ascii="Aptos Display" w:hAnsi="Aptos Display"/>
                <w:b/>
                <w:color w:val="9A6A18"/>
                <w:sz w:val="20"/>
              </w:rPr>
              <w:t>Design boundary</w:t>
            </w:r>
          </w:p>
          <w:p>
            <w:pPr>
              <w:spacing w:after="60"/>
            </w:pPr>
            <w:r>
              <w:rPr>
                <w:rFonts w:ascii="Aptos" w:hAnsi="Aptos"/>
                <w:color w:val="243447"/>
                <w:sz w:val="18"/>
              </w:rPr>
              <w:t>The system should report that a dataset was processed under a selected policy and validation profile. It should not make a blanket legal claim that an arbitrary output is automatically “HIPAA compliant” or risk-free. Regulatory determinations remain policy-, jurisdiction-, and use-case-dependent.</w:t>
            </w:r>
          </w:p>
        </w:tc>
      </w:tr>
    </w:tbl>
    <w:p>
      <w:pPr>
        <w:spacing w:after="40"/>
      </w:pPr>
    </w:p>
    <w:p>
      <w:pPr>
        <w:pStyle w:val="Heading1"/>
        <w:keepNext/>
      </w:pPr>
      <w:r>
        <w:t>2. Design Goals, Non-Goals &amp; North-Star Principles</w:t>
      </w:r>
    </w:p>
    <w:p>
      <w:pPr>
        <w:pStyle w:val="Heading2"/>
        <w:keepNext/>
      </w:pPr>
      <w:r>
        <w:t>2.1 North-star outcome</w:t>
      </w:r>
    </w:p>
    <w:p>
      <w:pPr>
        <w:spacing w:after="120" w:line="259" w:lineRule="auto"/>
      </w:pPr>
      <w:r>
        <w:t>The output should be a research-ready DICOM object whose direct identifiers, hidden identifiers, and unnecessary visual identifiers have been systematically addressed, while medically relevant structure remains intact to the extent permitted by the selected policy.</w:t>
      </w:r>
    </w:p>
    <w:p>
      <w:pPr>
        <w:pStyle w:val="Heading2"/>
        <w:keepNext/>
      </w:pPr>
      <w:r>
        <w:t>2.2 Design principles</w:t>
      </w:r>
    </w:p>
    <w:p>
      <w:pPr>
        <w:spacing w:after="40"/>
        <w:ind w:left="72" w:hanging="72"/>
      </w:pPr>
      <w:r>
        <w:rPr>
          <w:b/>
        </w:rPr>
        <w:t xml:space="preserve">1.  </w:t>
      </w:r>
      <w:r>
        <w:rPr>
          <w:b/>
        </w:rPr>
        <w:t xml:space="preserve">Defense in depth. </w:t>
      </w:r>
      <w:r>
        <w:t>Never rely on one tag list, one DICOM flag, one OCR engine, or one model.</w:t>
      </w:r>
    </w:p>
    <w:p>
      <w:pPr>
        <w:spacing w:after="40"/>
        <w:ind w:left="72" w:hanging="72"/>
      </w:pPr>
      <w:r>
        <w:rPr>
          <w:b/>
        </w:rPr>
        <w:t xml:space="preserve">2.  </w:t>
      </w:r>
      <w:r>
        <w:rPr>
          <w:b/>
        </w:rPr>
        <w:t xml:space="preserve">Fail closed. </w:t>
      </w:r>
      <w:r>
        <w:t>Uncertainty, parser failure, integrity failure, or unresolved references must not silently produce an exportable file.</w:t>
      </w:r>
    </w:p>
    <w:p>
      <w:pPr>
        <w:spacing w:after="40"/>
        <w:ind w:left="72" w:hanging="72"/>
      </w:pPr>
      <w:r>
        <w:rPr>
          <w:b/>
        </w:rPr>
        <w:t xml:space="preserve">3.  </w:t>
      </w:r>
      <w:r>
        <w:rPr>
          <w:b/>
        </w:rPr>
        <w:t xml:space="preserve">Preserve relationships. </w:t>
      </w:r>
      <w:r>
        <w:t>A study is a graph, not a bag of independent .dcm files.</w:t>
      </w:r>
    </w:p>
    <w:p>
      <w:pPr>
        <w:spacing w:after="40"/>
        <w:ind w:left="72" w:hanging="72"/>
      </w:pPr>
      <w:r>
        <w:rPr>
          <w:b/>
        </w:rPr>
        <w:t xml:space="preserve">4.  </w:t>
      </w:r>
      <w:r>
        <w:rPr>
          <w:b/>
        </w:rPr>
        <w:t xml:space="preserve">Preserve evidence. </w:t>
      </w:r>
      <w:r>
        <w:t>Every transformation should leave a PHI-minimized, cryptographically linked audit trail.</w:t>
      </w:r>
    </w:p>
    <w:p>
      <w:pPr>
        <w:spacing w:after="40"/>
        <w:ind w:left="72" w:hanging="72"/>
      </w:pPr>
      <w:r>
        <w:rPr>
          <w:b/>
        </w:rPr>
        <w:t xml:space="preserve">5.  </w:t>
      </w:r>
      <w:r>
        <w:rPr>
          <w:b/>
        </w:rPr>
        <w:t xml:space="preserve">Prefer deterministic and reversible controls where required. </w:t>
      </w:r>
      <w:r>
        <w:t>Longitudinal linkage should be policy-controlled, not achieved by exposing original identifiers.</w:t>
      </w:r>
    </w:p>
    <w:p>
      <w:pPr>
        <w:spacing w:after="40"/>
        <w:ind w:left="72" w:hanging="72"/>
      </w:pPr>
      <w:r>
        <w:rPr>
          <w:b/>
        </w:rPr>
        <w:t xml:space="preserve">6.  </w:t>
      </w:r>
      <w:r>
        <w:rPr>
          <w:b/>
        </w:rPr>
        <w:t xml:space="preserve">Never manufacture clinical truth casually. </w:t>
      </w:r>
      <w:r>
        <w:t>Generative inpainting is optional and experimental; deterministic masking/local background restoration is the safe default.</w:t>
      </w:r>
    </w:p>
    <w:p>
      <w:pPr>
        <w:spacing w:after="40"/>
        <w:ind w:left="72" w:hanging="72"/>
      </w:pPr>
      <w:r>
        <w:rPr>
          <w:b/>
        </w:rPr>
        <w:t xml:space="preserve">7.  </w:t>
      </w:r>
      <w:r>
        <w:rPr>
          <w:b/>
        </w:rPr>
        <w:t xml:space="preserve">Local-first privacy. </w:t>
      </w:r>
      <w:r>
        <w:t>Raw PHI should remain on the controlled workstation or clinical network unless an explicitly governed integration requires otherwise.</w:t>
      </w:r>
    </w:p>
    <w:p>
      <w:pPr>
        <w:pStyle w:val="Heading2"/>
        <w:keepNext/>
      </w:pPr>
      <w:r>
        <w:t>2.3 Explicit non-goals</w:t>
      </w:r>
    </w:p>
    <w:p>
      <w:pPr>
        <w:pStyle w:val="ListBullet"/>
        <w:spacing w:after="40"/>
        <w:ind w:left="288"/>
      </w:pPr>
      <w:r>
        <w:t>The product is not a diagnostic medical device and does not reinterpret clinical findings.</w:t>
      </w:r>
    </w:p>
    <w:p>
      <w:pPr>
        <w:pStyle w:val="ListBullet"/>
        <w:spacing w:after="40"/>
        <w:ind w:left="288"/>
      </w:pPr>
      <w:r>
        <w:t>The product does not promise zero re-identification risk; it reduces identified and reasonably foreseeable leakage surfaces according to an explicit policy.</w:t>
      </w:r>
    </w:p>
    <w:p>
      <w:pPr>
        <w:pStyle w:val="ListBullet"/>
        <w:spacing w:after="40"/>
        <w:ind w:left="288"/>
      </w:pPr>
      <w:r>
        <w:t>The product does not use an LLM as the sole authority for PHI detection.</w:t>
      </w:r>
    </w:p>
    <w:p>
      <w:pPr>
        <w:pStyle w:val="ListBullet"/>
        <w:spacing w:after="40"/>
        <w:ind w:left="288"/>
      </w:pPr>
      <w:r>
        <w:t>The product does not overwrite original DICOM files by default.</w:t>
      </w:r>
    </w:p>
    <w:p>
      <w:pPr>
        <w:pStyle w:val="Heading1"/>
        <w:keepNext/>
      </w:pPr>
      <w:r>
        <w:t>3. Deep Problem Analysis: Where DICOM De-Identification Fails</w:t>
      </w:r>
    </w:p>
    <w:p>
      <w:pPr>
        <w:spacing w:after="120" w:line="259" w:lineRule="auto"/>
      </w:pPr>
      <w:r>
        <w:t>The supplied SentinelDICOM blueprints correctly frame the problem as multi-layered. The merged architecture expands that model to include embedded documents and a distinct integrity layer. The practical attack surface is best understood as a set of leakage planes.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0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Leakage plane</w:t>
            </w:r>
          </w:p>
        </w:tc>
        <w:tc>
          <w:tcPr>
            <w:tcW w:type="dxa" w:w="244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Examples</w:t>
            </w:r>
          </w:p>
        </w:tc>
        <w:tc>
          <w:tcPr>
            <w:tcW w:type="dxa" w:w="309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Typical failure</w:t>
            </w:r>
          </w:p>
        </w:tc>
        <w:tc>
          <w:tcPr>
            <w:tcW w:type="dxa" w:w="288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VeilGuard response</w:t>
            </w:r>
          </w:p>
        </w:tc>
      </w:tr>
      <w:tr>
        <w:tc>
          <w:tcPr>
            <w:tcW w:type="dxa" w:w="1800"/>
            <w:vAlign w:val="center"/>
          </w:tcPr>
          <w:p>
            <w:pPr>
              <w:spacing w:after="0"/>
            </w:pPr>
            <w:r/>
            <w:r>
              <w:rPr>
                <w:rFonts w:ascii="Aptos" w:hAnsi="Aptos"/>
                <w:b w:val="0"/>
                <w:color w:val="111827"/>
                <w:sz w:val="16"/>
              </w:rPr>
              <w:t>Standard metadata</w:t>
            </w:r>
          </w:p>
        </w:tc>
        <w:tc>
          <w:tcPr>
            <w:tcW w:type="dxa" w:w="2448"/>
            <w:vAlign w:val="center"/>
          </w:tcPr>
          <w:p>
            <w:pPr>
              <w:spacing w:after="0"/>
            </w:pPr>
            <w:r/>
            <w:r>
              <w:rPr>
                <w:rFonts w:ascii="Aptos" w:hAnsi="Aptos"/>
                <w:b w:val="0"/>
                <w:color w:val="111827"/>
                <w:sz w:val="16"/>
              </w:rPr>
              <w:t>PatientName, PatientID, accession, dates, operators</w:t>
            </w:r>
          </w:p>
        </w:tc>
        <w:tc>
          <w:tcPr>
            <w:tcW w:type="dxa" w:w="3096"/>
            <w:vAlign w:val="center"/>
          </w:tcPr>
          <w:p>
            <w:pPr>
              <w:spacing w:after="0"/>
            </w:pPr>
            <w:r/>
            <w:r>
              <w:rPr>
                <w:rFonts w:ascii="Aptos" w:hAnsi="Aptos"/>
                <w:b w:val="0"/>
                <w:color w:val="111827"/>
                <w:sz w:val="16"/>
              </w:rPr>
              <w:t>Delete obvious tags only; miss related fields or policy-specific retention needs.</w:t>
            </w:r>
          </w:p>
        </w:tc>
        <w:tc>
          <w:tcPr>
            <w:tcW w:type="dxa" w:w="2880"/>
            <w:vAlign w:val="center"/>
          </w:tcPr>
          <w:p>
            <w:pPr>
              <w:spacing w:after="0"/>
            </w:pPr>
            <w:r/>
            <w:r>
              <w:rPr>
                <w:rFonts w:ascii="Aptos" w:hAnsi="Aptos"/>
                <w:b w:val="0"/>
                <w:color w:val="111827"/>
                <w:sz w:val="16"/>
              </w:rPr>
              <w:t>Policy-driven actions with recursive validation.</w:t>
            </w:r>
          </w:p>
        </w:tc>
      </w:tr>
      <w:tr>
        <w:tc>
          <w:tcPr>
            <w:tcW w:type="dxa" w:w="1800"/>
            <w:vAlign w:val="center"/>
            <w:shd w:fill="F5F7FA"/>
          </w:tcPr>
          <w:p>
            <w:pPr>
              <w:spacing w:after="0"/>
            </w:pPr>
            <w:r/>
            <w:r>
              <w:rPr>
                <w:rFonts w:ascii="Aptos" w:hAnsi="Aptos"/>
                <w:b w:val="0"/>
                <w:color w:val="111827"/>
                <w:sz w:val="16"/>
              </w:rPr>
              <w:t>Private / vendor tags</w:t>
            </w:r>
          </w:p>
        </w:tc>
        <w:tc>
          <w:tcPr>
            <w:tcW w:type="dxa" w:w="2448"/>
            <w:vAlign w:val="center"/>
            <w:shd w:fill="F5F7FA"/>
          </w:tcPr>
          <w:p>
            <w:pPr>
              <w:spacing w:after="0"/>
            </w:pPr>
            <w:r/>
            <w:r>
              <w:rPr>
                <w:rFonts w:ascii="Aptos" w:hAnsi="Aptos"/>
                <w:b w:val="0"/>
                <w:color w:val="111827"/>
                <w:sz w:val="16"/>
              </w:rPr>
              <w:t>Odd groups, creator blocks, proprietary strings/binary payloads</w:t>
            </w:r>
          </w:p>
        </w:tc>
        <w:tc>
          <w:tcPr>
            <w:tcW w:type="dxa" w:w="3096"/>
            <w:vAlign w:val="center"/>
            <w:shd w:fill="F5F7FA"/>
          </w:tcPr>
          <w:p>
            <w:pPr>
              <w:spacing w:after="0"/>
            </w:pPr>
            <w:r/>
            <w:r>
              <w:rPr>
                <w:rFonts w:ascii="Aptos" w:hAnsi="Aptos"/>
                <w:b w:val="0"/>
                <w:color w:val="111827"/>
                <w:sz w:val="16"/>
              </w:rPr>
              <w:t>Blacklist becomes stale or misses serialized text.</w:t>
            </w:r>
          </w:p>
        </w:tc>
        <w:tc>
          <w:tcPr>
            <w:tcW w:type="dxa" w:w="2880"/>
            <w:vAlign w:val="center"/>
            <w:shd w:fill="F5F7FA"/>
          </w:tcPr>
          <w:p>
            <w:pPr>
              <w:spacing w:after="0"/>
            </w:pPr>
            <w:r/>
            <w:r>
              <w:rPr>
                <w:rFonts w:ascii="Aptos" w:hAnsi="Aptos"/>
                <w:b w:val="0"/>
                <w:color w:val="111827"/>
                <w:sz w:val="16"/>
              </w:rPr>
              <w:t>Default quarantine/drop; explicit creator allowlists; safe structured unpackers.</w:t>
            </w:r>
          </w:p>
        </w:tc>
      </w:tr>
      <w:tr>
        <w:tc>
          <w:tcPr>
            <w:tcW w:type="dxa" w:w="1800"/>
            <w:vAlign w:val="center"/>
          </w:tcPr>
          <w:p>
            <w:pPr>
              <w:spacing w:after="0"/>
            </w:pPr>
            <w:r/>
            <w:r>
              <w:rPr>
                <w:rFonts w:ascii="Aptos" w:hAnsi="Aptos"/>
                <w:b w:val="0"/>
                <w:color w:val="111827"/>
                <w:sz w:val="16"/>
              </w:rPr>
              <w:t>Nested DICOM sequences</w:t>
            </w:r>
          </w:p>
        </w:tc>
        <w:tc>
          <w:tcPr>
            <w:tcW w:type="dxa" w:w="2448"/>
            <w:vAlign w:val="center"/>
          </w:tcPr>
          <w:p>
            <w:pPr>
              <w:spacing w:after="0"/>
            </w:pPr>
            <w:r/>
            <w:r>
              <w:rPr>
                <w:rFonts w:ascii="Aptos" w:hAnsi="Aptos"/>
                <w:b w:val="0"/>
                <w:color w:val="111827"/>
                <w:sz w:val="16"/>
              </w:rPr>
              <w:t>Request attributes, procedure steps, specimen descriptions, references</w:t>
            </w:r>
          </w:p>
        </w:tc>
        <w:tc>
          <w:tcPr>
            <w:tcW w:type="dxa" w:w="3096"/>
            <w:vAlign w:val="center"/>
          </w:tcPr>
          <w:p>
            <w:pPr>
              <w:spacing w:after="0"/>
            </w:pPr>
            <w:r/>
            <w:r>
              <w:rPr>
                <w:rFonts w:ascii="Aptos" w:hAnsi="Aptos"/>
                <w:b w:val="0"/>
                <w:color w:val="111827"/>
                <w:sz w:val="16"/>
              </w:rPr>
              <w:t>Top-level scan misses deep SQ items.</w:t>
            </w:r>
          </w:p>
        </w:tc>
        <w:tc>
          <w:tcPr>
            <w:tcW w:type="dxa" w:w="2880"/>
            <w:vAlign w:val="center"/>
          </w:tcPr>
          <w:p>
            <w:pPr>
              <w:spacing w:after="0"/>
            </w:pPr>
            <w:r/>
            <w:r>
              <w:rPr>
                <w:rFonts w:ascii="Aptos" w:hAnsi="Aptos"/>
                <w:b w:val="0"/>
                <w:color w:val="111827"/>
                <w:sz w:val="16"/>
              </w:rPr>
              <w:t>Recursive tree walker with reference closure tests.</w:t>
            </w:r>
          </w:p>
        </w:tc>
      </w:tr>
      <w:tr>
        <w:tc>
          <w:tcPr>
            <w:tcW w:type="dxa" w:w="1800"/>
            <w:vAlign w:val="center"/>
            <w:shd w:fill="F5F7FA"/>
          </w:tcPr>
          <w:p>
            <w:pPr>
              <w:spacing w:after="0"/>
            </w:pPr>
            <w:r/>
            <w:r>
              <w:rPr>
                <w:rFonts w:ascii="Aptos" w:hAnsi="Aptos"/>
                <w:b w:val="0"/>
                <w:color w:val="111827"/>
                <w:sz w:val="16"/>
              </w:rPr>
              <w:t>Pixel overlays</w:t>
            </w:r>
          </w:p>
        </w:tc>
        <w:tc>
          <w:tcPr>
            <w:tcW w:type="dxa" w:w="2448"/>
            <w:vAlign w:val="center"/>
            <w:shd w:fill="F5F7FA"/>
          </w:tcPr>
          <w:p>
            <w:pPr>
              <w:spacing w:after="0"/>
            </w:pPr>
            <w:r/>
            <w:r>
              <w:rPr>
                <w:rFonts w:ascii="Aptos" w:hAnsi="Aptos"/>
                <w:b w:val="0"/>
                <w:color w:val="111827"/>
                <w:sz w:val="16"/>
              </w:rPr>
              <w:t>Burned-in names, MRNs, dates, hospital labels</w:t>
            </w:r>
          </w:p>
        </w:tc>
        <w:tc>
          <w:tcPr>
            <w:tcW w:type="dxa" w:w="3096"/>
            <w:vAlign w:val="center"/>
            <w:shd w:fill="F5F7FA"/>
          </w:tcPr>
          <w:p>
            <w:pPr>
              <w:spacing w:after="0"/>
            </w:pPr>
            <w:r/>
            <w:r>
              <w:rPr>
                <w:rFonts w:ascii="Aptos" w:hAnsi="Aptos"/>
                <w:b w:val="0"/>
                <w:color w:val="111827"/>
                <w:sz w:val="16"/>
              </w:rPr>
              <w:t>Metadata is clean while the image still exposes identity.</w:t>
            </w:r>
          </w:p>
        </w:tc>
        <w:tc>
          <w:tcPr>
            <w:tcW w:type="dxa" w:w="2880"/>
            <w:vAlign w:val="center"/>
            <w:shd w:fill="F5F7FA"/>
          </w:tcPr>
          <w:p>
            <w:pPr>
              <w:spacing w:after="0"/>
            </w:pPr>
            <w:r/>
            <w:r>
              <w:rPr>
                <w:rFonts w:ascii="Aptos" w:hAnsi="Aptos"/>
                <w:b w:val="0"/>
                <w:color w:val="111827"/>
                <w:sz w:val="16"/>
              </w:rPr>
              <w:t>Modality-gated text detection + OCR + barcode/QR + visual scan.</w:t>
            </w:r>
          </w:p>
        </w:tc>
      </w:tr>
      <w:tr>
        <w:tc>
          <w:tcPr>
            <w:tcW w:type="dxa" w:w="1800"/>
            <w:vAlign w:val="center"/>
          </w:tcPr>
          <w:p>
            <w:pPr>
              <w:spacing w:after="0"/>
            </w:pPr>
            <w:r/>
            <w:r>
              <w:rPr>
                <w:rFonts w:ascii="Aptos" w:hAnsi="Aptos"/>
                <w:b w:val="0"/>
                <w:color w:val="111827"/>
                <w:sz w:val="16"/>
              </w:rPr>
              <w:t>Incidental visual identity</w:t>
            </w:r>
          </w:p>
        </w:tc>
        <w:tc>
          <w:tcPr>
            <w:tcW w:type="dxa" w:w="2448"/>
            <w:vAlign w:val="center"/>
          </w:tcPr>
          <w:p>
            <w:pPr>
              <w:spacing w:after="0"/>
            </w:pPr>
            <w:r/>
            <w:r>
              <w:rPr>
                <w:rFonts w:ascii="Aptos" w:hAnsi="Aptos"/>
                <w:b w:val="0"/>
                <w:color w:val="111827"/>
                <w:sz w:val="16"/>
              </w:rPr>
              <w:t>Faces, tattoos, serial markings, recognizable visual features</w:t>
            </w:r>
          </w:p>
        </w:tc>
        <w:tc>
          <w:tcPr>
            <w:tcW w:type="dxa" w:w="3096"/>
            <w:vAlign w:val="center"/>
          </w:tcPr>
          <w:p>
            <w:pPr>
              <w:spacing w:after="0"/>
            </w:pPr>
            <w:r/>
            <w:r>
              <w:rPr>
                <w:rFonts w:ascii="Aptos" w:hAnsi="Aptos"/>
                <w:b w:val="0"/>
                <w:color w:val="111827"/>
                <w:sz w:val="16"/>
              </w:rPr>
              <w:t>Text-only systems see nothing.</w:t>
            </w:r>
          </w:p>
        </w:tc>
        <w:tc>
          <w:tcPr>
            <w:tcW w:type="dxa" w:w="2880"/>
            <w:vAlign w:val="center"/>
          </w:tcPr>
          <w:p>
            <w:pPr>
              <w:spacing w:after="0"/>
            </w:pPr>
            <w:r/>
            <w:r>
              <w:rPr>
                <w:rFonts w:ascii="Aptos" w:hAnsi="Aptos"/>
                <w:b w:val="0"/>
                <w:color w:val="111827"/>
                <w:sz w:val="16"/>
              </w:rPr>
              <w:t>Configurable visual-risk checks and human review.</w:t>
            </w:r>
          </w:p>
        </w:tc>
      </w:tr>
      <w:tr>
        <w:tc>
          <w:tcPr>
            <w:tcW w:type="dxa" w:w="1800"/>
            <w:vAlign w:val="center"/>
            <w:shd w:fill="F5F7FA"/>
          </w:tcPr>
          <w:p>
            <w:pPr>
              <w:spacing w:after="0"/>
            </w:pPr>
            <w:r/>
            <w:r>
              <w:rPr>
                <w:rFonts w:ascii="Aptos" w:hAnsi="Aptos"/>
                <w:b w:val="0"/>
                <w:color w:val="111827"/>
                <w:sz w:val="16"/>
              </w:rPr>
              <w:t>Embedded payloads</w:t>
            </w:r>
          </w:p>
        </w:tc>
        <w:tc>
          <w:tcPr>
            <w:tcW w:type="dxa" w:w="2448"/>
            <w:vAlign w:val="center"/>
            <w:shd w:fill="F5F7FA"/>
          </w:tcPr>
          <w:p>
            <w:pPr>
              <w:spacing w:after="0"/>
            </w:pPr>
            <w:r/>
            <w:r>
              <w:rPr>
                <w:rFonts w:ascii="Aptos" w:hAnsi="Aptos"/>
                <w:b w:val="0"/>
                <w:color w:val="111827"/>
                <w:sz w:val="16"/>
              </w:rPr>
              <w:t>Encapsulated PDF, SR, ECG/waveforms, CDA-like payloads</w:t>
            </w:r>
          </w:p>
        </w:tc>
        <w:tc>
          <w:tcPr>
            <w:tcW w:type="dxa" w:w="3096"/>
            <w:vAlign w:val="center"/>
            <w:shd w:fill="F5F7FA"/>
          </w:tcPr>
          <w:p>
            <w:pPr>
              <w:spacing w:after="0"/>
            </w:pPr>
            <w:r/>
            <w:r>
              <w:rPr>
                <w:rFonts w:ascii="Aptos" w:hAnsi="Aptos"/>
                <w:b w:val="0"/>
                <w:color w:val="111827"/>
                <w:sz w:val="16"/>
              </w:rPr>
              <w:t>Binary content is left untouched.</w:t>
            </w:r>
          </w:p>
        </w:tc>
        <w:tc>
          <w:tcPr>
            <w:tcW w:type="dxa" w:w="2880"/>
            <w:vAlign w:val="center"/>
            <w:shd w:fill="F5F7FA"/>
          </w:tcPr>
          <w:p>
            <w:pPr>
              <w:spacing w:after="0"/>
            </w:pPr>
            <w:r/>
            <w:r>
              <w:rPr>
                <w:rFonts w:ascii="Aptos" w:hAnsi="Aptos"/>
                <w:b w:val="0"/>
                <w:color w:val="111827"/>
                <w:sz w:val="16"/>
              </w:rPr>
              <w:t>Type-aware extract → sanitize → re-encapsulate or quarantine.</w:t>
            </w:r>
          </w:p>
        </w:tc>
      </w:tr>
      <w:tr>
        <w:tc>
          <w:tcPr>
            <w:tcW w:type="dxa" w:w="1800"/>
            <w:vAlign w:val="center"/>
          </w:tcPr>
          <w:p>
            <w:pPr>
              <w:spacing w:after="0"/>
            </w:pPr>
            <w:r/>
            <w:r>
              <w:rPr>
                <w:rFonts w:ascii="Aptos" w:hAnsi="Aptos"/>
                <w:b w:val="0"/>
                <w:color w:val="111827"/>
                <w:sz w:val="16"/>
              </w:rPr>
              <w:t>Identity linkage</w:t>
            </w:r>
          </w:p>
        </w:tc>
        <w:tc>
          <w:tcPr>
            <w:tcW w:type="dxa" w:w="2448"/>
            <w:vAlign w:val="center"/>
          </w:tcPr>
          <w:p>
            <w:pPr>
              <w:spacing w:after="0"/>
            </w:pPr>
            <w:r/>
            <w:r>
              <w:rPr>
                <w:rFonts w:ascii="Aptos" w:hAnsi="Aptos"/>
                <w:b w:val="0"/>
                <w:color w:val="111827"/>
                <w:sz w:val="16"/>
              </w:rPr>
              <w:t>Study/Series/SOP references</w:t>
            </w:r>
          </w:p>
        </w:tc>
        <w:tc>
          <w:tcPr>
            <w:tcW w:type="dxa" w:w="3096"/>
            <w:vAlign w:val="center"/>
          </w:tcPr>
          <w:p>
            <w:pPr>
              <w:spacing w:after="0"/>
            </w:pPr>
            <w:r/>
            <w:r>
              <w:rPr>
                <w:rFonts w:ascii="Aptos" w:hAnsi="Aptos"/>
                <w:b w:val="0"/>
                <w:color w:val="111827"/>
                <w:sz w:val="16"/>
              </w:rPr>
              <w:t>Random remapping breaks longitudinal or cross-instance links.</w:t>
            </w:r>
          </w:p>
        </w:tc>
        <w:tc>
          <w:tcPr>
            <w:tcW w:type="dxa" w:w="2880"/>
            <w:vAlign w:val="center"/>
          </w:tcPr>
          <w:p>
            <w:pPr>
              <w:spacing w:after="0"/>
            </w:pPr>
            <w:r/>
            <w:r>
              <w:rPr>
                <w:rFonts w:ascii="Aptos" w:hAnsi="Aptos"/>
                <w:b w:val="0"/>
                <w:color w:val="111827"/>
                <w:sz w:val="16"/>
              </w:rPr>
              <w:t>Study graph + deterministic pseudonymization + reference update.</w:t>
            </w:r>
          </w:p>
        </w:tc>
      </w:tr>
      <w:tr>
        <w:tc>
          <w:tcPr>
            <w:tcW w:type="dxa" w:w="1800"/>
            <w:vAlign w:val="center"/>
            <w:shd w:fill="F5F7FA"/>
          </w:tcPr>
          <w:p>
            <w:pPr>
              <w:spacing w:after="0"/>
            </w:pPr>
            <w:r/>
            <w:r>
              <w:rPr>
                <w:rFonts w:ascii="Aptos" w:hAnsi="Aptos"/>
                <w:b w:val="0"/>
                <w:color w:val="111827"/>
                <w:sz w:val="16"/>
              </w:rPr>
              <w:t>Integrity leakage</w:t>
            </w:r>
          </w:p>
        </w:tc>
        <w:tc>
          <w:tcPr>
            <w:tcW w:type="dxa" w:w="2448"/>
            <w:vAlign w:val="center"/>
            <w:shd w:fill="F5F7FA"/>
          </w:tcPr>
          <w:p>
            <w:pPr>
              <w:spacing w:after="0"/>
            </w:pPr>
            <w:r/>
            <w:r>
              <w:rPr>
                <w:rFonts w:ascii="Aptos" w:hAnsi="Aptos"/>
                <w:b w:val="0"/>
                <w:color w:val="111827"/>
                <w:sz w:val="16"/>
              </w:rPr>
              <w:t>Unexpected pixel changes, changed bit depth, broken transfer syntax</w:t>
            </w:r>
          </w:p>
        </w:tc>
        <w:tc>
          <w:tcPr>
            <w:tcW w:type="dxa" w:w="3096"/>
            <w:vAlign w:val="center"/>
            <w:shd w:fill="F5F7FA"/>
          </w:tcPr>
          <w:p>
            <w:pPr>
              <w:spacing w:after="0"/>
            </w:pPr>
            <w:r/>
            <w:r>
              <w:rPr>
                <w:rFonts w:ascii="Aptos" w:hAnsi="Aptos"/>
                <w:b w:val="0"/>
                <w:color w:val="111827"/>
                <w:sz w:val="16"/>
              </w:rPr>
              <w:t>Privacy cleaning damages downstream AI/clinical utility.</w:t>
            </w:r>
          </w:p>
        </w:tc>
        <w:tc>
          <w:tcPr>
            <w:tcW w:type="dxa" w:w="2880"/>
            <w:vAlign w:val="center"/>
            <w:shd w:fill="F5F7FA"/>
          </w:tcPr>
          <w:p>
            <w:pPr>
              <w:spacing w:after="0"/>
            </w:pPr>
            <w:r/>
            <w:r>
              <w:rPr>
                <w:rFonts w:ascii="Aptos" w:hAnsi="Aptos"/>
                <w:b w:val="0"/>
                <w:color w:val="111827"/>
                <w:sz w:val="16"/>
              </w:rPr>
              <w:t>Independent pixel/dataset integrity validation.</w:t>
            </w:r>
          </w:p>
        </w:tc>
      </w:tr>
      <w:tr>
        <w:tc>
          <w:tcPr>
            <w:tcW w:type="dxa" w:w="1800"/>
            <w:vAlign w:val="center"/>
          </w:tcPr>
          <w:p>
            <w:pPr>
              <w:spacing w:after="0"/>
            </w:pPr>
            <w:r/>
            <w:r>
              <w:rPr>
                <w:rFonts w:ascii="Aptos" w:hAnsi="Aptos"/>
                <w:b w:val="0"/>
                <w:color w:val="111827"/>
                <w:sz w:val="16"/>
              </w:rPr>
              <w:t>Process/audit leakage</w:t>
            </w:r>
          </w:p>
        </w:tc>
        <w:tc>
          <w:tcPr>
            <w:tcW w:type="dxa" w:w="2448"/>
            <w:vAlign w:val="center"/>
          </w:tcPr>
          <w:p>
            <w:pPr>
              <w:spacing w:after="0"/>
            </w:pPr>
            <w:r/>
            <w:r>
              <w:rPr>
                <w:rFonts w:ascii="Aptos" w:hAnsi="Aptos"/>
                <w:b w:val="0"/>
                <w:color w:val="111827"/>
                <w:sz w:val="16"/>
              </w:rPr>
              <w:t>Logs containing patient name or source paths</w:t>
            </w:r>
          </w:p>
        </w:tc>
        <w:tc>
          <w:tcPr>
            <w:tcW w:type="dxa" w:w="3096"/>
            <w:vAlign w:val="center"/>
          </w:tcPr>
          <w:p>
            <w:pPr>
              <w:spacing w:after="0"/>
            </w:pPr>
            <w:r/>
            <w:r>
              <w:rPr>
                <w:rFonts w:ascii="Aptos" w:hAnsi="Aptos"/>
                <w:b w:val="0"/>
                <w:color w:val="111827"/>
                <w:sz w:val="16"/>
              </w:rPr>
              <w:t>The anonymizer itself becomes a PHI source.</w:t>
            </w:r>
          </w:p>
        </w:tc>
        <w:tc>
          <w:tcPr>
            <w:tcW w:type="dxa" w:w="2880"/>
            <w:vAlign w:val="center"/>
          </w:tcPr>
          <w:p>
            <w:pPr>
              <w:spacing w:after="0"/>
            </w:pPr>
            <w:r/>
            <w:r>
              <w:rPr>
                <w:rFonts w:ascii="Aptos" w:hAnsi="Aptos"/>
                <w:b w:val="0"/>
                <w:color w:val="111827"/>
                <w:sz w:val="16"/>
              </w:rPr>
              <w:t>PHI-minimized logging and protected operator identifiers.</w:t>
            </w:r>
          </w:p>
        </w:tc>
      </w:tr>
    </w:tbl>
    <w:p>
      <w:pPr>
        <w:spacing w:after="20"/>
      </w:pPr>
    </w:p>
    <w:p>
      <w:pPr>
        <w:pStyle w:val="Heading2"/>
        <w:keepNext/>
      </w:pPr>
      <w:r>
        <w:t>3.1 The central tension: privacy vs. utility</w:t>
      </w:r>
    </w:p>
    <w:p>
      <w:pPr>
        <w:spacing w:after="120" w:line="259" w:lineRule="auto"/>
      </w:pPr>
      <w:r>
        <w:t>A research cohort may need to preserve chronology, spacing, modality parameters, anatomical orientation, and image intensity behavior. Over-cleaning can destroy the exact signal a downstream model needs. The system therefore applies a “minimum necessary transformation” strategy: remove direct identity aggressively, preserve clinically useful information only when the active policy permits it, and send high-risk overlaps to review instead of forcing automation.</w:t>
      </w:r>
    </w:p>
    <w:p>
      <w:pPr>
        <w:pStyle w:val="Heading2"/>
        <w:keepNext/>
      </w:pPr>
      <w:r>
        <w:t>3.2 The core insight</w:t>
      </w:r>
    </w:p>
    <w:tbl>
      <w:tblPr>
        <w:tblW w:type="auto" w:w="0"/>
        <w:jc w:val="center"/>
        <w:tblLook w:firstColumn="1" w:firstRow="1" w:lastColumn="0" w:lastRow="0" w:noHBand="0" w:noVBand="1" w:val="04A0"/>
      </w:tblPr>
      <w:tblGrid>
        <w:gridCol w:w="10080"/>
      </w:tblGrid>
      <w:tr>
        <w:tc>
          <w:tcPr>
            <w:tcW w:type="dxa" w:w="10080"/>
            <w:shd w:fill="EAF4EE"/>
            <w:tcBorders>
              <w:top w:val="single" w:sz="8" w:color="4B7A65"/>
              <w:left w:val="single" w:sz="8" w:color="4B7A65"/>
              <w:bottom w:val="single" w:sz="8" w:color="4B7A65"/>
              <w:right w:val="single" w:sz="8" w:color="4B7A65"/>
            </w:tcBorders>
          </w:tcPr>
          <w:p>
            <w:pPr>
              <w:spacing w:after="40"/>
            </w:pPr>
            <w:r/>
            <w:r>
              <w:rPr>
                <w:rFonts w:ascii="Aptos Display" w:hAnsi="Aptos Display"/>
                <w:b/>
                <w:color w:val="4B7A65"/>
                <w:sz w:val="20"/>
              </w:rPr>
              <w:t>The project is not “an anonymizer.” It is a release-control system.</w:t>
            </w:r>
          </w:p>
          <w:p>
            <w:pPr>
              <w:spacing w:after="60"/>
            </w:pPr>
            <w:r>
              <w:rPr>
                <w:rFonts w:ascii="Aptos" w:hAnsi="Aptos"/>
                <w:color w:val="243447"/>
                <w:sz w:val="18"/>
              </w:rPr>
              <w:t>The differentiator is the release gate. VeilGuard combines transformation with evidence: what PHI was detected, where it was, what changed, whether references still close, whether pixel changes stayed inside approved regions, and whether a second scan still finds identifying information.</w:t>
            </w:r>
          </w:p>
        </w:tc>
      </w:tr>
    </w:tbl>
    <w:p>
      <w:pPr>
        <w:spacing w:after="40"/>
      </w:pPr>
    </w:p>
    <w:p>
      <w:pPr>
        <w:pStyle w:val="Heading1"/>
        <w:keepNext/>
      </w:pPr>
      <w:r>
        <w:t>4. System Architecture: Dual-Plane + Co-Validation</w:t>
      </w:r>
    </w:p>
    <w:p>
      <w:pPr>
        <w:spacing w:after="120" w:line="259" w:lineRule="auto"/>
      </w:pPr>
      <w:r>
        <w:t>The merged architecture keeps the strongest concept from the second blueprint—the dual-plane pipeline—and integrates the stronger verification concepts into a single safety-oriented control flow. The planes operate independently enough to reduce coupling, while the controller synchronizes them using a study/job identifier, policy version, region maps, and cryptographic hashes rather than passing raw PHI through every subsystem.</w:t>
      </w:r>
    </w:p>
    <w:p>
      <w:r>
        <w:drawing>
          <wp:inline xmlns:a="http://schemas.openxmlformats.org/drawingml/2006/main" xmlns:pic="http://schemas.openxmlformats.org/drawingml/2006/picture">
            <wp:extent cx="6217920" cy="671415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6714151"/>
                    </a:xfrm>
                    <a:prstGeom prst="rect"/>
                  </pic:spPr>
                </pic:pic>
              </a:graphicData>
            </a:graphic>
          </wp:inline>
        </w:drawing>
      </w:r>
    </w:p>
    <w:p>
      <w:pPr>
        <w:jc w:val="center"/>
      </w:pPr>
      <w:r>
        <w:rPr>
          <w:rFonts w:ascii="Aptos" w:hAnsi="Aptos"/>
          <w:color w:val="64748B"/>
          <w:sz w:val="16"/>
        </w:rPr>
        <w:t>Figure 1. End-to-end architecture: metadata and pixel planes converge into a confidence-gated transformation and independent validation path.</w:t>
      </w:r>
    </w:p>
    <w:p>
      <w:pPr>
        <w:pStyle w:val="Heading2"/>
        <w:keepNext/>
      </w:pPr>
      <w:r>
        <w:t>4.1 Major subsystems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Subsystem</w:t>
            </w:r>
          </w:p>
        </w:tc>
        <w:tc>
          <w:tcPr>
            <w:tcW w:type="dxa" w:w="504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Primary responsibility</w:t>
            </w:r>
          </w:p>
        </w:tc>
        <w:tc>
          <w:tcPr>
            <w:tcW w:type="dxa" w:w="316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Failure behavior</w:t>
            </w:r>
          </w:p>
        </w:tc>
      </w:tr>
      <w:tr>
        <w:tc>
          <w:tcPr>
            <w:tcW w:type="dxa" w:w="2088"/>
            <w:vAlign w:val="center"/>
          </w:tcPr>
          <w:p>
            <w:pPr>
              <w:spacing w:after="0"/>
            </w:pPr>
            <w:r/>
            <w:r>
              <w:rPr>
                <w:rFonts w:ascii="Aptos" w:hAnsi="Aptos"/>
                <w:b w:val="0"/>
                <w:color w:val="111827"/>
                <w:sz w:val="16"/>
              </w:rPr>
              <w:t>Ingestion &amp; study graph</w:t>
            </w:r>
          </w:p>
        </w:tc>
        <w:tc>
          <w:tcPr>
            <w:tcW w:type="dxa" w:w="5040"/>
            <w:vAlign w:val="center"/>
          </w:tcPr>
          <w:p>
            <w:pPr>
              <w:spacing w:after="0"/>
            </w:pPr>
            <w:r/>
            <w:r>
              <w:rPr>
                <w:rFonts w:ascii="Aptos" w:hAnsi="Aptos"/>
                <w:b w:val="0"/>
                <w:color w:val="111827"/>
                <w:sz w:val="16"/>
              </w:rPr>
              <w:t>Discover files, detect study boundaries, create relationships, compute source hashes.</w:t>
            </w:r>
          </w:p>
        </w:tc>
        <w:tc>
          <w:tcPr>
            <w:tcW w:type="dxa" w:w="3168"/>
            <w:vAlign w:val="center"/>
          </w:tcPr>
          <w:p>
            <w:pPr>
              <w:spacing w:after="0"/>
            </w:pPr>
            <w:r/>
            <w:r>
              <w:rPr>
                <w:rFonts w:ascii="Aptos" w:hAnsi="Aptos"/>
                <w:b w:val="0"/>
                <w:color w:val="111827"/>
                <w:sz w:val="16"/>
              </w:rPr>
              <w:t>Quarantine malformed/unreadable inputs.</w:t>
            </w:r>
          </w:p>
        </w:tc>
      </w:tr>
      <w:tr>
        <w:tc>
          <w:tcPr>
            <w:tcW w:type="dxa" w:w="2088"/>
            <w:vAlign w:val="center"/>
            <w:shd w:fill="F5F7FA"/>
          </w:tcPr>
          <w:p>
            <w:pPr>
              <w:spacing w:after="0"/>
            </w:pPr>
            <w:r/>
            <w:r>
              <w:rPr>
                <w:rFonts w:ascii="Aptos" w:hAnsi="Aptos"/>
                <w:b w:val="0"/>
                <w:color w:val="111827"/>
                <w:sz w:val="16"/>
              </w:rPr>
              <w:t>Metadata plane</w:t>
            </w:r>
          </w:p>
        </w:tc>
        <w:tc>
          <w:tcPr>
            <w:tcW w:type="dxa" w:w="5040"/>
            <w:vAlign w:val="center"/>
            <w:shd w:fill="F5F7FA"/>
          </w:tcPr>
          <w:p>
            <w:pPr>
              <w:spacing w:after="0"/>
            </w:pPr>
            <w:r/>
            <w:r>
              <w:rPr>
                <w:rFonts w:ascii="Aptos" w:hAnsi="Aptos"/>
                <w:b w:val="0"/>
                <w:color w:val="111827"/>
                <w:sz w:val="16"/>
              </w:rPr>
              <w:t>Classify, remove, replace, clean, pseudonymize, and validate DICOM attributes.</w:t>
            </w:r>
          </w:p>
        </w:tc>
        <w:tc>
          <w:tcPr>
            <w:tcW w:type="dxa" w:w="3168"/>
            <w:vAlign w:val="center"/>
            <w:shd w:fill="F5F7FA"/>
          </w:tcPr>
          <w:p>
            <w:pPr>
              <w:spacing w:after="0"/>
            </w:pPr>
            <w:r/>
            <w:r>
              <w:rPr>
                <w:rFonts w:ascii="Aptos" w:hAnsi="Aptos"/>
                <w:b w:val="0"/>
                <w:color w:val="111827"/>
                <w:sz w:val="16"/>
              </w:rPr>
              <w:t>Drop/quarantine unknown risky content according to policy.</w:t>
            </w:r>
          </w:p>
        </w:tc>
      </w:tr>
      <w:tr>
        <w:tc>
          <w:tcPr>
            <w:tcW w:type="dxa" w:w="2088"/>
            <w:vAlign w:val="center"/>
          </w:tcPr>
          <w:p>
            <w:pPr>
              <w:spacing w:after="0"/>
            </w:pPr>
            <w:r/>
            <w:r>
              <w:rPr>
                <w:rFonts w:ascii="Aptos" w:hAnsi="Aptos"/>
                <w:b w:val="0"/>
                <w:color w:val="111827"/>
                <w:sz w:val="16"/>
              </w:rPr>
              <w:t>Pixel vision plane</w:t>
            </w:r>
          </w:p>
        </w:tc>
        <w:tc>
          <w:tcPr>
            <w:tcW w:type="dxa" w:w="5040"/>
            <w:vAlign w:val="center"/>
          </w:tcPr>
          <w:p>
            <w:pPr>
              <w:spacing w:after="0"/>
            </w:pPr>
            <w:r/>
            <w:r>
              <w:rPr>
                <w:rFonts w:ascii="Aptos" w:hAnsi="Aptos"/>
                <w:b w:val="0"/>
                <w:color w:val="111827"/>
                <w:sz w:val="16"/>
              </w:rPr>
              <w:t>Detect text, PHI, machine-readable codes, and configurable visual identifiers.</w:t>
            </w:r>
          </w:p>
        </w:tc>
        <w:tc>
          <w:tcPr>
            <w:tcW w:type="dxa" w:w="3168"/>
            <w:vAlign w:val="center"/>
          </w:tcPr>
          <w:p>
            <w:pPr>
              <w:spacing w:after="0"/>
            </w:pPr>
            <w:r/>
            <w:r>
              <w:rPr>
                <w:rFonts w:ascii="Aptos" w:hAnsi="Aptos"/>
                <w:b w:val="0"/>
                <w:color w:val="111827"/>
                <w:sz w:val="16"/>
              </w:rPr>
              <w:t>Escalate uncertain/overlapping detections.</w:t>
            </w:r>
          </w:p>
        </w:tc>
      </w:tr>
      <w:tr>
        <w:tc>
          <w:tcPr>
            <w:tcW w:type="dxa" w:w="2088"/>
            <w:vAlign w:val="center"/>
            <w:shd w:fill="F5F7FA"/>
          </w:tcPr>
          <w:p>
            <w:pPr>
              <w:spacing w:after="0"/>
            </w:pPr>
            <w:r/>
            <w:r>
              <w:rPr>
                <w:rFonts w:ascii="Aptos" w:hAnsi="Aptos"/>
                <w:b w:val="0"/>
                <w:color w:val="111827"/>
                <w:sz w:val="16"/>
              </w:rPr>
              <w:t>Decision engine</w:t>
            </w:r>
          </w:p>
        </w:tc>
        <w:tc>
          <w:tcPr>
            <w:tcW w:type="dxa" w:w="5040"/>
            <w:vAlign w:val="center"/>
            <w:shd w:fill="F5F7FA"/>
          </w:tcPr>
          <w:p>
            <w:pPr>
              <w:spacing w:after="0"/>
            </w:pPr>
            <w:r/>
            <w:r>
              <w:rPr>
                <w:rFonts w:ascii="Aptos" w:hAnsi="Aptos"/>
                <w:b w:val="0"/>
                <w:color w:val="111827"/>
                <w:sz w:val="16"/>
              </w:rPr>
              <w:t>Fuse rule, OCR, NER, spatial, modality, and integrity signals.</w:t>
            </w:r>
          </w:p>
        </w:tc>
        <w:tc>
          <w:tcPr>
            <w:tcW w:type="dxa" w:w="3168"/>
            <w:vAlign w:val="center"/>
            <w:shd w:fill="F5F7FA"/>
          </w:tcPr>
          <w:p>
            <w:pPr>
              <w:spacing w:after="0"/>
            </w:pPr>
            <w:r/>
            <w:r>
              <w:rPr>
                <w:rFonts w:ascii="Aptos" w:hAnsi="Aptos"/>
                <w:b w:val="0"/>
                <w:color w:val="111827"/>
                <w:sz w:val="16"/>
              </w:rPr>
              <w:t>Review or block when thresholds are not satisfied.</w:t>
            </w:r>
          </w:p>
        </w:tc>
      </w:tr>
      <w:tr>
        <w:tc>
          <w:tcPr>
            <w:tcW w:type="dxa" w:w="2088"/>
            <w:vAlign w:val="center"/>
          </w:tcPr>
          <w:p>
            <w:pPr>
              <w:spacing w:after="0"/>
            </w:pPr>
            <w:r/>
            <w:r>
              <w:rPr>
                <w:rFonts w:ascii="Aptos" w:hAnsi="Aptos"/>
                <w:b w:val="0"/>
                <w:color w:val="111827"/>
                <w:sz w:val="16"/>
              </w:rPr>
              <w:t>Transformation layer</w:t>
            </w:r>
          </w:p>
        </w:tc>
        <w:tc>
          <w:tcPr>
            <w:tcW w:type="dxa" w:w="5040"/>
            <w:vAlign w:val="center"/>
          </w:tcPr>
          <w:p>
            <w:pPr>
              <w:spacing w:after="0"/>
            </w:pPr>
            <w:r/>
            <w:r>
              <w:rPr>
                <w:rFonts w:ascii="Aptos" w:hAnsi="Aptos"/>
                <w:b w:val="0"/>
                <w:color w:val="111827"/>
                <w:sz w:val="16"/>
              </w:rPr>
              <w:t>Apply metadata actions, UID mapping, date transformations, and pixel redaction.</w:t>
            </w:r>
          </w:p>
        </w:tc>
        <w:tc>
          <w:tcPr>
            <w:tcW w:type="dxa" w:w="3168"/>
            <w:vAlign w:val="center"/>
          </w:tcPr>
          <w:p>
            <w:pPr>
              <w:spacing w:after="0"/>
            </w:pPr>
            <w:r/>
            <w:r>
              <w:rPr>
                <w:rFonts w:ascii="Aptos" w:hAnsi="Aptos"/>
                <w:b w:val="0"/>
                <w:color w:val="111827"/>
                <w:sz w:val="16"/>
              </w:rPr>
              <w:t>Never modify the original source.</w:t>
            </w:r>
          </w:p>
        </w:tc>
      </w:tr>
      <w:tr>
        <w:tc>
          <w:tcPr>
            <w:tcW w:type="dxa" w:w="2088"/>
            <w:vAlign w:val="center"/>
            <w:shd w:fill="F5F7FA"/>
          </w:tcPr>
          <w:p>
            <w:pPr>
              <w:spacing w:after="0"/>
            </w:pPr>
            <w:r/>
            <w:r>
              <w:rPr>
                <w:rFonts w:ascii="Aptos" w:hAnsi="Aptos"/>
                <w:b w:val="0"/>
                <w:color w:val="111827"/>
                <w:sz w:val="16"/>
              </w:rPr>
              <w:t>Validation layer</w:t>
            </w:r>
          </w:p>
        </w:tc>
        <w:tc>
          <w:tcPr>
            <w:tcW w:type="dxa" w:w="5040"/>
            <w:vAlign w:val="center"/>
            <w:shd w:fill="F5F7FA"/>
          </w:tcPr>
          <w:p>
            <w:pPr>
              <w:spacing w:after="0"/>
            </w:pPr>
            <w:r/>
            <w:r>
              <w:rPr>
                <w:rFonts w:ascii="Aptos" w:hAnsi="Aptos"/>
                <w:b w:val="0"/>
                <w:color w:val="111827"/>
                <w:sz w:val="16"/>
              </w:rPr>
              <w:t>Perform independent post-processing checks.</w:t>
            </w:r>
          </w:p>
        </w:tc>
        <w:tc>
          <w:tcPr>
            <w:tcW w:type="dxa" w:w="3168"/>
            <w:vAlign w:val="center"/>
            <w:shd w:fill="F5F7FA"/>
          </w:tcPr>
          <w:p>
            <w:pPr>
              <w:spacing w:after="0"/>
            </w:pPr>
            <w:r/>
            <w:r>
              <w:rPr>
                <w:rFonts w:ascii="Aptos" w:hAnsi="Aptos"/>
                <w:b w:val="0"/>
                <w:color w:val="111827"/>
                <w:sz w:val="16"/>
              </w:rPr>
              <w:t>No export on any hard failure.</w:t>
            </w:r>
          </w:p>
        </w:tc>
      </w:tr>
      <w:tr>
        <w:tc>
          <w:tcPr>
            <w:tcW w:type="dxa" w:w="2088"/>
            <w:vAlign w:val="center"/>
          </w:tcPr>
          <w:p>
            <w:pPr>
              <w:spacing w:after="0"/>
            </w:pPr>
            <w:r/>
            <w:r>
              <w:rPr>
                <w:rFonts w:ascii="Aptos" w:hAnsi="Aptos"/>
                <w:b w:val="0"/>
                <w:color w:val="111827"/>
                <w:sz w:val="16"/>
              </w:rPr>
              <w:t>Audit/security layer</w:t>
            </w:r>
          </w:p>
        </w:tc>
        <w:tc>
          <w:tcPr>
            <w:tcW w:type="dxa" w:w="5040"/>
            <w:vAlign w:val="center"/>
          </w:tcPr>
          <w:p>
            <w:pPr>
              <w:spacing w:after="0"/>
            </w:pPr>
            <w:r/>
            <w:r>
              <w:rPr>
                <w:rFonts w:ascii="Aptos" w:hAnsi="Aptos"/>
                <w:b w:val="0"/>
                <w:color w:val="111827"/>
                <w:sz w:val="16"/>
              </w:rPr>
              <w:t>Protect keys, record transformations, produce certificates.</w:t>
            </w:r>
          </w:p>
        </w:tc>
        <w:tc>
          <w:tcPr>
            <w:tcW w:type="dxa" w:w="3168"/>
            <w:vAlign w:val="center"/>
          </w:tcPr>
          <w:p>
            <w:pPr>
              <w:spacing w:after="0"/>
            </w:pPr>
            <w:r/>
            <w:r>
              <w:rPr>
                <w:rFonts w:ascii="Aptos" w:hAnsi="Aptos"/>
                <w:b w:val="0"/>
                <w:color w:val="111827"/>
                <w:sz w:val="16"/>
              </w:rPr>
              <w:t>Avoid logging raw PHI; protect vault access.</w:t>
            </w:r>
          </w:p>
        </w:tc>
      </w:tr>
    </w:tbl>
    <w:p>
      <w:pPr>
        <w:spacing w:after="20"/>
      </w:pPr>
    </w:p>
    <w:p>
      <w:pPr>
        <w:pStyle w:val="Heading1"/>
        <w:keepNext/>
      </w:pPr>
      <w:r>
        <w:t>5. Plane 1 — Cryptographic Metadata Sanitizer</w:t>
      </w:r>
    </w:p>
    <w:p>
      <w:pPr>
        <w:spacing w:after="120" w:line="259" w:lineRule="auto"/>
      </w:pPr>
      <w:r>
        <w:t>The metadata plane should prefer a strict allowlist of safe data elements for the selected research profile, with explicit action codes for retained or transformed fields. A blacklist-only model is too fragile because private and newly encountered attributes can contain unexpected content.</w:t>
      </w:r>
    </w:p>
    <w:p>
      <w:pPr>
        <w:pStyle w:val="Heading2"/>
        <w:keepNext/>
      </w:pPr>
      <w:r>
        <w:t>5.1 Recursive attribute processing</w:t>
      </w:r>
    </w:p>
    <w:p>
      <w:r>
        <w:rPr>
          <w:b/>
          <w:color w:val="374151"/>
          <w:sz w:val="19"/>
        </w:rPr>
        <w:t>Core traversal model</w:t>
      </w:r>
    </w:p>
    <w:tbl>
      <w:tblPr>
        <w:tblW w:type="auto" w:w="0"/>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Incoming Dataset</w:t>
              <w:br/>
            </w:r>
            <w:r>
              <w:rPr>
                <w:rFonts w:ascii="Consolas" w:hAnsi="Consolas"/>
                <w:color w:val="1F2937"/>
                <w:sz w:val="16"/>
              </w:rPr>
              <w:t xml:space="preserve">  -&gt; For each element:</w:t>
              <w:br/>
            </w:r>
            <w:r>
              <w:rPr>
                <w:rFonts w:ascii="Consolas" w:hAnsi="Consolas"/>
                <w:color w:val="1F2937"/>
                <w:sz w:val="16"/>
              </w:rPr>
              <w:t xml:space="preserve">       if element is a Sequence (SQ): recursively inspect every item</w:t>
              <w:br/>
            </w:r>
            <w:r>
              <w:rPr>
                <w:rFonts w:ascii="Consolas" w:hAnsi="Consolas"/>
                <w:color w:val="1F2937"/>
                <w:sz w:val="16"/>
              </w:rPr>
              <w:t xml:space="preserve">       classify tag + VR + keyword + value + parent context</w:t>
              <w:br/>
            </w:r>
            <w:r>
              <w:rPr>
                <w:rFonts w:ascii="Consolas" w:hAnsi="Consolas"/>
                <w:color w:val="1F2937"/>
                <w:sz w:val="16"/>
              </w:rPr>
              <w:t xml:space="preserve">       apply policy action: KEEP / CLEAN / REPLACE / UID / DATE / REMOVE / REVIEW</w:t>
              <w:br/>
            </w:r>
            <w:r>
              <w:rPr>
                <w:rFonts w:ascii="Consolas" w:hAnsi="Consolas"/>
                <w:color w:val="1F2937"/>
                <w:sz w:val="16"/>
              </w:rPr>
              <w:t xml:space="preserve">  -&gt; validate required attributes and reference closure</w:t>
              <w:br/>
            </w:r>
            <w:r>
              <w:rPr>
                <w:rFonts w:ascii="Consolas" w:hAnsi="Consolas"/>
                <w:color w:val="1F2937"/>
                <w:sz w:val="16"/>
              </w:rPr>
              <w:t xml:space="preserve">  -&gt; emit sanitized dataset + transformation manifest</w:t>
            </w:r>
          </w:p>
        </w:tc>
      </w:tr>
    </w:tbl>
    <w:p>
      <w:pPr>
        <w:spacing w:after="40"/>
      </w:pPr>
    </w:p>
    <w:p>
      <w:pPr>
        <w:pStyle w:val="Heading2"/>
        <w:keepNext/>
      </w:pPr>
      <w:r>
        <w:t>5.2 Private tag quarantine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Policy state</w:t>
            </w:r>
          </w:p>
        </w:tc>
        <w:tc>
          <w:tcPr>
            <w:tcW w:type="dxa" w:w="446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Default action</w:t>
            </w:r>
          </w:p>
        </w:tc>
        <w:tc>
          <w:tcPr>
            <w:tcW w:type="dxa" w:w="352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Example</w:t>
            </w:r>
          </w:p>
        </w:tc>
      </w:tr>
      <w:tr>
        <w:tc>
          <w:tcPr>
            <w:tcW w:type="dxa" w:w="2304"/>
            <w:vAlign w:val="center"/>
          </w:tcPr>
          <w:p>
            <w:pPr>
              <w:spacing w:after="0"/>
            </w:pPr>
            <w:r/>
            <w:r>
              <w:rPr>
                <w:rFonts w:ascii="Aptos" w:hAnsi="Aptos"/>
                <w:b w:val="0"/>
                <w:color w:val="111827"/>
                <w:sz w:val="17"/>
              </w:rPr>
              <w:t>Unknown private block</w:t>
            </w:r>
          </w:p>
        </w:tc>
        <w:tc>
          <w:tcPr>
            <w:tcW w:type="dxa" w:w="4464"/>
            <w:vAlign w:val="center"/>
          </w:tcPr>
          <w:p>
            <w:pPr>
              <w:spacing w:after="0"/>
            </w:pPr>
            <w:r/>
            <w:r>
              <w:rPr>
                <w:rFonts w:ascii="Aptos" w:hAnsi="Aptos"/>
                <w:b w:val="0"/>
                <w:color w:val="111827"/>
                <w:sz w:val="17"/>
              </w:rPr>
              <w:t>Quarantine or drop</w:t>
            </w:r>
          </w:p>
        </w:tc>
        <w:tc>
          <w:tcPr>
            <w:tcW w:type="dxa" w:w="3528"/>
            <w:vAlign w:val="center"/>
          </w:tcPr>
          <w:p>
            <w:pPr>
              <w:spacing w:after="0"/>
            </w:pPr>
            <w:r/>
            <w:r>
              <w:rPr>
                <w:rFonts w:ascii="Aptos" w:hAnsi="Aptos"/>
                <w:b w:val="0"/>
                <w:color w:val="111827"/>
                <w:sz w:val="17"/>
              </w:rPr>
              <w:t>Proprietary strings / serialized blobs</w:t>
            </w:r>
          </w:p>
        </w:tc>
      </w:tr>
      <w:tr>
        <w:tc>
          <w:tcPr>
            <w:tcW w:type="dxa" w:w="2304"/>
            <w:vAlign w:val="center"/>
            <w:shd w:fill="F5F7FA"/>
          </w:tcPr>
          <w:p>
            <w:pPr>
              <w:spacing w:after="0"/>
            </w:pPr>
            <w:r/>
            <w:r>
              <w:rPr>
                <w:rFonts w:ascii="Aptos" w:hAnsi="Aptos"/>
                <w:b w:val="0"/>
                <w:color w:val="111827"/>
                <w:sz w:val="17"/>
              </w:rPr>
              <w:t>Known-safe creator block</w:t>
            </w:r>
          </w:p>
        </w:tc>
        <w:tc>
          <w:tcPr>
            <w:tcW w:type="dxa" w:w="4464"/>
            <w:vAlign w:val="center"/>
            <w:shd w:fill="F5F7FA"/>
          </w:tcPr>
          <w:p>
            <w:pPr>
              <w:spacing w:after="0"/>
            </w:pPr>
            <w:r/>
            <w:r>
              <w:rPr>
                <w:rFonts w:ascii="Aptos" w:hAnsi="Aptos"/>
                <w:b w:val="0"/>
                <w:color w:val="111827"/>
                <w:sz w:val="17"/>
              </w:rPr>
              <w:t>Parse specific sub-elements only</w:t>
            </w:r>
          </w:p>
        </w:tc>
        <w:tc>
          <w:tcPr>
            <w:tcW w:type="dxa" w:w="3528"/>
            <w:vAlign w:val="center"/>
            <w:shd w:fill="F5F7FA"/>
          </w:tcPr>
          <w:p>
            <w:pPr>
              <w:spacing w:after="0"/>
            </w:pPr>
            <w:r/>
            <w:r>
              <w:rPr>
                <w:rFonts w:ascii="Aptos" w:hAnsi="Aptos"/>
                <w:b w:val="0"/>
                <w:color w:val="111827"/>
                <w:sz w:val="17"/>
              </w:rPr>
              <w:t>Numeric diffusion parameters</w:t>
            </w:r>
          </w:p>
        </w:tc>
      </w:tr>
      <w:tr>
        <w:tc>
          <w:tcPr>
            <w:tcW w:type="dxa" w:w="2304"/>
            <w:vAlign w:val="center"/>
          </w:tcPr>
          <w:p>
            <w:pPr>
              <w:spacing w:after="0"/>
            </w:pPr>
            <w:r/>
            <w:r>
              <w:rPr>
                <w:rFonts w:ascii="Aptos" w:hAnsi="Aptos"/>
                <w:b w:val="0"/>
                <w:color w:val="111827"/>
                <w:sz w:val="17"/>
              </w:rPr>
              <w:t>Known unsafe creator</w:t>
            </w:r>
          </w:p>
        </w:tc>
        <w:tc>
          <w:tcPr>
            <w:tcW w:type="dxa" w:w="4464"/>
            <w:vAlign w:val="center"/>
          </w:tcPr>
          <w:p>
            <w:pPr>
              <w:spacing w:after="0"/>
            </w:pPr>
            <w:r/>
            <w:r>
              <w:rPr>
                <w:rFonts w:ascii="Aptos" w:hAnsi="Aptos"/>
                <w:b w:val="0"/>
                <w:color w:val="111827"/>
                <w:sz w:val="17"/>
              </w:rPr>
              <w:t>Drop</w:t>
            </w:r>
          </w:p>
        </w:tc>
        <w:tc>
          <w:tcPr>
            <w:tcW w:type="dxa" w:w="3528"/>
            <w:vAlign w:val="center"/>
          </w:tcPr>
          <w:p>
            <w:pPr>
              <w:spacing w:after="0"/>
            </w:pPr>
            <w:r/>
            <w:r>
              <w:rPr>
                <w:rFonts w:ascii="Aptos" w:hAnsi="Aptos"/>
                <w:b w:val="0"/>
                <w:color w:val="111827"/>
                <w:sz w:val="17"/>
              </w:rPr>
              <w:t>Demographic / technician notes</w:t>
            </w:r>
          </w:p>
        </w:tc>
      </w:tr>
      <w:tr>
        <w:tc>
          <w:tcPr>
            <w:tcW w:type="dxa" w:w="2304"/>
            <w:vAlign w:val="center"/>
            <w:shd w:fill="F5F7FA"/>
          </w:tcPr>
          <w:p>
            <w:pPr>
              <w:spacing w:after="0"/>
            </w:pPr>
            <w:r/>
            <w:r>
              <w:rPr>
                <w:rFonts w:ascii="Aptos" w:hAnsi="Aptos"/>
                <w:b w:val="0"/>
                <w:color w:val="111827"/>
                <w:sz w:val="17"/>
              </w:rPr>
              <w:t>Unknown non-private attribute</w:t>
            </w:r>
          </w:p>
        </w:tc>
        <w:tc>
          <w:tcPr>
            <w:tcW w:type="dxa" w:w="4464"/>
            <w:vAlign w:val="center"/>
            <w:shd w:fill="F5F7FA"/>
          </w:tcPr>
          <w:p>
            <w:pPr>
              <w:spacing w:after="0"/>
            </w:pPr>
            <w:r/>
            <w:r>
              <w:rPr>
                <w:rFonts w:ascii="Aptos" w:hAnsi="Aptos"/>
                <w:b w:val="0"/>
                <w:color w:val="111827"/>
                <w:sz w:val="17"/>
              </w:rPr>
              <w:t>Policy-specific review</w:t>
            </w:r>
          </w:p>
        </w:tc>
        <w:tc>
          <w:tcPr>
            <w:tcW w:type="dxa" w:w="3528"/>
            <w:vAlign w:val="center"/>
            <w:shd w:fill="F5F7FA"/>
          </w:tcPr>
          <w:p>
            <w:pPr>
              <w:spacing w:after="0"/>
            </w:pPr>
            <w:r/>
            <w:r>
              <w:rPr>
                <w:rFonts w:ascii="Aptos" w:hAnsi="Aptos"/>
                <w:b w:val="0"/>
                <w:color w:val="111827"/>
                <w:sz w:val="17"/>
              </w:rPr>
              <w:t>Unexpected free-text field</w:t>
            </w:r>
          </w:p>
        </w:tc>
      </w:tr>
      <w:tr>
        <w:tc>
          <w:tcPr>
            <w:tcW w:type="dxa" w:w="2304"/>
            <w:vAlign w:val="center"/>
          </w:tcPr>
          <w:p>
            <w:pPr>
              <w:spacing w:after="0"/>
            </w:pPr>
            <w:r/>
            <w:r>
              <w:rPr>
                <w:rFonts w:ascii="Aptos" w:hAnsi="Aptos"/>
                <w:b w:val="0"/>
                <w:color w:val="111827"/>
                <w:sz w:val="17"/>
              </w:rPr>
              <w:t>Retained field containing text</w:t>
            </w:r>
          </w:p>
        </w:tc>
        <w:tc>
          <w:tcPr>
            <w:tcW w:type="dxa" w:w="4464"/>
            <w:vAlign w:val="center"/>
          </w:tcPr>
          <w:p>
            <w:pPr>
              <w:spacing w:after="0"/>
            </w:pPr>
            <w:r/>
            <w:r>
              <w:rPr>
                <w:rFonts w:ascii="Aptos" w:hAnsi="Aptos"/>
                <w:b w:val="0"/>
                <w:color w:val="111827"/>
                <w:sz w:val="17"/>
              </w:rPr>
              <w:t>Run value-level PHI classifier</w:t>
            </w:r>
          </w:p>
        </w:tc>
        <w:tc>
          <w:tcPr>
            <w:tcW w:type="dxa" w:w="3528"/>
            <w:vAlign w:val="center"/>
          </w:tcPr>
          <w:p>
            <w:pPr>
              <w:spacing w:after="0"/>
            </w:pPr>
            <w:r/>
            <w:r>
              <w:rPr>
                <w:rFonts w:ascii="Aptos" w:hAnsi="Aptos"/>
                <w:b w:val="0"/>
                <w:color w:val="111827"/>
                <w:sz w:val="17"/>
              </w:rPr>
              <w:t>Study Description with a name</w:t>
            </w:r>
          </w:p>
        </w:tc>
      </w:tr>
    </w:tbl>
    <w:p>
      <w:pPr>
        <w:spacing w:after="20"/>
      </w:pPr>
    </w:p>
    <w:p>
      <w:pPr>
        <w:pStyle w:val="Heading2"/>
        <w:keepNext/>
      </w:pPr>
      <w:r>
        <w:t>5.3 Deterministic pseudonymization</w:t>
      </w:r>
    </w:p>
    <w:p>
      <w:pPr>
        <w:spacing w:after="120" w:line="259" w:lineRule="auto"/>
      </w:pPr>
      <w:r>
        <w:t>For controlled longitudinal research, the system can generate stable pseudonyms using a keyed cryptographic function. The original UID must not be exposed or used directly as a visible identifier.</w:t>
      </w:r>
    </w:p>
    <w:p>
      <w:r>
        <w:rPr>
          <w:b/>
          <w:color w:val="374151"/>
          <w:sz w:val="19"/>
        </w:rPr>
        <w:t>Recommended cryptographic pattern</w:t>
      </w:r>
    </w:p>
    <w:tbl>
      <w:tblPr>
        <w:tblW w:type="auto" w:w="0"/>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PseudoUID = OrganizationOID + "." + decimal(HMAC-SHA256(K_uid, OriginalUID)[0:N])</w:t>
              <w:br/>
            </w:r>
            <w:r>
              <w:rPr>
                <w:rFonts w:ascii="Consolas" w:hAnsi="Consolas"/>
                <w:color w:val="1F2937"/>
                <w:sz w:val="16"/>
              </w:rPr>
              <w:t>PseudoPatientID = "PX-" + Base32(HMAC-SHA256(K_patient, OriginalPatientID)[0:M])</w:t>
              <w:br/>
            </w:r>
            <w:r>
              <w:rPr>
                <w:rFonts w:ascii="Consolas" w:hAnsi="Consolas"/>
                <w:color w:val="1F2937"/>
                <w:sz w:val="16"/>
              </w:rPr>
              <w:br/>
            </w:r>
            <w:r>
              <w:rPr>
                <w:rFonts w:ascii="Consolas" w:hAnsi="Consolas"/>
                <w:color w:val="1F2937"/>
                <w:sz w:val="16"/>
              </w:rPr>
              <w:t>Properties:</w:t>
              <w:br/>
            </w:r>
            <w:r>
              <w:rPr>
                <w:rFonts w:ascii="Consolas" w:hAnsi="Consolas"/>
                <w:color w:val="1F2937"/>
                <w:sz w:val="16"/>
              </w:rPr>
              <w:t>- stable within the configured cryptographic domain</w:t>
              <w:br/>
            </w:r>
            <w:r>
              <w:rPr>
                <w:rFonts w:ascii="Consolas" w:hAnsi="Consolas"/>
                <w:color w:val="1F2937"/>
                <w:sz w:val="16"/>
              </w:rPr>
              <w:t>- not reversible without protected key material</w:t>
              <w:br/>
            </w:r>
            <w:r>
              <w:rPr>
                <w:rFonts w:ascii="Consolas" w:hAnsi="Consolas"/>
                <w:color w:val="1F2937"/>
                <w:sz w:val="16"/>
              </w:rPr>
              <w:t>- UID output is encoded as digits under the organization's OID prefix</w:t>
              <w:br/>
            </w:r>
            <w:r>
              <w:rPr>
                <w:rFonts w:ascii="Consolas" w:hAnsi="Consolas"/>
                <w:color w:val="1F2937"/>
                <w:sz w:val="16"/>
              </w:rPr>
              <w:t>- mapping scope is explicit: patient / study / series / instance</w:t>
            </w:r>
          </w:p>
        </w:tc>
      </w:tr>
    </w:tbl>
    <w:p>
      <w:pPr>
        <w:spacing w:after="40"/>
      </w:pPr>
    </w:p>
    <w:tbl>
      <w:tblPr>
        <w:tblW w:type="auto" w:w="0"/>
        <w:jc w:val="center"/>
        <w:tblLook w:firstColumn="1" w:firstRow="1" w:lastColumn="0" w:lastRow="0" w:noHBand="0" w:noVBand="1" w:val="04A0"/>
      </w:tblPr>
      <w:tblGrid>
        <w:gridCol w:w="10080"/>
      </w:tblGrid>
      <w:tr>
        <w:tc>
          <w:tcPr>
            <w:tcW w:type="dxa" w:w="10080"/>
            <w:shd w:fill="FFF8ED"/>
            <w:tcBorders>
              <w:top w:val="single" w:sz="8" w:color="9A6A18"/>
              <w:left w:val="single" w:sz="8" w:color="9A6A18"/>
              <w:bottom w:val="single" w:sz="8" w:color="9A6A18"/>
              <w:right w:val="single" w:sz="8" w:color="9A6A18"/>
            </w:tcBorders>
          </w:tcPr>
          <w:p>
            <w:pPr>
              <w:spacing w:after="40"/>
            </w:pPr>
            <w:r/>
            <w:r>
              <w:rPr>
                <w:rFonts w:ascii="Aptos Display" w:hAnsi="Aptos Display"/>
                <w:b/>
                <w:color w:val="9A6A18"/>
                <w:sz w:val="20"/>
              </w:rPr>
              <w:t>Important implementation detail</w:t>
            </w:r>
          </w:p>
          <w:p>
            <w:pPr>
              <w:spacing w:after="60"/>
            </w:pPr>
            <w:r>
              <w:rPr>
                <w:rFonts w:ascii="Aptos" w:hAnsi="Aptos"/>
                <w:color w:val="243447"/>
                <w:sz w:val="18"/>
              </w:rPr>
              <w:t>A hexadecimal HMAC digest is not directly a valid DICOM UID component. The implementation should convert selected digest bytes to a decimal component under an owned/root OID and enforce the DICOM UID length constraint.</w:t>
            </w:r>
          </w:p>
        </w:tc>
      </w:tr>
    </w:tbl>
    <w:p>
      <w:pPr>
        <w:spacing w:after="40"/>
      </w:pPr>
    </w:p>
    <w:p>
      <w:pPr>
        <w:pStyle w:val="Heading2"/>
        <w:keepNext/>
      </w:pPr>
      <w:r>
        <w:t>5.4 Cohort-consistent date shifting</w:t>
      </w:r>
    </w:p>
    <w:p>
      <w:pPr>
        <w:spacing w:after="120" w:line="259" w:lineRule="auto"/>
      </w:pPr>
      <w:r>
        <w:t>Where permitted by the research protocol, a deterministic patient-specific date offset can preserve intervals while changing calendar anchors. The policy should also specify whether month, season, weekday, or exact time relationships must be preserved. Dates that are legally required to be removed should be removed rather than shifted.</w:t>
      </w:r>
    </w:p>
    <w:tbl>
      <w:tblPr>
        <w:tblW w:type="auto" w:w="0"/>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delta_patient = HMAC(K_date, PatientDomainID) -&gt; integer offset</w:t>
              <w:br/>
            </w:r>
            <w:r>
              <w:rPr>
                <w:rFonts w:ascii="Consolas" w:hAnsi="Consolas"/>
                <w:color w:val="1F2937"/>
                <w:sz w:val="16"/>
              </w:rPr>
              <w:t>Every eligible date/time for that patient: shifted_value = original_value + delta_patient</w:t>
              <w:br/>
            </w:r>
            <w:r>
              <w:rPr>
                <w:rFonts w:ascii="Consolas" w:hAnsi="Consolas"/>
                <w:color w:val="1F2937"/>
                <w:sz w:val="16"/>
              </w:rPr>
              <w:br/>
            </w:r>
            <w:r>
              <w:rPr>
                <w:rFonts w:ascii="Consolas" w:hAnsi="Consolas"/>
                <w:color w:val="1F2937"/>
                <w:sz w:val="16"/>
              </w:rPr>
              <w:t>Invariant: interval(A, B) remains unchanged.</w:t>
              <w:br/>
            </w:r>
            <w:r>
              <w:rPr>
                <w:rFonts w:ascii="Consolas" w:hAnsi="Consolas"/>
                <w:color w:val="1F2937"/>
                <w:sz w:val="16"/>
              </w:rPr>
              <w:t>Constraint: never create impossible dates or violate policy-specific age/date rules.</w:t>
            </w:r>
          </w:p>
        </w:tc>
      </w:tr>
    </w:tbl>
    <w:p>
      <w:pPr>
        <w:spacing w:after="40"/>
      </w:pPr>
    </w:p>
    <w:p>
      <w:pPr>
        <w:pStyle w:val="Heading1"/>
        <w:keepNext/>
      </w:pPr>
      <w:r>
        <w:t>6. Plane 2 — Modality-Gated Pixel PHI Intelligence</w:t>
      </w:r>
    </w:p>
    <w:p>
      <w:pPr>
        <w:spacing w:after="120" w:line="259" w:lineRule="auto"/>
      </w:pPr>
      <w:r>
        <w:t>The supplied blueprints correctly identify burned-in pixel PHI as the major differentiator. The merged design retains the efficient modality router but adds multiple independent detectors and a metadata-to-pixel cross-check.</w:t>
      </w:r>
    </w:p>
    <w:p>
      <w:pPr>
        <w:pStyle w:val="Heading2"/>
        <w:keepNext/>
      </w:pPr>
      <w:r>
        <w:t>6.1 Risk-adaptive routing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66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Modality / object type</w:t>
            </w:r>
          </w:p>
        </w:tc>
        <w:tc>
          <w:tcPr>
            <w:tcW w:type="dxa" w:w="48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Default visual scan</w:t>
            </w:r>
          </w:p>
        </w:tc>
        <w:tc>
          <w:tcPr>
            <w:tcW w:type="dxa" w:w="288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Escalation trigger</w:t>
            </w:r>
          </w:p>
        </w:tc>
      </w:tr>
      <w:tr>
        <w:tc>
          <w:tcPr>
            <w:tcW w:type="dxa" w:w="2664"/>
            <w:vAlign w:val="center"/>
          </w:tcPr>
          <w:p>
            <w:pPr>
              <w:spacing w:after="0"/>
            </w:pPr>
            <w:r/>
            <w:r>
              <w:rPr>
                <w:rFonts w:ascii="Aptos" w:hAnsi="Aptos"/>
                <w:b w:val="0"/>
                <w:color w:val="111827"/>
                <w:sz w:val="16"/>
              </w:rPr>
              <w:t>Ultrasound / Secondary Capture / Nuclear Medicine / Optical / legacy radiographs</w:t>
            </w:r>
          </w:p>
        </w:tc>
        <w:tc>
          <w:tcPr>
            <w:tcW w:type="dxa" w:w="4824"/>
            <w:vAlign w:val="center"/>
          </w:tcPr>
          <w:p>
            <w:pPr>
              <w:spacing w:after="0"/>
            </w:pPr>
            <w:r/>
            <w:r>
              <w:rPr>
                <w:rFonts w:ascii="Aptos" w:hAnsi="Aptos"/>
                <w:b w:val="0"/>
                <w:color w:val="111827"/>
                <w:sz w:val="16"/>
              </w:rPr>
              <w:t>Full-frame text + barcode/QR scan; multi-frame temporal coherence when applicable.</w:t>
            </w:r>
          </w:p>
        </w:tc>
        <w:tc>
          <w:tcPr>
            <w:tcW w:type="dxa" w:w="2880"/>
            <w:vAlign w:val="center"/>
          </w:tcPr>
          <w:p>
            <w:pPr>
              <w:spacing w:after="0"/>
            </w:pPr>
            <w:r/>
            <w:r>
              <w:rPr>
                <w:rFonts w:ascii="Aptos" w:hAnsi="Aptos"/>
                <w:b w:val="0"/>
                <w:color w:val="111827"/>
                <w:sz w:val="16"/>
              </w:rPr>
              <w:t>Any credible text, code, or visual-identity candidate.</w:t>
            </w:r>
          </w:p>
        </w:tc>
      </w:tr>
      <w:tr>
        <w:tc>
          <w:tcPr>
            <w:tcW w:type="dxa" w:w="2664"/>
            <w:vAlign w:val="center"/>
            <w:shd w:fill="F5F7FA"/>
          </w:tcPr>
          <w:p>
            <w:pPr>
              <w:spacing w:after="0"/>
            </w:pPr>
            <w:r/>
            <w:r>
              <w:rPr>
                <w:rFonts w:ascii="Aptos" w:hAnsi="Aptos"/>
                <w:b w:val="0"/>
                <w:color w:val="111827"/>
                <w:sz w:val="16"/>
              </w:rPr>
              <w:t>CT / MRI volumetric series</w:t>
            </w:r>
          </w:p>
        </w:tc>
        <w:tc>
          <w:tcPr>
            <w:tcW w:type="dxa" w:w="4824"/>
            <w:vAlign w:val="center"/>
            <w:shd w:fill="F5F7FA"/>
          </w:tcPr>
          <w:p>
            <w:pPr>
              <w:spacing w:after="0"/>
            </w:pPr>
            <w:r/>
            <w:r>
              <w:rPr>
                <w:rFonts w:ascii="Aptos" w:hAnsi="Aptos"/>
                <w:b w:val="0"/>
                <w:color w:val="111827"/>
                <w:sz w:val="16"/>
              </w:rPr>
              <w:t>Adaptive sampling: scout/representative slices + perimeter checks, then full scan on triggered series.</w:t>
            </w:r>
          </w:p>
        </w:tc>
        <w:tc>
          <w:tcPr>
            <w:tcW w:type="dxa" w:w="2880"/>
            <w:vAlign w:val="center"/>
            <w:shd w:fill="F5F7FA"/>
          </w:tcPr>
          <w:p>
            <w:pPr>
              <w:spacing w:after="0"/>
            </w:pPr>
            <w:r/>
            <w:r>
              <w:rPr>
                <w:rFonts w:ascii="Aptos" w:hAnsi="Aptos"/>
                <w:b w:val="0"/>
                <w:color w:val="111827"/>
                <w:sz w:val="16"/>
              </w:rPr>
              <w:t>Detected text, unusual overlays, inconsistent flags, or review policy.</w:t>
            </w:r>
          </w:p>
        </w:tc>
      </w:tr>
      <w:tr>
        <w:tc>
          <w:tcPr>
            <w:tcW w:type="dxa" w:w="2664"/>
            <w:vAlign w:val="center"/>
          </w:tcPr>
          <w:p>
            <w:pPr>
              <w:spacing w:after="0"/>
            </w:pPr>
            <w:r/>
            <w:r>
              <w:rPr>
                <w:rFonts w:ascii="Aptos" w:hAnsi="Aptos"/>
                <w:b w:val="0"/>
                <w:color w:val="111827"/>
                <w:sz w:val="16"/>
              </w:rPr>
              <w:t>Multiframe cine</w:t>
            </w:r>
          </w:p>
        </w:tc>
        <w:tc>
          <w:tcPr>
            <w:tcW w:type="dxa" w:w="4824"/>
            <w:vAlign w:val="center"/>
          </w:tcPr>
          <w:p>
            <w:pPr>
              <w:spacing w:after="0"/>
            </w:pPr>
            <w:r/>
            <w:r>
              <w:rPr>
                <w:rFonts w:ascii="Aptos" w:hAnsi="Aptos"/>
                <w:b w:val="0"/>
                <w:color w:val="111827"/>
                <w:sz w:val="16"/>
              </w:rPr>
              <w:t>Detect stable overlay coordinates once; propagate candidate masks temporally, then verify representative frames.</w:t>
            </w:r>
          </w:p>
        </w:tc>
        <w:tc>
          <w:tcPr>
            <w:tcW w:type="dxa" w:w="2880"/>
            <w:vAlign w:val="center"/>
          </w:tcPr>
          <w:p>
            <w:pPr>
              <w:spacing w:after="0"/>
            </w:pPr>
            <w:r/>
            <w:r>
              <w:rPr>
                <w:rFonts w:ascii="Aptos" w:hAnsi="Aptos"/>
                <w:b w:val="0"/>
                <w:color w:val="111827"/>
                <w:sz w:val="16"/>
              </w:rPr>
              <w:t>Changing overlay geometry or frame-specific text.</w:t>
            </w:r>
          </w:p>
        </w:tc>
      </w:tr>
      <w:tr>
        <w:tc>
          <w:tcPr>
            <w:tcW w:type="dxa" w:w="2664"/>
            <w:vAlign w:val="center"/>
            <w:shd w:fill="F5F7FA"/>
          </w:tcPr>
          <w:p>
            <w:pPr>
              <w:spacing w:after="0"/>
            </w:pPr>
            <w:r/>
            <w:r>
              <w:rPr>
                <w:rFonts w:ascii="Aptos" w:hAnsi="Aptos"/>
                <w:b w:val="0"/>
                <w:color w:val="111827"/>
                <w:sz w:val="16"/>
              </w:rPr>
              <w:t>Encapsulated document / SR / waveform</w:t>
            </w:r>
          </w:p>
        </w:tc>
        <w:tc>
          <w:tcPr>
            <w:tcW w:type="dxa" w:w="4824"/>
            <w:vAlign w:val="center"/>
            <w:shd w:fill="F5F7FA"/>
          </w:tcPr>
          <w:p>
            <w:pPr>
              <w:spacing w:after="0"/>
            </w:pPr>
            <w:r/>
            <w:r>
              <w:rPr>
                <w:rFonts w:ascii="Aptos" w:hAnsi="Aptos"/>
                <w:b w:val="0"/>
                <w:color w:val="111827"/>
                <w:sz w:val="16"/>
              </w:rPr>
              <w:t>Payload-type-specific parsing and redaction rather than ordinary pixel OCR alone.</w:t>
            </w:r>
          </w:p>
        </w:tc>
        <w:tc>
          <w:tcPr>
            <w:tcW w:type="dxa" w:w="2880"/>
            <w:vAlign w:val="center"/>
            <w:shd w:fill="F5F7FA"/>
          </w:tcPr>
          <w:p>
            <w:pPr>
              <w:spacing w:after="0"/>
            </w:pPr>
            <w:r/>
            <w:r>
              <w:rPr>
                <w:rFonts w:ascii="Aptos" w:hAnsi="Aptos"/>
                <w:b w:val="0"/>
                <w:color w:val="111827"/>
                <w:sz w:val="16"/>
              </w:rPr>
              <w:t>Unsupported payload or failed re-serialization.</w:t>
            </w:r>
          </w:p>
        </w:tc>
      </w:tr>
    </w:tbl>
    <w:p>
      <w:pPr>
        <w:spacing w:after="20"/>
      </w:pPr>
    </w:p>
    <w:p>
      <w:pPr>
        <w:pStyle w:val="Heading2"/>
        <w:keepNext/>
      </w:pPr>
      <w:r>
        <w:t>6.2 Multi-stage detector</w:t>
      </w:r>
    </w:p>
    <w:p>
      <w:pPr>
        <w:spacing w:after="40"/>
        <w:ind w:left="72" w:hanging="72"/>
      </w:pPr>
      <w:r>
        <w:rPr>
          <w:b/>
        </w:rPr>
        <w:t xml:space="preserve">1.  </w:t>
      </w:r>
      <w:r>
        <w:rPr>
          <w:b/>
        </w:rPr>
        <w:t xml:space="preserve">Presence gate. </w:t>
      </w:r>
      <w:r>
        <w:t>A lightweight image classifier predicts whether the image/object is likely to contain burned-in annotations.</w:t>
      </w:r>
    </w:p>
    <w:p>
      <w:pPr>
        <w:spacing w:after="40"/>
        <w:ind w:left="72" w:hanging="72"/>
      </w:pPr>
      <w:r>
        <w:rPr>
          <w:b/>
        </w:rPr>
        <w:t xml:space="preserve">2.  </w:t>
      </w:r>
      <w:r>
        <w:rPr>
          <w:b/>
        </w:rPr>
        <w:t xml:space="preserve">Text localization. </w:t>
      </w:r>
      <w:r>
        <w:t>DBNet++, PaddleOCR detection, or another optimized detector produces oriented text regions.</w:t>
      </w:r>
    </w:p>
    <w:p>
      <w:pPr>
        <w:spacing w:after="40"/>
        <w:ind w:left="72" w:hanging="72"/>
      </w:pPr>
      <w:r>
        <w:rPr>
          <w:b/>
        </w:rPr>
        <w:t xml:space="preserve">3.  </w:t>
      </w:r>
      <w:r>
        <w:rPr>
          <w:b/>
        </w:rPr>
        <w:t xml:space="preserve">OCR. </w:t>
      </w:r>
      <w:r>
        <w:t>An OCR engine reads candidate regions; preprocessing can include contrast normalization, rotation handling, and modality-aware crops.</w:t>
      </w:r>
    </w:p>
    <w:p>
      <w:pPr>
        <w:spacing w:after="40"/>
        <w:ind w:left="72" w:hanging="72"/>
      </w:pPr>
      <w:r>
        <w:rPr>
          <w:b/>
        </w:rPr>
        <w:t xml:space="preserve">4.  </w:t>
      </w:r>
      <w:r>
        <w:rPr>
          <w:b/>
        </w:rPr>
        <w:t xml:space="preserve">PHI semantic classifier. </w:t>
      </w:r>
      <w:r>
        <w:t>Regex, dictionaries, entity recognition, and contextual rules distinguish patient/hospital identifiers from clinically useful labels.</w:t>
      </w:r>
    </w:p>
    <w:p>
      <w:pPr>
        <w:spacing w:after="40"/>
        <w:ind w:left="72" w:hanging="72"/>
      </w:pPr>
      <w:r>
        <w:rPr>
          <w:b/>
        </w:rPr>
        <w:t xml:space="preserve">5.  </w:t>
      </w:r>
      <w:r>
        <w:rPr>
          <w:b/>
        </w:rPr>
        <w:t xml:space="preserve">Barcode/QR decoder. </w:t>
      </w:r>
      <w:r>
        <w:t>Machine-readable code content is decoded and treated as sensitive when it maps to identity or operational identifiers.</w:t>
      </w:r>
    </w:p>
    <w:p>
      <w:pPr>
        <w:spacing w:after="40"/>
        <w:ind w:left="72" w:hanging="72"/>
      </w:pPr>
      <w:r>
        <w:rPr>
          <w:b/>
        </w:rPr>
        <w:t xml:space="preserve">6.  </w:t>
      </w:r>
      <w:r>
        <w:rPr>
          <w:b/>
        </w:rPr>
        <w:t xml:space="preserve">Metadata-to-pixel correlation. </w:t>
      </w:r>
      <w:r>
        <w:t>Known patient names, IDs, accession numbers, or dates from metadata are searched against OCR output to increase or decrease confidence.</w:t>
      </w:r>
    </w:p>
    <w:p>
      <w:pPr>
        <w:spacing w:after="40"/>
        <w:ind w:left="72" w:hanging="72"/>
      </w:pPr>
      <w:r>
        <w:rPr>
          <w:b/>
        </w:rPr>
        <w:t xml:space="preserve">7.  </w:t>
      </w:r>
      <w:r>
        <w:rPr>
          <w:b/>
        </w:rPr>
        <w:t xml:space="preserve">Visual identity scan. </w:t>
      </w:r>
      <w:r>
        <w:t>Optional face/recognizable-feature checks are applied according to policy and modality.</w:t>
      </w:r>
    </w:p>
    <w:p>
      <w:pPr>
        <w:pStyle w:val="Heading2"/>
        <w:keepNext/>
      </w:pPr>
      <w:r>
        <w:t>6.3 Context sieve: preserve what is clinically useful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Class</w:t>
            </w:r>
          </w:p>
        </w:tc>
        <w:tc>
          <w:tcPr>
            <w:tcW w:type="dxa" w:w="547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Examples</w:t>
            </w:r>
          </w:p>
        </w:tc>
        <w:tc>
          <w:tcPr>
            <w:tcW w:type="dxa" w:w="288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Default decision</w:t>
            </w:r>
          </w:p>
        </w:tc>
      </w:tr>
      <w:tr>
        <w:tc>
          <w:tcPr>
            <w:tcW w:type="dxa" w:w="2088"/>
            <w:vAlign w:val="center"/>
          </w:tcPr>
          <w:p>
            <w:pPr>
              <w:spacing w:after="0"/>
            </w:pPr>
            <w:r/>
            <w:r>
              <w:rPr>
                <w:rFonts w:ascii="Aptos" w:hAnsi="Aptos"/>
                <w:b w:val="0"/>
                <w:color w:val="111827"/>
                <w:sz w:val="16"/>
              </w:rPr>
              <w:t>A — identity PHI</w:t>
            </w:r>
          </w:p>
        </w:tc>
        <w:tc>
          <w:tcPr>
            <w:tcW w:type="dxa" w:w="5472"/>
            <w:vAlign w:val="center"/>
          </w:tcPr>
          <w:p>
            <w:pPr>
              <w:spacing w:after="0"/>
            </w:pPr>
            <w:r/>
            <w:r>
              <w:rPr>
                <w:rFonts w:ascii="Aptos" w:hAnsi="Aptos"/>
                <w:b w:val="0"/>
                <w:color w:val="111827"/>
                <w:sz w:val="16"/>
              </w:rPr>
              <w:t>Patient name, MRN, accession, DOB, hospital identifier</w:t>
            </w:r>
          </w:p>
        </w:tc>
        <w:tc>
          <w:tcPr>
            <w:tcW w:type="dxa" w:w="2880"/>
            <w:vAlign w:val="center"/>
          </w:tcPr>
          <w:p>
            <w:pPr>
              <w:spacing w:after="0"/>
            </w:pPr>
            <w:r/>
            <w:r>
              <w:rPr>
                <w:rFonts w:ascii="Aptos" w:hAnsi="Aptos"/>
                <w:b w:val="0"/>
                <w:color w:val="111827"/>
                <w:sz w:val="16"/>
              </w:rPr>
              <w:t>Redact/replace according to policy</w:t>
            </w:r>
          </w:p>
        </w:tc>
      </w:tr>
      <w:tr>
        <w:tc>
          <w:tcPr>
            <w:tcW w:type="dxa" w:w="2088"/>
            <w:vAlign w:val="center"/>
            <w:shd w:fill="F5F7FA"/>
          </w:tcPr>
          <w:p>
            <w:pPr>
              <w:spacing w:after="0"/>
            </w:pPr>
            <w:r/>
            <w:r>
              <w:rPr>
                <w:rFonts w:ascii="Aptos" w:hAnsi="Aptos"/>
                <w:b w:val="0"/>
                <w:color w:val="111827"/>
                <w:sz w:val="16"/>
              </w:rPr>
              <w:t>B — clinical/operational annotation</w:t>
            </w:r>
          </w:p>
        </w:tc>
        <w:tc>
          <w:tcPr>
            <w:tcW w:type="dxa" w:w="5472"/>
            <w:vAlign w:val="center"/>
            <w:shd w:fill="F5F7FA"/>
          </w:tcPr>
          <w:p>
            <w:pPr>
              <w:spacing w:after="0"/>
            </w:pPr>
            <w:r/>
            <w:r>
              <w:rPr>
                <w:rFonts w:ascii="Aptos" w:hAnsi="Aptos"/>
                <w:b w:val="0"/>
                <w:color w:val="111827"/>
                <w:sz w:val="16"/>
              </w:rPr>
              <w:t>L/R, AP/LAT, scale, gain, kVp, mA, FOV</w:t>
            </w:r>
          </w:p>
        </w:tc>
        <w:tc>
          <w:tcPr>
            <w:tcW w:type="dxa" w:w="2880"/>
            <w:vAlign w:val="center"/>
            <w:shd w:fill="F5F7FA"/>
          </w:tcPr>
          <w:p>
            <w:pPr>
              <w:spacing w:after="0"/>
            </w:pPr>
            <w:r/>
            <w:r>
              <w:rPr>
                <w:rFonts w:ascii="Aptos" w:hAnsi="Aptos"/>
                <w:b w:val="0"/>
                <w:color w:val="111827"/>
                <w:sz w:val="16"/>
              </w:rPr>
              <w:t>Preserve unless the selected policy says otherwise</w:t>
            </w:r>
          </w:p>
        </w:tc>
      </w:tr>
      <w:tr>
        <w:tc>
          <w:tcPr>
            <w:tcW w:type="dxa" w:w="2088"/>
            <w:vAlign w:val="center"/>
          </w:tcPr>
          <w:p>
            <w:pPr>
              <w:spacing w:after="0"/>
            </w:pPr>
            <w:r/>
            <w:r>
              <w:rPr>
                <w:rFonts w:ascii="Aptos" w:hAnsi="Aptos"/>
                <w:b w:val="0"/>
                <w:color w:val="111827"/>
                <w:sz w:val="16"/>
              </w:rPr>
              <w:t>C — diagnostic field overlap</w:t>
            </w:r>
          </w:p>
        </w:tc>
        <w:tc>
          <w:tcPr>
            <w:tcW w:type="dxa" w:w="5472"/>
            <w:vAlign w:val="center"/>
          </w:tcPr>
          <w:p>
            <w:pPr>
              <w:spacing w:after="0"/>
            </w:pPr>
            <w:r/>
            <w:r>
              <w:rPr>
                <w:rFonts w:ascii="Aptos" w:hAnsi="Aptos"/>
                <w:b w:val="0"/>
                <w:color w:val="111827"/>
                <w:sz w:val="16"/>
              </w:rPr>
              <w:t>Text candidate inside active anatomy / tissue field</w:t>
            </w:r>
          </w:p>
        </w:tc>
        <w:tc>
          <w:tcPr>
            <w:tcW w:type="dxa" w:w="2880"/>
            <w:vAlign w:val="center"/>
          </w:tcPr>
          <w:p>
            <w:pPr>
              <w:spacing w:after="0"/>
            </w:pPr>
            <w:r/>
            <w:r>
              <w:rPr>
                <w:rFonts w:ascii="Aptos" w:hAnsi="Aptos"/>
                <w:b w:val="0"/>
                <w:color w:val="111827"/>
                <w:sz w:val="16"/>
              </w:rPr>
              <w:t>Require higher confidence or human review</w:t>
            </w:r>
          </w:p>
        </w:tc>
      </w:tr>
      <w:tr>
        <w:tc>
          <w:tcPr>
            <w:tcW w:type="dxa" w:w="2088"/>
            <w:vAlign w:val="center"/>
            <w:shd w:fill="F5F7FA"/>
          </w:tcPr>
          <w:p>
            <w:pPr>
              <w:spacing w:after="0"/>
            </w:pPr>
            <w:r/>
            <w:r>
              <w:rPr>
                <w:rFonts w:ascii="Aptos" w:hAnsi="Aptos"/>
                <w:b w:val="0"/>
                <w:color w:val="111827"/>
                <w:sz w:val="16"/>
              </w:rPr>
              <w:t>D — uncertain</w:t>
            </w:r>
          </w:p>
        </w:tc>
        <w:tc>
          <w:tcPr>
            <w:tcW w:type="dxa" w:w="5472"/>
            <w:vAlign w:val="center"/>
            <w:shd w:fill="F5F7FA"/>
          </w:tcPr>
          <w:p>
            <w:pPr>
              <w:spacing w:after="0"/>
            </w:pPr>
            <w:r/>
            <w:r>
              <w:rPr>
                <w:rFonts w:ascii="Aptos" w:hAnsi="Aptos"/>
                <w:b w:val="0"/>
                <w:color w:val="111827"/>
                <w:sz w:val="16"/>
              </w:rPr>
              <w:t>Low OCR confidence, ambiguous short text, unusual glyphs</w:t>
            </w:r>
          </w:p>
        </w:tc>
        <w:tc>
          <w:tcPr>
            <w:tcW w:type="dxa" w:w="2880"/>
            <w:vAlign w:val="center"/>
            <w:shd w:fill="F5F7FA"/>
          </w:tcPr>
          <w:p>
            <w:pPr>
              <w:spacing w:after="0"/>
            </w:pPr>
            <w:r/>
            <w:r>
              <w:rPr>
                <w:rFonts w:ascii="Aptos" w:hAnsi="Aptos"/>
                <w:b w:val="0"/>
                <w:color w:val="111827"/>
                <w:sz w:val="16"/>
              </w:rPr>
              <w:t>Review or block; do not silently export</w:t>
            </w:r>
          </w:p>
        </w:tc>
      </w:tr>
    </w:tbl>
    <w:p>
      <w:pPr>
        <w:spacing w:after="20"/>
      </w:pPr>
    </w:p>
    <w:p>
      <w:pPr>
        <w:pStyle w:val="Heading1"/>
        <w:keepNext/>
      </w:pPr>
      <w:r>
        <w:t>7. Diagnostic-Preserving Redaction &amp; Transformation</w:t>
      </w:r>
    </w:p>
    <w:p>
      <w:pPr>
        <w:spacing w:after="120" w:line="259" w:lineRule="auto"/>
      </w:pPr>
      <w:r>
        <w:t>The source blueprints include black-box masking, inpainting, and generative restoration. The merged design changes the priority order to make preservation and safety explicit.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86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Priority</w:t>
            </w:r>
          </w:p>
        </w:tc>
        <w:tc>
          <w:tcPr>
            <w:tcW w:type="dxa" w:w="30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Technique</w:t>
            </w:r>
          </w:p>
        </w:tc>
        <w:tc>
          <w:tcPr>
            <w:tcW w:type="dxa" w:w="352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When to use</w:t>
            </w:r>
          </w:p>
        </w:tc>
        <w:tc>
          <w:tcPr>
            <w:tcW w:type="dxa" w:w="30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Risk control</w:t>
            </w:r>
          </w:p>
        </w:tc>
      </w:tr>
      <w:tr>
        <w:tc>
          <w:tcPr>
            <w:tcW w:type="dxa" w:w="864"/>
            <w:vAlign w:val="center"/>
          </w:tcPr>
          <w:p>
            <w:pPr>
              <w:spacing w:after="0"/>
            </w:pPr>
            <w:r/>
            <w:r>
              <w:rPr>
                <w:rFonts w:ascii="Aptos" w:hAnsi="Aptos"/>
                <w:b w:val="0"/>
                <w:color w:val="111827"/>
                <w:sz w:val="16"/>
              </w:rPr>
              <w:t>1</w:t>
            </w:r>
          </w:p>
        </w:tc>
        <w:tc>
          <w:tcPr>
            <w:tcW w:type="dxa" w:w="3024"/>
            <w:vAlign w:val="center"/>
          </w:tcPr>
          <w:p>
            <w:pPr>
              <w:spacing w:after="0"/>
            </w:pPr>
            <w:r/>
            <w:r>
              <w:rPr>
                <w:rFonts w:ascii="Aptos" w:hAnsi="Aptos"/>
                <w:b w:val="0"/>
                <w:color w:val="111827"/>
                <w:sz w:val="16"/>
              </w:rPr>
              <w:t>Graphic/overlay removal</w:t>
            </w:r>
          </w:p>
        </w:tc>
        <w:tc>
          <w:tcPr>
            <w:tcW w:type="dxa" w:w="3528"/>
            <w:vAlign w:val="center"/>
          </w:tcPr>
          <w:p>
            <w:pPr>
              <w:spacing w:after="0"/>
            </w:pPr>
            <w:r/>
            <w:r>
              <w:rPr>
                <w:rFonts w:ascii="Aptos" w:hAnsi="Aptos"/>
                <w:b w:val="0"/>
                <w:color w:val="111827"/>
                <w:sz w:val="16"/>
              </w:rPr>
              <w:t>When annotation is a separate graphics/overlay object rather than baked into diagnostic pixels.</w:t>
            </w:r>
          </w:p>
        </w:tc>
        <w:tc>
          <w:tcPr>
            <w:tcW w:type="dxa" w:w="3024"/>
            <w:vAlign w:val="center"/>
          </w:tcPr>
          <w:p>
            <w:pPr>
              <w:spacing w:after="0"/>
            </w:pPr>
            <w:r/>
            <w:r>
              <w:rPr>
                <w:rFonts w:ascii="Aptos" w:hAnsi="Aptos"/>
                <w:b w:val="0"/>
                <w:color w:val="111827"/>
                <w:sz w:val="16"/>
              </w:rPr>
              <w:t>Preferred because no anatomy is reconstructed.</w:t>
            </w:r>
          </w:p>
        </w:tc>
      </w:tr>
      <w:tr>
        <w:tc>
          <w:tcPr>
            <w:tcW w:type="dxa" w:w="864"/>
            <w:vAlign w:val="center"/>
            <w:shd w:fill="F5F7FA"/>
          </w:tcPr>
          <w:p>
            <w:pPr>
              <w:spacing w:after="0"/>
            </w:pPr>
            <w:r/>
            <w:r>
              <w:rPr>
                <w:rFonts w:ascii="Aptos" w:hAnsi="Aptos"/>
                <w:b w:val="0"/>
                <w:color w:val="111827"/>
                <w:sz w:val="16"/>
              </w:rPr>
              <w:t>2</w:t>
            </w:r>
          </w:p>
        </w:tc>
        <w:tc>
          <w:tcPr>
            <w:tcW w:type="dxa" w:w="3024"/>
            <w:vAlign w:val="center"/>
            <w:shd w:fill="F5F7FA"/>
          </w:tcPr>
          <w:p>
            <w:pPr>
              <w:spacing w:after="0"/>
            </w:pPr>
            <w:r/>
            <w:r>
              <w:rPr>
                <w:rFonts w:ascii="Aptos" w:hAnsi="Aptos"/>
                <w:b w:val="0"/>
                <w:color w:val="111827"/>
                <w:sz w:val="16"/>
              </w:rPr>
              <w:t>Localized background replacement</w:t>
            </w:r>
          </w:p>
        </w:tc>
        <w:tc>
          <w:tcPr>
            <w:tcW w:type="dxa" w:w="3528"/>
            <w:vAlign w:val="center"/>
            <w:shd w:fill="F5F7FA"/>
          </w:tcPr>
          <w:p>
            <w:pPr>
              <w:spacing w:after="0"/>
            </w:pPr>
            <w:r/>
            <w:r>
              <w:rPr>
                <w:rFonts w:ascii="Aptos" w:hAnsi="Aptos"/>
                <w:b w:val="0"/>
                <w:color w:val="111827"/>
                <w:sz w:val="16"/>
              </w:rPr>
              <w:t>Solid margins / letterboxed overlays with stable background statistics.</w:t>
            </w:r>
          </w:p>
        </w:tc>
        <w:tc>
          <w:tcPr>
            <w:tcW w:type="dxa" w:w="3024"/>
            <w:vAlign w:val="center"/>
            <w:shd w:fill="F5F7FA"/>
          </w:tcPr>
          <w:p>
            <w:pPr>
              <w:spacing w:after="0"/>
            </w:pPr>
            <w:r/>
            <w:r>
              <w:rPr>
                <w:rFonts w:ascii="Aptos" w:hAnsi="Aptos"/>
                <w:b w:val="0"/>
                <w:color w:val="111827"/>
                <w:sz w:val="16"/>
              </w:rPr>
              <w:t>Preserves nearby pixel distribution; no synthetic anatomy.</w:t>
            </w:r>
          </w:p>
        </w:tc>
      </w:tr>
      <w:tr>
        <w:tc>
          <w:tcPr>
            <w:tcW w:type="dxa" w:w="864"/>
            <w:vAlign w:val="center"/>
          </w:tcPr>
          <w:p>
            <w:pPr>
              <w:spacing w:after="0"/>
            </w:pPr>
            <w:r/>
            <w:r>
              <w:rPr>
                <w:rFonts w:ascii="Aptos" w:hAnsi="Aptos"/>
                <w:b w:val="0"/>
                <w:color w:val="111827"/>
                <w:sz w:val="16"/>
              </w:rPr>
              <w:t>3</w:t>
            </w:r>
          </w:p>
        </w:tc>
        <w:tc>
          <w:tcPr>
            <w:tcW w:type="dxa" w:w="3024"/>
            <w:vAlign w:val="center"/>
          </w:tcPr>
          <w:p>
            <w:pPr>
              <w:spacing w:after="0"/>
            </w:pPr>
            <w:r/>
            <w:r>
              <w:rPr>
                <w:rFonts w:ascii="Aptos" w:hAnsi="Aptos"/>
                <w:b w:val="0"/>
                <w:color w:val="111827"/>
                <w:sz w:val="16"/>
              </w:rPr>
              <w:t>Deterministic local inpainting</w:t>
            </w:r>
          </w:p>
        </w:tc>
        <w:tc>
          <w:tcPr>
            <w:tcW w:type="dxa" w:w="3528"/>
            <w:vAlign w:val="center"/>
          </w:tcPr>
          <w:p>
            <w:pPr>
              <w:spacing w:after="0"/>
            </w:pPr>
            <w:r/>
            <w:r>
              <w:rPr>
                <w:rFonts w:ascii="Aptos" w:hAnsi="Aptos"/>
                <w:b w:val="0"/>
                <w:color w:val="111827"/>
                <w:sz w:val="16"/>
              </w:rPr>
              <w:t>Text over benign background where a small mask is required.</w:t>
            </w:r>
          </w:p>
        </w:tc>
        <w:tc>
          <w:tcPr>
            <w:tcW w:type="dxa" w:w="3024"/>
            <w:vAlign w:val="center"/>
          </w:tcPr>
          <w:p>
            <w:pPr>
              <w:spacing w:after="0"/>
            </w:pPr>
            <w:r/>
            <w:r>
              <w:rPr>
                <w:rFonts w:ascii="Aptos" w:hAnsi="Aptos"/>
                <w:b w:val="0"/>
                <w:color w:val="111827"/>
                <w:sz w:val="16"/>
              </w:rPr>
              <w:t>Use only inside approved region; validate surrounding pixels.</w:t>
            </w:r>
          </w:p>
        </w:tc>
      </w:tr>
      <w:tr>
        <w:tc>
          <w:tcPr>
            <w:tcW w:type="dxa" w:w="864"/>
            <w:vAlign w:val="center"/>
            <w:shd w:fill="F5F7FA"/>
          </w:tcPr>
          <w:p>
            <w:pPr>
              <w:spacing w:after="0"/>
            </w:pPr>
            <w:r/>
            <w:r>
              <w:rPr>
                <w:rFonts w:ascii="Aptos" w:hAnsi="Aptos"/>
                <w:b w:val="0"/>
                <w:color w:val="111827"/>
                <w:sz w:val="16"/>
              </w:rPr>
              <w:t>4</w:t>
            </w:r>
          </w:p>
        </w:tc>
        <w:tc>
          <w:tcPr>
            <w:tcW w:type="dxa" w:w="3024"/>
            <w:vAlign w:val="center"/>
            <w:shd w:fill="F5F7FA"/>
          </w:tcPr>
          <w:p>
            <w:pPr>
              <w:spacing w:after="0"/>
            </w:pPr>
            <w:r/>
            <w:r>
              <w:rPr>
                <w:rFonts w:ascii="Aptos" w:hAnsi="Aptos"/>
                <w:b w:val="0"/>
                <w:color w:val="111827"/>
                <w:sz w:val="16"/>
              </w:rPr>
              <w:t>Human-edited mask</w:t>
            </w:r>
          </w:p>
        </w:tc>
        <w:tc>
          <w:tcPr>
            <w:tcW w:type="dxa" w:w="3528"/>
            <w:vAlign w:val="center"/>
            <w:shd w:fill="F5F7FA"/>
          </w:tcPr>
          <w:p>
            <w:pPr>
              <w:spacing w:after="0"/>
            </w:pPr>
            <w:r/>
            <w:r>
              <w:rPr>
                <w:rFonts w:ascii="Aptos" w:hAnsi="Aptos"/>
                <w:b w:val="0"/>
                <w:color w:val="111827"/>
                <w:sz w:val="16"/>
              </w:rPr>
              <w:t>PHI overlaps meaningful anatomy or the mask is ambiguous.</w:t>
            </w:r>
          </w:p>
        </w:tc>
        <w:tc>
          <w:tcPr>
            <w:tcW w:type="dxa" w:w="3024"/>
            <w:vAlign w:val="center"/>
            <w:shd w:fill="F5F7FA"/>
          </w:tcPr>
          <w:p>
            <w:pPr>
              <w:spacing w:after="0"/>
            </w:pPr>
            <w:r/>
            <w:r>
              <w:rPr>
                <w:rFonts w:ascii="Aptos" w:hAnsi="Aptos"/>
                <w:b w:val="0"/>
                <w:color w:val="111827"/>
                <w:sz w:val="16"/>
              </w:rPr>
              <w:t>Human approval required before export.</w:t>
            </w:r>
          </w:p>
        </w:tc>
      </w:tr>
      <w:tr>
        <w:tc>
          <w:tcPr>
            <w:tcW w:type="dxa" w:w="864"/>
            <w:vAlign w:val="center"/>
          </w:tcPr>
          <w:p>
            <w:pPr>
              <w:spacing w:after="0"/>
            </w:pPr>
            <w:r/>
            <w:r>
              <w:rPr>
                <w:rFonts w:ascii="Aptos" w:hAnsi="Aptos"/>
                <w:b w:val="0"/>
                <w:color w:val="111827"/>
                <w:sz w:val="16"/>
              </w:rPr>
              <w:t>5</w:t>
            </w:r>
          </w:p>
        </w:tc>
        <w:tc>
          <w:tcPr>
            <w:tcW w:type="dxa" w:w="3024"/>
            <w:vAlign w:val="center"/>
          </w:tcPr>
          <w:p>
            <w:pPr>
              <w:spacing w:after="0"/>
            </w:pPr>
            <w:r/>
            <w:r>
              <w:rPr>
                <w:rFonts w:ascii="Aptos" w:hAnsi="Aptos"/>
                <w:b w:val="0"/>
                <w:color w:val="111827"/>
                <w:sz w:val="16"/>
              </w:rPr>
              <w:t>Experimental generative restoration</w:t>
            </w:r>
          </w:p>
        </w:tc>
        <w:tc>
          <w:tcPr>
            <w:tcW w:type="dxa" w:w="3528"/>
            <w:vAlign w:val="center"/>
          </w:tcPr>
          <w:p>
            <w:pPr>
              <w:spacing w:after="0"/>
            </w:pPr>
            <w:r/>
            <w:r>
              <w:rPr>
                <w:rFonts w:ascii="Aptos" w:hAnsi="Aptos"/>
                <w:b w:val="0"/>
                <w:color w:val="111827"/>
                <w:sz w:val="16"/>
              </w:rPr>
              <w:t>Research-only extension with explicit evaluation.</w:t>
            </w:r>
          </w:p>
        </w:tc>
        <w:tc>
          <w:tcPr>
            <w:tcW w:type="dxa" w:w="3024"/>
            <w:vAlign w:val="center"/>
          </w:tcPr>
          <w:p>
            <w:pPr>
              <w:spacing w:after="0"/>
            </w:pPr>
            <w:r/>
            <w:r>
              <w:rPr>
                <w:rFonts w:ascii="Aptos" w:hAnsi="Aptos"/>
                <w:b w:val="0"/>
                <w:color w:val="111827"/>
                <w:sz w:val="16"/>
              </w:rPr>
              <w:t>Never default; require strict comparative validation.</w:t>
            </w:r>
          </w:p>
        </w:tc>
      </w:tr>
    </w:tbl>
    <w:p>
      <w:pPr>
        <w:spacing w:after="20"/>
      </w:pPr>
    </w:p>
    <w:p>
      <w:pPr>
        <w:pStyle w:val="Heading2"/>
        <w:keepNext/>
      </w:pPr>
      <w:r>
        <w:t>7.1 Why generative inpainting is not the default</w:t>
      </w:r>
    </w:p>
    <w:p>
      <w:pPr>
        <w:spacing w:after="120" w:line="259" w:lineRule="auto"/>
      </w:pPr>
      <w:r>
        <w:t>A privacy tool should not replace an identifying label by inventing clinically meaningful structures. A generative model may produce plausible but non-original patterns. For research integrity, the safer default is deterministic masking/background restoration with strict spatial containment tests. Generative restoration can remain an optional research module whose effect on downstream models is separately evaluated.</w:t>
      </w:r>
    </w:p>
    <w:p>
      <w:pPr>
        <w:pStyle w:val="Heading2"/>
        <w:keepNext/>
      </w:pPr>
      <w:r>
        <w:t>7.2 Radiometric integrity rules</w:t>
      </w:r>
    </w:p>
    <w:p>
      <w:pPr>
        <w:pStyle w:val="ListBullet"/>
        <w:spacing w:after="40"/>
        <w:ind w:left="288"/>
      </w:pPr>
      <w:r>
        <w:rPr>
          <w:b/>
        </w:rPr>
        <w:t xml:space="preserve">Native bit depth: </w:t>
      </w:r>
      <w:r>
        <w:t>Process monochrome images at their native 12/16-bit representation whenever possible; do not silently convert CT/MR source data to 8-bit RGB for the final file.</w:t>
      </w:r>
    </w:p>
    <w:p>
      <w:pPr>
        <w:pStyle w:val="ListBullet"/>
        <w:spacing w:after="40"/>
        <w:ind w:left="288"/>
      </w:pPr>
      <w:r>
        <w:rPr>
          <w:b/>
        </w:rPr>
        <w:t xml:space="preserve">Rescale semantics: </w:t>
      </w:r>
      <w:r>
        <w:t>Do not change Rescale Slope/Intercept merely to accommodate redaction; update only what is technically required by a justified, validated encoding change.</w:t>
      </w:r>
    </w:p>
    <w:p>
      <w:pPr>
        <w:pStyle w:val="ListBullet"/>
        <w:spacing w:after="40"/>
        <w:ind w:left="288"/>
      </w:pPr>
      <w:r>
        <w:rPr>
          <w:b/>
        </w:rPr>
        <w:t xml:space="preserve">Spatial invariants: </w:t>
      </w:r>
      <w:r>
        <w:t>Rows, Columns, Frames, Pixel Spacing, orientation, slice geometry and other required attributes must remain consistent unless the policy explicitly allows changes.</w:t>
      </w:r>
    </w:p>
    <w:p>
      <w:pPr>
        <w:pStyle w:val="ListBullet"/>
        <w:spacing w:after="40"/>
        <w:ind w:left="288"/>
      </w:pPr>
      <w:r>
        <w:rPr>
          <w:b/>
        </w:rPr>
        <w:t xml:space="preserve">Changed-pixel containment: </w:t>
      </w:r>
      <w:r>
        <w:t>Every modified pixel should fall inside an approved redaction mask or a documented transformation region.</w:t>
      </w:r>
    </w:p>
    <w:p>
      <w:pPr>
        <w:pStyle w:val="Heading2"/>
        <w:keepNext/>
      </w:pPr>
      <w:r>
        <w:t>7.3 Multi-frame temporal coherence</w:t>
      </w:r>
    </w:p>
    <w:p>
      <w:pPr>
        <w:spacing w:after="120" w:line="259" w:lineRule="auto"/>
      </w:pPr>
      <w:r>
        <w:t>For cine loops, detect persistent overlays once, propagate the mask across frames when geometry is stable, and sample multiple frames to verify that the redaction remains aligned. Frame-specific annotations must be detected separately. This avoids flicker and reduces redundant OCR work.</w:t>
      </w:r>
    </w:p>
    <w:p>
      <w:pPr>
        <w:pStyle w:val="Heading1"/>
        <w:keepNext/>
      </w:pPr>
      <w:r>
        <w:t>8. Study Graph, UID Continuity &amp; Reference Safety</w:t>
      </w:r>
    </w:p>
    <w:p>
      <w:pPr>
        <w:spacing w:after="120" w:line="259" w:lineRule="auto"/>
      </w:pPr>
      <w:r>
        <w:t>DICOM de-identification must preserve logical relationships between related instances. The system therefore constructs a graph before modifying identifiers.</w:t>
      </w:r>
    </w:p>
    <w:tbl>
      <w:tblPr>
        <w:tblW w:type="auto" w:w="0"/>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PatientDomain</w:t>
              <w:br/>
            </w:r>
            <w:r>
              <w:rPr>
                <w:rFonts w:ascii="Consolas" w:hAnsi="Consolas"/>
                <w:color w:val="1F2937"/>
                <w:sz w:val="16"/>
              </w:rPr>
              <w:t xml:space="preserve">  |</w:t>
              <w:br/>
            </w:r>
            <w:r>
              <w:rPr>
                <w:rFonts w:ascii="Consolas" w:hAnsi="Consolas"/>
                <w:color w:val="1F2937"/>
                <w:sz w:val="16"/>
              </w:rPr>
              <w:t xml:space="preserve">  +-- StudyInstanceUID S1</w:t>
              <w:br/>
            </w:r>
            <w:r>
              <w:rPr>
                <w:rFonts w:ascii="Consolas" w:hAnsi="Consolas"/>
                <w:color w:val="1F2937"/>
                <w:sz w:val="16"/>
              </w:rPr>
              <w:t xml:space="preserve">        |</w:t>
              <w:br/>
            </w:r>
            <w:r>
              <w:rPr>
                <w:rFonts w:ascii="Consolas" w:hAnsi="Consolas"/>
                <w:color w:val="1F2937"/>
                <w:sz w:val="16"/>
              </w:rPr>
              <w:t xml:space="preserve">        +-- SeriesInstanceUID SR1</w:t>
              <w:br/>
            </w:r>
            <w:r>
              <w:rPr>
                <w:rFonts w:ascii="Consolas" w:hAnsi="Consolas"/>
                <w:color w:val="1F2937"/>
                <w:sz w:val="16"/>
              </w:rPr>
              <w:t xml:space="preserve">        |     +-- SOPInstanceUID I1</w:t>
              <w:br/>
            </w:r>
            <w:r>
              <w:rPr>
                <w:rFonts w:ascii="Consolas" w:hAnsi="Consolas"/>
                <w:color w:val="1F2937"/>
                <w:sz w:val="16"/>
              </w:rPr>
              <w:t xml:space="preserve">        |     +-- SOPInstanceUID I2</w:t>
              <w:br/>
            </w:r>
            <w:r>
              <w:rPr>
                <w:rFonts w:ascii="Consolas" w:hAnsi="Consolas"/>
                <w:color w:val="1F2937"/>
                <w:sz w:val="16"/>
              </w:rPr>
              <w:t xml:space="preserve">        |</w:t>
              <w:br/>
            </w:r>
            <w:r>
              <w:rPr>
                <w:rFonts w:ascii="Consolas" w:hAnsi="Consolas"/>
                <w:color w:val="1F2937"/>
                <w:sz w:val="16"/>
              </w:rPr>
              <w:t xml:space="preserve">        +-- SeriesInstanceUID SR2</w:t>
              <w:br/>
            </w:r>
            <w:r>
              <w:rPr>
                <w:rFonts w:ascii="Consolas" w:hAnsi="Consolas"/>
                <w:color w:val="1F2937"/>
                <w:sz w:val="16"/>
              </w:rPr>
              <w:t xml:space="preserve">              +-- SOPInstanceUID I3</w:t>
              <w:br/>
            </w:r>
            <w:r>
              <w:rPr>
                <w:rFonts w:ascii="Consolas" w:hAnsi="Consolas"/>
                <w:color w:val="1F2937"/>
                <w:sz w:val="16"/>
              </w:rPr>
              <w:br/>
            </w:r>
            <w:r>
              <w:rPr>
                <w:rFonts w:ascii="Consolas" w:hAnsi="Consolas"/>
                <w:color w:val="1F2937"/>
                <w:sz w:val="16"/>
              </w:rPr>
              <w:t>UID map is generated at study scope and applied to every matching reference.</w:t>
            </w:r>
          </w:p>
        </w:tc>
      </w:tr>
    </w:tbl>
    <w:p>
      <w:pPr>
        <w:spacing w:after="40"/>
      </w:pPr>
    </w:p>
    <w:p>
      <w:pPr>
        <w:pStyle w:val="Heading2"/>
        <w:keepNext/>
      </w:pPr>
      <w:r>
        <w:t>8.1 Reference closure validation</w:t>
      </w:r>
    </w:p>
    <w:p>
      <w:pPr>
        <w:spacing w:after="120" w:line="259" w:lineRule="auto"/>
      </w:pPr>
      <w:r>
        <w:t>After transformation, every internal reference that points to a replaced UID should resolve to exactly one valid target when the source relation was resolvable. Unresolved or ambiguous references should trigger review or quarantine depending on policy.</w:t>
      </w:r>
    </w:p>
    <w:p>
      <w:pPr>
        <w:pStyle w:val="Heading2"/>
        <w:keepNext/>
      </w:pPr>
      <w:r>
        <w:t>8.2 Longitudinal linkage policy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Research need</w:t>
            </w:r>
          </w:p>
        </w:tc>
        <w:tc>
          <w:tcPr>
            <w:tcW w:type="dxa" w:w="453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Identity strategy</w:t>
            </w:r>
          </w:p>
        </w:tc>
        <w:tc>
          <w:tcPr>
            <w:tcW w:type="dxa" w:w="324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Protective control</w:t>
            </w:r>
          </w:p>
        </w:tc>
      </w:tr>
      <w:tr>
        <w:tc>
          <w:tcPr>
            <w:tcW w:type="dxa" w:w="2592"/>
            <w:vAlign w:val="center"/>
          </w:tcPr>
          <w:p>
            <w:pPr>
              <w:spacing w:after="0"/>
            </w:pPr>
            <w:r/>
            <w:r>
              <w:rPr>
                <w:rFonts w:ascii="Aptos" w:hAnsi="Aptos"/>
                <w:b w:val="0"/>
                <w:color w:val="111827"/>
                <w:sz w:val="16"/>
              </w:rPr>
              <w:t>Single-study anonymization</w:t>
            </w:r>
          </w:p>
        </w:tc>
        <w:tc>
          <w:tcPr>
            <w:tcW w:type="dxa" w:w="4536"/>
            <w:vAlign w:val="center"/>
          </w:tcPr>
          <w:p>
            <w:pPr>
              <w:spacing w:after="0"/>
            </w:pPr>
            <w:r/>
            <w:r>
              <w:rPr>
                <w:rFonts w:ascii="Aptos" w:hAnsi="Aptos"/>
                <w:b w:val="0"/>
                <w:color w:val="111827"/>
                <w:sz w:val="16"/>
              </w:rPr>
              <w:t>Random or study-scoped pseudonyms</w:t>
            </w:r>
          </w:p>
        </w:tc>
        <w:tc>
          <w:tcPr>
            <w:tcW w:type="dxa" w:w="3240"/>
            <w:vAlign w:val="center"/>
          </w:tcPr>
          <w:p>
            <w:pPr>
              <w:spacing w:after="0"/>
            </w:pPr>
            <w:r/>
            <w:r>
              <w:rPr>
                <w:rFonts w:ascii="Aptos" w:hAnsi="Aptos"/>
                <w:b w:val="0"/>
                <w:color w:val="111827"/>
                <w:sz w:val="16"/>
              </w:rPr>
              <w:t>No cross-study linkage required</w:t>
            </w:r>
          </w:p>
        </w:tc>
      </w:tr>
      <w:tr>
        <w:tc>
          <w:tcPr>
            <w:tcW w:type="dxa" w:w="2592"/>
            <w:vAlign w:val="center"/>
            <w:shd w:fill="F5F7FA"/>
          </w:tcPr>
          <w:p>
            <w:pPr>
              <w:spacing w:after="0"/>
            </w:pPr>
            <w:r/>
            <w:r>
              <w:rPr>
                <w:rFonts w:ascii="Aptos" w:hAnsi="Aptos"/>
                <w:b w:val="0"/>
                <w:color w:val="111827"/>
                <w:sz w:val="16"/>
              </w:rPr>
              <w:t>Longitudinal cohort</w:t>
            </w:r>
          </w:p>
        </w:tc>
        <w:tc>
          <w:tcPr>
            <w:tcW w:type="dxa" w:w="4536"/>
            <w:vAlign w:val="center"/>
            <w:shd w:fill="F5F7FA"/>
          </w:tcPr>
          <w:p>
            <w:pPr>
              <w:spacing w:after="0"/>
            </w:pPr>
            <w:r/>
            <w:r>
              <w:rPr>
                <w:rFonts w:ascii="Aptos" w:hAnsi="Aptos"/>
                <w:b w:val="0"/>
                <w:color w:val="111827"/>
                <w:sz w:val="16"/>
              </w:rPr>
              <w:t>Stable patient-domain pseudonym</w:t>
            </w:r>
          </w:p>
        </w:tc>
        <w:tc>
          <w:tcPr>
            <w:tcW w:type="dxa" w:w="3240"/>
            <w:vAlign w:val="center"/>
            <w:shd w:fill="F5F7FA"/>
          </w:tcPr>
          <w:p>
            <w:pPr>
              <w:spacing w:after="0"/>
            </w:pPr>
            <w:r/>
            <w:r>
              <w:rPr>
                <w:rFonts w:ascii="Aptos" w:hAnsi="Aptos"/>
                <w:b w:val="0"/>
                <w:color w:val="111827"/>
                <w:sz w:val="16"/>
              </w:rPr>
              <w:t>Key scoped to cohort; original ID stays outside research export</w:t>
            </w:r>
          </w:p>
        </w:tc>
      </w:tr>
      <w:tr>
        <w:tc>
          <w:tcPr>
            <w:tcW w:type="dxa" w:w="2592"/>
            <w:vAlign w:val="center"/>
          </w:tcPr>
          <w:p>
            <w:pPr>
              <w:spacing w:after="0"/>
            </w:pPr>
            <w:r/>
            <w:r>
              <w:rPr>
                <w:rFonts w:ascii="Aptos" w:hAnsi="Aptos"/>
                <w:b w:val="0"/>
                <w:color w:val="111827"/>
                <w:sz w:val="16"/>
              </w:rPr>
              <w:t>Clinical trial follow-up</w:t>
            </w:r>
          </w:p>
        </w:tc>
        <w:tc>
          <w:tcPr>
            <w:tcW w:type="dxa" w:w="4536"/>
            <w:vAlign w:val="center"/>
          </w:tcPr>
          <w:p>
            <w:pPr>
              <w:spacing w:after="0"/>
            </w:pPr>
            <w:r/>
            <w:r>
              <w:rPr>
                <w:rFonts w:ascii="Aptos" w:hAnsi="Aptos"/>
                <w:b w:val="0"/>
                <w:color w:val="111827"/>
                <w:sz w:val="16"/>
              </w:rPr>
              <w:t>Reversible pseudonymization if explicitly required</w:t>
            </w:r>
          </w:p>
        </w:tc>
        <w:tc>
          <w:tcPr>
            <w:tcW w:type="dxa" w:w="3240"/>
            <w:vAlign w:val="center"/>
          </w:tcPr>
          <w:p>
            <w:pPr>
              <w:spacing w:after="0"/>
            </w:pPr>
            <w:r/>
            <w:r>
              <w:rPr>
                <w:rFonts w:ascii="Aptos" w:hAnsi="Aptos"/>
                <w:b w:val="0"/>
                <w:color w:val="111827"/>
                <w:sz w:val="16"/>
              </w:rPr>
              <w:t>Separated key escrow / controlled access / audit</w:t>
            </w:r>
          </w:p>
        </w:tc>
      </w:tr>
      <w:tr>
        <w:tc>
          <w:tcPr>
            <w:tcW w:type="dxa" w:w="2592"/>
            <w:vAlign w:val="center"/>
            <w:shd w:fill="F5F7FA"/>
          </w:tcPr>
          <w:p>
            <w:pPr>
              <w:spacing w:after="0"/>
            </w:pPr>
            <w:r/>
            <w:r>
              <w:rPr>
                <w:rFonts w:ascii="Aptos" w:hAnsi="Aptos"/>
                <w:b w:val="0"/>
                <w:color w:val="111827"/>
                <w:sz w:val="16"/>
              </w:rPr>
              <w:t>Open public dataset</w:t>
            </w:r>
          </w:p>
        </w:tc>
        <w:tc>
          <w:tcPr>
            <w:tcW w:type="dxa" w:w="4536"/>
            <w:vAlign w:val="center"/>
            <w:shd w:fill="F5F7FA"/>
          </w:tcPr>
          <w:p>
            <w:pPr>
              <w:spacing w:after="0"/>
            </w:pPr>
            <w:r/>
            <w:r>
              <w:rPr>
                <w:rFonts w:ascii="Aptos" w:hAnsi="Aptos"/>
                <w:b w:val="0"/>
                <w:color w:val="111827"/>
                <w:sz w:val="16"/>
              </w:rPr>
              <w:t>Prefer irreversible de-identification</w:t>
            </w:r>
          </w:p>
        </w:tc>
        <w:tc>
          <w:tcPr>
            <w:tcW w:type="dxa" w:w="3240"/>
            <w:vAlign w:val="center"/>
            <w:shd w:fill="F5F7FA"/>
          </w:tcPr>
          <w:p>
            <w:pPr>
              <w:spacing w:after="0"/>
            </w:pPr>
            <w:r/>
            <w:r>
              <w:rPr>
                <w:rFonts w:ascii="Aptos" w:hAnsi="Aptos"/>
                <w:b w:val="0"/>
                <w:color w:val="111827"/>
                <w:sz w:val="16"/>
              </w:rPr>
              <w:t>No re-identification mapping in the released package</w:t>
            </w:r>
          </w:p>
        </w:tc>
      </w:tr>
    </w:tbl>
    <w:p>
      <w:pPr>
        <w:spacing w:after="20"/>
      </w:pPr>
    </w:p>
    <w:p>
      <w:pPr>
        <w:pStyle w:val="Heading1"/>
        <w:keepNext/>
      </w:pPr>
      <w:r>
        <w:t>9. VeilGuard Co-Validation Engine</w:t>
      </w:r>
    </w:p>
    <w:p>
      <w:pPr>
        <w:spacing w:after="120" w:line="259" w:lineRule="auto"/>
      </w:pPr>
      <w:r>
        <w:t>This is the main architectural differentiator added to the supplied blueprints: transformation and validation are separate trust domains within the application. The candidate output must survive a post-processing attempt to find residual PHI and must prove that changes remained within approved regions.</w:t>
      </w:r>
    </w:p>
    <w:p>
      <w:r>
        <w:drawing>
          <wp:inline xmlns:a="http://schemas.openxmlformats.org/drawingml/2006/main" xmlns:pic="http://schemas.openxmlformats.org/drawingml/2006/picture">
            <wp:extent cx="4937760" cy="1637548"/>
            <wp:docPr id="2" name="Picture 2"/>
            <wp:cNvGraphicFramePr>
              <a:graphicFrameLocks noChangeAspect="1"/>
            </wp:cNvGraphicFramePr>
            <a:graphic>
              <a:graphicData uri="http://schemas.openxmlformats.org/drawingml/2006/picture">
                <pic:pic>
                  <pic:nvPicPr>
                    <pic:cNvPr id="0" name="validation.png"/>
                    <pic:cNvPicPr/>
                  </pic:nvPicPr>
                  <pic:blipFill>
                    <a:blip r:embed="rId12"/>
                    <a:stretch>
                      <a:fillRect/>
                    </a:stretch>
                  </pic:blipFill>
                  <pic:spPr>
                    <a:xfrm>
                      <a:off x="0" y="0"/>
                      <a:ext cx="4937760" cy="1637548"/>
                    </a:xfrm>
                    <a:prstGeom prst="rect"/>
                  </pic:spPr>
                </pic:pic>
              </a:graphicData>
            </a:graphic>
          </wp:inline>
        </w:drawing>
      </w:r>
    </w:p>
    <w:p>
      <w:pPr>
        <w:jc w:val="center"/>
      </w:pPr>
      <w:r>
        <w:rPr>
          <w:rFonts w:ascii="Aptos" w:hAnsi="Aptos"/>
          <w:color w:val="64748B"/>
          <w:sz w:val="16"/>
        </w:rPr>
        <w:t>Figure 2. Three-truth release gate: privacy, integrity, and DICOM structural validity are evaluated independently.</w:t>
      </w:r>
    </w:p>
    <w:p>
      <w:pPr>
        <w:pStyle w:val="Heading2"/>
        <w:keepNext/>
      </w:pPr>
      <w:r>
        <w:t>9.1 Privacy Truth</w:t>
      </w:r>
    </w:p>
    <w:p>
      <w:pPr>
        <w:pStyle w:val="ListBullet"/>
        <w:spacing w:after="40"/>
        <w:ind w:left="288"/>
      </w:pPr>
      <w:r>
        <w:t>Re-scan all policy-sensitive DICOM tags and nested sequences.</w:t>
      </w:r>
    </w:p>
    <w:p>
      <w:pPr>
        <w:pStyle w:val="ListBullet"/>
        <w:spacing w:after="40"/>
        <w:ind w:left="288"/>
      </w:pPr>
      <w:r>
        <w:t>Inspect private creators/blocks according to the policy.</w:t>
      </w:r>
    </w:p>
    <w:p>
      <w:pPr>
        <w:pStyle w:val="ListBullet"/>
        <w:spacing w:after="40"/>
        <w:ind w:left="288"/>
      </w:pPr>
      <w:r>
        <w:t>Search free-text fields with regex + semantic classification.</w:t>
      </w:r>
    </w:p>
    <w:p>
      <w:pPr>
        <w:pStyle w:val="ListBullet"/>
        <w:spacing w:after="40"/>
        <w:ind w:left="288"/>
      </w:pPr>
      <w:r>
        <w:t>Run OCR/visual PHI checks on the transformed pixels where policy requires.</w:t>
      </w:r>
    </w:p>
    <w:p>
      <w:pPr>
        <w:pStyle w:val="ListBullet"/>
        <w:spacing w:after="40"/>
        <w:ind w:left="288"/>
      </w:pPr>
      <w:r>
        <w:t>Re-check barcode/QR content.</w:t>
      </w:r>
    </w:p>
    <w:p>
      <w:pPr>
        <w:pStyle w:val="ListBullet"/>
        <w:spacing w:after="40"/>
        <w:ind w:left="288"/>
      </w:pPr>
      <w:r>
        <w:t>Verify that original source identifiers were not accidentally copied into audit or custom fields.</w:t>
      </w:r>
    </w:p>
    <w:p>
      <w:pPr>
        <w:pStyle w:val="Heading2"/>
        <w:keepNext/>
      </w:pPr>
      <w:r>
        <w:t>9.2 Pixel/Integrity Truth</w:t>
      </w:r>
    </w:p>
    <w:p>
      <w:pPr>
        <w:pStyle w:val="ListBullet"/>
        <w:spacing w:after="40"/>
        <w:ind w:left="288"/>
      </w:pPr>
      <w:r>
        <w:t>Compute a difference map between source and output pixel arrays for comparable frames.</w:t>
      </w:r>
    </w:p>
    <w:p>
      <w:pPr>
        <w:pStyle w:val="ListBullet"/>
        <w:spacing w:after="40"/>
        <w:ind w:left="288"/>
      </w:pPr>
      <w:r>
        <w:t>Verify that modified pixels are contained inside approved transformation masks.</w:t>
      </w:r>
    </w:p>
    <w:p>
      <w:pPr>
        <w:pStyle w:val="ListBullet"/>
        <w:spacing w:after="40"/>
        <w:ind w:left="288"/>
      </w:pPr>
      <w:r>
        <w:t>Verify native bit depth, frame count, geometry, and radiometric semantics.</w:t>
      </w:r>
    </w:p>
    <w:p>
      <w:pPr>
        <w:pStyle w:val="ListBullet"/>
        <w:spacing w:after="40"/>
        <w:ind w:left="288"/>
      </w:pPr>
      <w:r>
        <w:t>Optionally calculate SSIM/PSNR or domain-specific variance measures as supporting metrics—not as sole proof.</w:t>
      </w:r>
    </w:p>
    <w:p>
      <w:pPr>
        <w:pStyle w:val="Heading2"/>
        <w:keepNext/>
      </w:pPr>
      <w:r>
        <w:t>9.3 DICOM Truth</w:t>
      </w:r>
    </w:p>
    <w:p>
      <w:pPr>
        <w:pStyle w:val="ListBullet"/>
        <w:spacing w:after="40"/>
        <w:ind w:left="288"/>
      </w:pPr>
      <w:r>
        <w:t>Reopen the produced DICOM with an independent parser.</w:t>
      </w:r>
    </w:p>
    <w:p>
      <w:pPr>
        <w:pStyle w:val="ListBullet"/>
        <w:spacing w:after="40"/>
        <w:ind w:left="288"/>
      </w:pPr>
      <w:r>
        <w:t>Validate required attributes for the relevant object type / IOD.</w:t>
      </w:r>
    </w:p>
    <w:p>
      <w:pPr>
        <w:pStyle w:val="ListBullet"/>
        <w:spacing w:after="40"/>
        <w:ind w:left="288"/>
      </w:pPr>
      <w:r>
        <w:t>Check Transfer Syntax and pixel data readability.</w:t>
      </w:r>
    </w:p>
    <w:p>
      <w:pPr>
        <w:pStyle w:val="ListBullet"/>
        <w:spacing w:after="40"/>
        <w:ind w:left="288"/>
      </w:pPr>
      <w:r>
        <w:t>Check UID reference closure and sequence consistency.</w:t>
      </w:r>
    </w:p>
    <w:p>
      <w:pPr>
        <w:pStyle w:val="ListBullet"/>
        <w:spacing w:after="40"/>
        <w:ind w:left="288"/>
      </w:pPr>
      <w:r>
        <w:t>Reject files that cannot be parsed cleanly after transformation.</w:t>
      </w:r>
    </w:p>
    <w:p>
      <w:pPr>
        <w:pStyle w:val="Heading1"/>
        <w:keepNext/>
      </w:pPr>
      <w:r>
        <w:t>10. Decision Engine: Confidence, Impact &amp; Fail-Safe Routing</w:t>
      </w:r>
    </w:p>
    <w:p>
      <w:pPr>
        <w:spacing w:after="120" w:line="259" w:lineRule="auto"/>
      </w:pPr>
      <w:r>
        <w:t>A single confidence score is not enough. A detection can be highly likely to be text yet still be dangerous to erase if it overlaps a diagnostic region. VeilGuard therefore combines detection confidence with clinical-impact context.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Signal</w:t>
            </w:r>
          </w:p>
        </w:tc>
        <w:tc>
          <w:tcPr>
            <w:tcW w:type="dxa" w:w="475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Meaning</w:t>
            </w:r>
          </w:p>
        </w:tc>
        <w:tc>
          <w:tcPr>
            <w:tcW w:type="dxa" w:w="331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Example contribution</w:t>
            </w:r>
          </w:p>
        </w:tc>
      </w:tr>
      <w:tr>
        <w:tc>
          <w:tcPr>
            <w:tcW w:type="dxa" w:w="2232"/>
            <w:vAlign w:val="center"/>
          </w:tcPr>
          <w:p>
            <w:pPr>
              <w:spacing w:after="0"/>
            </w:pPr>
            <w:r/>
            <w:r>
              <w:rPr>
                <w:rFonts w:ascii="Aptos" w:hAnsi="Aptos"/>
                <w:b w:val="0"/>
                <w:color w:val="111827"/>
                <w:sz w:val="17"/>
              </w:rPr>
              <w:t>Detector confidence</w:t>
            </w:r>
          </w:p>
        </w:tc>
        <w:tc>
          <w:tcPr>
            <w:tcW w:type="dxa" w:w="4752"/>
            <w:vAlign w:val="center"/>
          </w:tcPr>
          <w:p>
            <w:pPr>
              <w:spacing w:after="0"/>
            </w:pPr>
            <w:r/>
            <w:r>
              <w:rPr>
                <w:rFonts w:ascii="Aptos" w:hAnsi="Aptos"/>
                <w:b w:val="0"/>
                <w:color w:val="111827"/>
                <w:sz w:val="17"/>
              </w:rPr>
              <w:t>How certain the text/region detector is.</w:t>
            </w:r>
          </w:p>
        </w:tc>
        <w:tc>
          <w:tcPr>
            <w:tcW w:type="dxa" w:w="3312"/>
            <w:vAlign w:val="center"/>
          </w:tcPr>
          <w:p>
            <w:pPr>
              <w:spacing w:after="0"/>
            </w:pPr>
            <w:r/>
            <w:r>
              <w:rPr>
                <w:rFonts w:ascii="Aptos" w:hAnsi="Aptos"/>
                <w:b w:val="0"/>
                <w:color w:val="111827"/>
                <w:sz w:val="17"/>
              </w:rPr>
              <w:t>0.98 text probability</w:t>
            </w:r>
          </w:p>
        </w:tc>
      </w:tr>
      <w:tr>
        <w:tc>
          <w:tcPr>
            <w:tcW w:type="dxa" w:w="2232"/>
            <w:vAlign w:val="center"/>
            <w:shd w:fill="F5F7FA"/>
          </w:tcPr>
          <w:p>
            <w:pPr>
              <w:spacing w:after="0"/>
            </w:pPr>
            <w:r/>
            <w:r>
              <w:rPr>
                <w:rFonts w:ascii="Aptos" w:hAnsi="Aptos"/>
                <w:b w:val="0"/>
                <w:color w:val="111827"/>
                <w:sz w:val="17"/>
              </w:rPr>
              <w:t>OCR confidence</w:t>
            </w:r>
          </w:p>
        </w:tc>
        <w:tc>
          <w:tcPr>
            <w:tcW w:type="dxa" w:w="4752"/>
            <w:vAlign w:val="center"/>
            <w:shd w:fill="F5F7FA"/>
          </w:tcPr>
          <w:p>
            <w:pPr>
              <w:spacing w:after="0"/>
            </w:pPr>
            <w:r/>
            <w:r>
              <w:rPr>
                <w:rFonts w:ascii="Aptos" w:hAnsi="Aptos"/>
                <w:b w:val="0"/>
                <w:color w:val="111827"/>
                <w:sz w:val="17"/>
              </w:rPr>
              <w:t>How reliably the text was read.</w:t>
            </w:r>
          </w:p>
        </w:tc>
        <w:tc>
          <w:tcPr>
            <w:tcW w:type="dxa" w:w="3312"/>
            <w:vAlign w:val="center"/>
            <w:shd w:fill="F5F7FA"/>
          </w:tcPr>
          <w:p>
            <w:pPr>
              <w:spacing w:after="0"/>
            </w:pPr>
            <w:r/>
            <w:r>
              <w:rPr>
                <w:rFonts w:ascii="Aptos" w:hAnsi="Aptos"/>
                <w:b w:val="0"/>
                <w:color w:val="111827"/>
                <w:sz w:val="17"/>
              </w:rPr>
              <w:t>0.94</w:t>
            </w:r>
          </w:p>
        </w:tc>
      </w:tr>
      <w:tr>
        <w:tc>
          <w:tcPr>
            <w:tcW w:type="dxa" w:w="2232"/>
            <w:vAlign w:val="center"/>
          </w:tcPr>
          <w:p>
            <w:pPr>
              <w:spacing w:after="0"/>
            </w:pPr>
            <w:r/>
            <w:r>
              <w:rPr>
                <w:rFonts w:ascii="Aptos" w:hAnsi="Aptos"/>
                <w:b w:val="0"/>
                <w:color w:val="111827"/>
                <w:sz w:val="17"/>
              </w:rPr>
              <w:t>PHI semantic score</w:t>
            </w:r>
          </w:p>
        </w:tc>
        <w:tc>
          <w:tcPr>
            <w:tcW w:type="dxa" w:w="4752"/>
            <w:vAlign w:val="center"/>
          </w:tcPr>
          <w:p>
            <w:pPr>
              <w:spacing w:after="0"/>
            </w:pPr>
            <w:r/>
            <w:r>
              <w:rPr>
                <w:rFonts w:ascii="Aptos" w:hAnsi="Aptos"/>
                <w:b w:val="0"/>
                <w:color w:val="111827"/>
                <w:sz w:val="17"/>
              </w:rPr>
              <w:t>How strongly text matches a PHI category.</w:t>
            </w:r>
          </w:p>
        </w:tc>
        <w:tc>
          <w:tcPr>
            <w:tcW w:type="dxa" w:w="3312"/>
            <w:vAlign w:val="center"/>
          </w:tcPr>
          <w:p>
            <w:pPr>
              <w:spacing w:after="0"/>
            </w:pPr>
            <w:r/>
            <w:r>
              <w:rPr>
                <w:rFonts w:ascii="Aptos" w:hAnsi="Aptos"/>
                <w:b w:val="0"/>
                <w:color w:val="111827"/>
                <w:sz w:val="17"/>
              </w:rPr>
              <w:t>MRN / NAME / DATE</w:t>
            </w:r>
          </w:p>
        </w:tc>
      </w:tr>
      <w:tr>
        <w:tc>
          <w:tcPr>
            <w:tcW w:type="dxa" w:w="2232"/>
            <w:vAlign w:val="center"/>
            <w:shd w:fill="F5F7FA"/>
          </w:tcPr>
          <w:p>
            <w:pPr>
              <w:spacing w:after="0"/>
            </w:pPr>
            <w:r/>
            <w:r>
              <w:rPr>
                <w:rFonts w:ascii="Aptos" w:hAnsi="Aptos"/>
                <w:b w:val="0"/>
                <w:color w:val="111827"/>
                <w:sz w:val="17"/>
              </w:rPr>
              <w:t>Metadata correlation</w:t>
            </w:r>
          </w:p>
        </w:tc>
        <w:tc>
          <w:tcPr>
            <w:tcW w:type="dxa" w:w="4752"/>
            <w:vAlign w:val="center"/>
            <w:shd w:fill="F5F7FA"/>
          </w:tcPr>
          <w:p>
            <w:pPr>
              <w:spacing w:after="0"/>
            </w:pPr>
            <w:r/>
            <w:r>
              <w:rPr>
                <w:rFonts w:ascii="Aptos" w:hAnsi="Aptos"/>
                <w:b w:val="0"/>
                <w:color w:val="111827"/>
                <w:sz w:val="17"/>
              </w:rPr>
              <w:t>Whether pixel text matches known source identifiers.</w:t>
            </w:r>
          </w:p>
        </w:tc>
        <w:tc>
          <w:tcPr>
            <w:tcW w:type="dxa" w:w="3312"/>
            <w:vAlign w:val="center"/>
            <w:shd w:fill="F5F7FA"/>
          </w:tcPr>
          <w:p>
            <w:pPr>
              <w:spacing w:after="0"/>
            </w:pPr>
            <w:r/>
            <w:r>
              <w:rPr>
                <w:rFonts w:ascii="Aptos" w:hAnsi="Aptos"/>
                <w:b w:val="0"/>
                <w:color w:val="111827"/>
                <w:sz w:val="17"/>
              </w:rPr>
              <w:t>PatientName ↔ OCR match</w:t>
            </w:r>
          </w:p>
        </w:tc>
      </w:tr>
      <w:tr>
        <w:tc>
          <w:tcPr>
            <w:tcW w:type="dxa" w:w="2232"/>
            <w:vAlign w:val="center"/>
          </w:tcPr>
          <w:p>
            <w:pPr>
              <w:spacing w:after="0"/>
            </w:pPr>
            <w:r/>
            <w:r>
              <w:rPr>
                <w:rFonts w:ascii="Aptos" w:hAnsi="Aptos"/>
                <w:b w:val="0"/>
                <w:color w:val="111827"/>
                <w:sz w:val="17"/>
              </w:rPr>
              <w:t>Spatial context</w:t>
            </w:r>
          </w:p>
        </w:tc>
        <w:tc>
          <w:tcPr>
            <w:tcW w:type="dxa" w:w="4752"/>
            <w:vAlign w:val="center"/>
          </w:tcPr>
          <w:p>
            <w:pPr>
              <w:spacing w:after="0"/>
            </w:pPr>
            <w:r/>
            <w:r>
              <w:rPr>
                <w:rFonts w:ascii="Aptos" w:hAnsi="Aptos"/>
                <w:b w:val="0"/>
                <w:color w:val="111827"/>
                <w:sz w:val="17"/>
              </w:rPr>
              <w:t>Whether region lies in margin, overlay zone, or anatomy.</w:t>
            </w:r>
          </w:p>
        </w:tc>
        <w:tc>
          <w:tcPr>
            <w:tcW w:type="dxa" w:w="3312"/>
            <w:vAlign w:val="center"/>
          </w:tcPr>
          <w:p>
            <w:pPr>
              <w:spacing w:after="0"/>
            </w:pPr>
            <w:r/>
            <w:r>
              <w:rPr>
                <w:rFonts w:ascii="Aptos" w:hAnsi="Aptos"/>
                <w:b w:val="0"/>
                <w:color w:val="111827"/>
                <w:sz w:val="17"/>
              </w:rPr>
              <w:t>High overlap with diagnostic field</w:t>
            </w:r>
          </w:p>
        </w:tc>
      </w:tr>
      <w:tr>
        <w:tc>
          <w:tcPr>
            <w:tcW w:type="dxa" w:w="2232"/>
            <w:vAlign w:val="center"/>
            <w:shd w:fill="F5F7FA"/>
          </w:tcPr>
          <w:p>
            <w:pPr>
              <w:spacing w:after="0"/>
            </w:pPr>
            <w:r/>
            <w:r>
              <w:rPr>
                <w:rFonts w:ascii="Aptos" w:hAnsi="Aptos"/>
                <w:b w:val="0"/>
                <w:color w:val="111827"/>
                <w:sz w:val="17"/>
              </w:rPr>
              <w:t>Modality prior</w:t>
            </w:r>
          </w:p>
        </w:tc>
        <w:tc>
          <w:tcPr>
            <w:tcW w:type="dxa" w:w="4752"/>
            <w:vAlign w:val="center"/>
            <w:shd w:fill="F5F7FA"/>
          </w:tcPr>
          <w:p>
            <w:pPr>
              <w:spacing w:after="0"/>
            </w:pPr>
            <w:r/>
            <w:r>
              <w:rPr>
                <w:rFonts w:ascii="Aptos" w:hAnsi="Aptos"/>
                <w:b w:val="0"/>
                <w:color w:val="111827"/>
                <w:sz w:val="17"/>
              </w:rPr>
              <w:t>Expected prevalence of burned-in annotations.</w:t>
            </w:r>
          </w:p>
        </w:tc>
        <w:tc>
          <w:tcPr>
            <w:tcW w:type="dxa" w:w="3312"/>
            <w:vAlign w:val="center"/>
            <w:shd w:fill="F5F7FA"/>
          </w:tcPr>
          <w:p>
            <w:pPr>
              <w:spacing w:after="0"/>
            </w:pPr>
            <w:r/>
            <w:r>
              <w:rPr>
                <w:rFonts w:ascii="Aptos" w:hAnsi="Aptos"/>
                <w:b w:val="0"/>
                <w:color w:val="111827"/>
                <w:sz w:val="17"/>
              </w:rPr>
              <w:t>Ultrasound &gt; routine CT</w:t>
            </w:r>
          </w:p>
        </w:tc>
      </w:tr>
      <w:tr>
        <w:tc>
          <w:tcPr>
            <w:tcW w:type="dxa" w:w="2232"/>
            <w:vAlign w:val="center"/>
          </w:tcPr>
          <w:p>
            <w:pPr>
              <w:spacing w:after="0"/>
            </w:pPr>
            <w:r/>
            <w:r>
              <w:rPr>
                <w:rFonts w:ascii="Aptos" w:hAnsi="Aptos"/>
                <w:b w:val="0"/>
                <w:color w:val="111827"/>
                <w:sz w:val="17"/>
              </w:rPr>
              <w:t>Integrity risk</w:t>
            </w:r>
          </w:p>
        </w:tc>
        <w:tc>
          <w:tcPr>
            <w:tcW w:type="dxa" w:w="4752"/>
            <w:vAlign w:val="center"/>
          </w:tcPr>
          <w:p>
            <w:pPr>
              <w:spacing w:after="0"/>
            </w:pPr>
            <w:r/>
            <w:r>
              <w:rPr>
                <w:rFonts w:ascii="Aptos" w:hAnsi="Aptos"/>
                <w:b w:val="0"/>
                <w:color w:val="111827"/>
                <w:sz w:val="17"/>
              </w:rPr>
              <w:t>Potential consequence of changing the region.</w:t>
            </w:r>
          </w:p>
        </w:tc>
        <w:tc>
          <w:tcPr>
            <w:tcW w:type="dxa" w:w="3312"/>
            <w:vAlign w:val="center"/>
          </w:tcPr>
          <w:p>
            <w:pPr>
              <w:spacing w:after="0"/>
            </w:pPr>
            <w:r/>
            <w:r>
              <w:rPr>
                <w:rFonts w:ascii="Aptos" w:hAnsi="Aptos"/>
                <w:b w:val="0"/>
                <w:color w:val="111827"/>
                <w:sz w:val="17"/>
              </w:rPr>
              <w:t>Anatomy overlap = high</w:t>
            </w:r>
          </w:p>
        </w:tc>
      </w:tr>
      <w:tr>
        <w:tc>
          <w:tcPr>
            <w:tcW w:type="dxa" w:w="2232"/>
            <w:vAlign w:val="center"/>
            <w:shd w:fill="F5F7FA"/>
          </w:tcPr>
          <w:p>
            <w:pPr>
              <w:spacing w:after="0"/>
            </w:pPr>
            <w:r/>
            <w:r>
              <w:rPr>
                <w:rFonts w:ascii="Aptos" w:hAnsi="Aptos"/>
                <w:b w:val="0"/>
                <w:color w:val="111827"/>
                <w:sz w:val="17"/>
              </w:rPr>
              <w:t>Policy sensitivity</w:t>
            </w:r>
          </w:p>
        </w:tc>
        <w:tc>
          <w:tcPr>
            <w:tcW w:type="dxa" w:w="4752"/>
            <w:vAlign w:val="center"/>
            <w:shd w:fill="F5F7FA"/>
          </w:tcPr>
          <w:p>
            <w:pPr>
              <w:spacing w:after="0"/>
            </w:pPr>
            <w:r/>
            <w:r>
              <w:rPr>
                <w:rFonts w:ascii="Aptos" w:hAnsi="Aptos"/>
                <w:b w:val="0"/>
                <w:color w:val="111827"/>
                <w:sz w:val="17"/>
              </w:rPr>
              <w:t>How strict the active research profile is.</w:t>
            </w:r>
          </w:p>
        </w:tc>
        <w:tc>
          <w:tcPr>
            <w:tcW w:type="dxa" w:w="3312"/>
            <w:vAlign w:val="center"/>
            <w:shd w:fill="F5F7FA"/>
          </w:tcPr>
          <w:p>
            <w:pPr>
              <w:spacing w:after="0"/>
            </w:pPr>
            <w:r/>
            <w:r>
              <w:rPr>
                <w:rFonts w:ascii="Aptos" w:hAnsi="Aptos"/>
                <w:b w:val="0"/>
                <w:color w:val="111827"/>
                <w:sz w:val="17"/>
              </w:rPr>
              <w:t>Open dataset vs controlled trial</w:t>
            </w:r>
          </w:p>
        </w:tc>
      </w:tr>
    </w:tbl>
    <w:p>
      <w:pPr>
        <w:spacing w:after="20"/>
      </w:pPr>
    </w:p>
    <w:p>
      <w:pPr>
        <w:pStyle w:val="Heading2"/>
        <w:keepNext/>
      </w:pPr>
      <w:r>
        <w:t>10.1 Suggested routing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66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Condition</w:t>
            </w:r>
          </w:p>
        </w:tc>
        <w:tc>
          <w:tcPr>
            <w:tcW w:type="dxa" w:w="360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Action</w:t>
            </w:r>
          </w:p>
        </w:tc>
      </w:tr>
      <w:tr>
        <w:tc>
          <w:tcPr>
            <w:tcW w:type="dxa" w:w="6624"/>
            <w:vAlign w:val="center"/>
          </w:tcPr>
          <w:p>
            <w:pPr>
              <w:spacing w:after="0"/>
            </w:pPr>
            <w:r/>
            <w:r>
              <w:rPr>
                <w:rFonts w:ascii="Aptos" w:hAnsi="Aptos"/>
                <w:b w:val="0"/>
                <w:color w:val="111827"/>
                <w:sz w:val="17"/>
              </w:rPr>
              <w:t>High PHI confidence + low diagnostic overlap + policy permits automatic action</w:t>
            </w:r>
          </w:p>
        </w:tc>
        <w:tc>
          <w:tcPr>
            <w:tcW w:type="dxa" w:w="3600"/>
            <w:vAlign w:val="center"/>
          </w:tcPr>
          <w:p>
            <w:pPr>
              <w:spacing w:after="0"/>
            </w:pPr>
            <w:r/>
            <w:r>
              <w:rPr>
                <w:rFonts w:ascii="Aptos" w:hAnsi="Aptos"/>
                <w:b w:val="0"/>
                <w:color w:val="111827"/>
                <w:sz w:val="17"/>
              </w:rPr>
              <w:t>AUTO-TRANSFORM</w:t>
            </w:r>
          </w:p>
        </w:tc>
      </w:tr>
      <w:tr>
        <w:tc>
          <w:tcPr>
            <w:tcW w:type="dxa" w:w="6624"/>
            <w:vAlign w:val="center"/>
            <w:shd w:fill="F5F7FA"/>
          </w:tcPr>
          <w:p>
            <w:pPr>
              <w:spacing w:after="0"/>
            </w:pPr>
            <w:r/>
            <w:r>
              <w:rPr>
                <w:rFonts w:ascii="Aptos" w:hAnsi="Aptos"/>
                <w:b w:val="0"/>
                <w:color w:val="111827"/>
                <w:sz w:val="17"/>
              </w:rPr>
              <w:t>High PHI confidence + high diagnostic overlap</w:t>
            </w:r>
          </w:p>
        </w:tc>
        <w:tc>
          <w:tcPr>
            <w:tcW w:type="dxa" w:w="3600"/>
            <w:vAlign w:val="center"/>
            <w:shd w:fill="F5F7FA"/>
          </w:tcPr>
          <w:p>
            <w:pPr>
              <w:spacing w:after="0"/>
            </w:pPr>
            <w:r/>
            <w:r>
              <w:rPr>
                <w:rFonts w:ascii="Aptos" w:hAnsi="Aptos"/>
                <w:b w:val="0"/>
                <w:color w:val="111827"/>
                <w:sz w:val="17"/>
              </w:rPr>
              <w:t>HUMAN REVIEW</w:t>
            </w:r>
          </w:p>
        </w:tc>
      </w:tr>
      <w:tr>
        <w:tc>
          <w:tcPr>
            <w:tcW w:type="dxa" w:w="6624"/>
            <w:vAlign w:val="center"/>
          </w:tcPr>
          <w:p>
            <w:pPr>
              <w:spacing w:after="0"/>
            </w:pPr>
            <w:r/>
            <w:r>
              <w:rPr>
                <w:rFonts w:ascii="Aptos" w:hAnsi="Aptos"/>
                <w:b w:val="0"/>
                <w:color w:val="111827"/>
                <w:sz w:val="17"/>
              </w:rPr>
              <w:t>Medium PHI confidence</w:t>
            </w:r>
          </w:p>
        </w:tc>
        <w:tc>
          <w:tcPr>
            <w:tcW w:type="dxa" w:w="3600"/>
            <w:vAlign w:val="center"/>
          </w:tcPr>
          <w:p>
            <w:pPr>
              <w:spacing w:after="0"/>
            </w:pPr>
            <w:r/>
            <w:r>
              <w:rPr>
                <w:rFonts w:ascii="Aptos" w:hAnsi="Aptos"/>
                <w:b w:val="0"/>
                <w:color w:val="111827"/>
                <w:sz w:val="17"/>
              </w:rPr>
              <w:t>REVIEW unless a documented safe transformation exists</w:t>
            </w:r>
          </w:p>
        </w:tc>
      </w:tr>
      <w:tr>
        <w:tc>
          <w:tcPr>
            <w:tcW w:type="dxa" w:w="6624"/>
            <w:vAlign w:val="center"/>
            <w:shd w:fill="F5F7FA"/>
          </w:tcPr>
          <w:p>
            <w:pPr>
              <w:spacing w:after="0"/>
            </w:pPr>
            <w:r/>
            <w:r>
              <w:rPr>
                <w:rFonts w:ascii="Aptos" w:hAnsi="Aptos"/>
                <w:b w:val="0"/>
                <w:color w:val="111827"/>
                <w:sz w:val="17"/>
              </w:rPr>
              <w:t>Low confidence but high potential impact</w:t>
            </w:r>
          </w:p>
        </w:tc>
        <w:tc>
          <w:tcPr>
            <w:tcW w:type="dxa" w:w="3600"/>
            <w:vAlign w:val="center"/>
            <w:shd w:fill="F5F7FA"/>
          </w:tcPr>
          <w:p>
            <w:pPr>
              <w:spacing w:after="0"/>
            </w:pPr>
            <w:r/>
            <w:r>
              <w:rPr>
                <w:rFonts w:ascii="Aptos" w:hAnsi="Aptos"/>
                <w:b w:val="0"/>
                <w:color w:val="111827"/>
                <w:sz w:val="17"/>
              </w:rPr>
              <w:t>REVIEW / BLOCK according to policy</w:t>
            </w:r>
          </w:p>
        </w:tc>
      </w:tr>
      <w:tr>
        <w:tc>
          <w:tcPr>
            <w:tcW w:type="dxa" w:w="6624"/>
            <w:vAlign w:val="center"/>
          </w:tcPr>
          <w:p>
            <w:pPr>
              <w:spacing w:after="0"/>
            </w:pPr>
            <w:r/>
            <w:r>
              <w:rPr>
                <w:rFonts w:ascii="Aptos" w:hAnsi="Aptos"/>
                <w:b w:val="0"/>
                <w:color w:val="111827"/>
                <w:sz w:val="17"/>
              </w:rPr>
              <w:t>Parser failure / reference failure / integrity failure</w:t>
            </w:r>
          </w:p>
        </w:tc>
        <w:tc>
          <w:tcPr>
            <w:tcW w:type="dxa" w:w="3600"/>
            <w:vAlign w:val="center"/>
          </w:tcPr>
          <w:p>
            <w:pPr>
              <w:spacing w:after="0"/>
            </w:pPr>
            <w:r/>
            <w:r>
              <w:rPr>
                <w:rFonts w:ascii="Aptos" w:hAnsi="Aptos"/>
                <w:b w:val="0"/>
                <w:color w:val="111827"/>
                <w:sz w:val="17"/>
              </w:rPr>
              <w:t>BLOCK + QUARANTINE</w:t>
            </w:r>
          </w:p>
        </w:tc>
      </w:tr>
      <w:tr>
        <w:tc>
          <w:tcPr>
            <w:tcW w:type="dxa" w:w="6624"/>
            <w:vAlign w:val="center"/>
            <w:shd w:fill="F5F7FA"/>
          </w:tcPr>
          <w:p>
            <w:pPr>
              <w:spacing w:after="0"/>
            </w:pPr>
            <w:r/>
            <w:r>
              <w:rPr>
                <w:rFonts w:ascii="Aptos" w:hAnsi="Aptos"/>
                <w:b w:val="0"/>
                <w:color w:val="111827"/>
                <w:sz w:val="17"/>
              </w:rPr>
              <w:t>Post-validation residual PHI</w:t>
            </w:r>
          </w:p>
        </w:tc>
        <w:tc>
          <w:tcPr>
            <w:tcW w:type="dxa" w:w="3600"/>
            <w:vAlign w:val="center"/>
            <w:shd w:fill="F5F7FA"/>
          </w:tcPr>
          <w:p>
            <w:pPr>
              <w:spacing w:after="0"/>
            </w:pPr>
            <w:r/>
            <w:r>
              <w:rPr>
                <w:rFonts w:ascii="Aptos" w:hAnsi="Aptos"/>
                <w:b w:val="0"/>
                <w:color w:val="111827"/>
                <w:sz w:val="17"/>
              </w:rPr>
              <w:t>BLOCK; do not export</w:t>
            </w:r>
          </w:p>
        </w:tc>
      </w:tr>
    </w:tbl>
    <w:p>
      <w:pPr>
        <w:spacing w:after="20"/>
      </w:pPr>
    </w:p>
    <w:tbl>
      <w:tblPr>
        <w:tblW w:type="auto" w:w="0"/>
        <w:jc w:val="center"/>
        <w:tblLook w:firstColumn="1" w:firstRow="1" w:lastColumn="0" w:lastRow="0" w:noHBand="0" w:noVBand="1" w:val="04A0"/>
      </w:tblPr>
      <w:tblGrid>
        <w:gridCol w:w="10080"/>
      </w:tblGrid>
      <w:tr>
        <w:tc>
          <w:tcPr>
            <w:tcW w:type="dxa" w:w="10080"/>
            <w:shd w:fill="EEF5FA"/>
            <w:tcBorders>
              <w:top w:val="single" w:sz="8" w:color="173B57"/>
              <w:left w:val="single" w:sz="8" w:color="173B57"/>
              <w:bottom w:val="single" w:sz="8" w:color="173B57"/>
              <w:right w:val="single" w:sz="8" w:color="173B57"/>
            </w:tcBorders>
          </w:tcPr>
          <w:p>
            <w:pPr>
              <w:spacing w:after="40"/>
            </w:pPr>
            <w:r/>
            <w:r>
              <w:rPr>
                <w:rFonts w:ascii="Aptos Display" w:hAnsi="Aptos Display"/>
                <w:b/>
                <w:color w:val="173B57"/>
                <w:sz w:val="20"/>
              </w:rPr>
              <w:t>Policy note</w:t>
            </w:r>
          </w:p>
          <w:p>
            <w:pPr>
              <w:spacing w:after="60"/>
            </w:pPr>
            <w:r>
              <w:rPr>
                <w:rFonts w:ascii="Aptos" w:hAnsi="Aptos"/>
                <w:color w:val="243447"/>
                <w:sz w:val="18"/>
              </w:rPr>
              <w:t>The numerical confidence thresholds should be tuned from validation data and documented per model/version. The blueprint uses confidence bands conceptually; it does not claim universal 95%/70% thresholds are scientifically sufficient for every deployment.</w:t>
            </w:r>
          </w:p>
        </w:tc>
      </w:tr>
    </w:tbl>
    <w:p>
      <w:pPr>
        <w:spacing w:after="40"/>
      </w:pPr>
    </w:p>
    <w:p>
      <w:pPr>
        <w:pStyle w:val="Heading1"/>
        <w:keepNext/>
      </w:pPr>
      <w:r>
        <w:t>11. Human-in-the-Loop Review Center</w:t>
      </w:r>
    </w:p>
    <w:p>
      <w:pPr>
        <w:spacing w:after="120" w:line="259" w:lineRule="auto"/>
      </w:pPr>
      <w:r>
        <w:t>Human review is not a fallback for a weak system. It is a deliberate control for ambiguous cases and high-impact transformations.</w:t>
      </w:r>
    </w:p>
    <w:tbl>
      <w:tblPr>
        <w:tblW w:type="auto" w:w="0"/>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REVIEW ITEM</w:t>
              <w:br/>
            </w:r>
            <w:r>
              <w:rPr>
                <w:rFonts w:ascii="Consolas" w:hAnsi="Consolas"/>
                <w:color w:val="1F2937"/>
                <w:sz w:val="16"/>
              </w:rPr>
              <w:t>- Study / Series / Instance reference</w:t>
              <w:br/>
            </w:r>
            <w:r>
              <w:rPr>
                <w:rFonts w:ascii="Consolas" w:hAnsi="Consolas"/>
                <w:color w:val="1F2937"/>
                <w:sz w:val="16"/>
              </w:rPr>
              <w:t>- Detection source: OCR / text detector / barcode / metadata correlation</w:t>
              <w:br/>
            </w:r>
            <w:r>
              <w:rPr>
                <w:rFonts w:ascii="Consolas" w:hAnsi="Consolas"/>
                <w:color w:val="1F2937"/>
                <w:sz w:val="16"/>
              </w:rPr>
              <w:t>- Candidate PHI class</w:t>
              <w:br/>
            </w:r>
            <w:r>
              <w:rPr>
                <w:rFonts w:ascii="Consolas" w:hAnsi="Consolas"/>
                <w:color w:val="1F2937"/>
                <w:sz w:val="16"/>
              </w:rPr>
              <w:t>- Confidence + diagnostic-overlap indicators</w:t>
              <w:br/>
            </w:r>
            <w:r>
              <w:rPr>
                <w:rFonts w:ascii="Consolas" w:hAnsi="Consolas"/>
                <w:color w:val="1F2937"/>
                <w:sz w:val="16"/>
              </w:rPr>
              <w:t>- Original preview (restricted, local-only)</w:t>
              <w:br/>
            </w:r>
            <w:r>
              <w:rPr>
                <w:rFonts w:ascii="Consolas" w:hAnsi="Consolas"/>
                <w:color w:val="1F2937"/>
                <w:sz w:val="16"/>
              </w:rPr>
              <w:t>- Proposed mask / transformed preview</w:t>
              <w:br/>
            </w:r>
            <w:r>
              <w:rPr>
                <w:rFonts w:ascii="Consolas" w:hAnsi="Consolas"/>
                <w:color w:val="1F2937"/>
                <w:sz w:val="16"/>
              </w:rPr>
              <w:t>- Actions: Approve / Edit Mask / Reject / Escalate</w:t>
              <w:br/>
            </w:r>
            <w:r>
              <w:rPr>
                <w:rFonts w:ascii="Consolas" w:hAnsi="Consolas"/>
                <w:color w:val="1F2937"/>
                <w:sz w:val="16"/>
              </w:rPr>
              <w:t>- Reviewer identity + timestamp</w:t>
              <w:br/>
            </w:r>
            <w:r>
              <w:rPr>
                <w:rFonts w:ascii="Consolas" w:hAnsi="Consolas"/>
                <w:color w:val="1F2937"/>
                <w:sz w:val="16"/>
              </w:rPr>
              <w:t>- Final decision becomes part of the audit trail</w:t>
            </w:r>
          </w:p>
        </w:tc>
      </w:tr>
    </w:tbl>
    <w:p>
      <w:pPr>
        <w:spacing w:after="40"/>
      </w:pPr>
    </w:p>
    <w:p>
      <w:pPr>
        <w:pStyle w:val="Heading2"/>
        <w:keepNext/>
      </w:pPr>
      <w:r>
        <w:t>11.1 Review ergonomics</w:t>
      </w:r>
    </w:p>
    <w:p>
      <w:pPr>
        <w:pStyle w:val="ListBullet"/>
        <w:spacing w:after="40"/>
        <w:ind w:left="288"/>
      </w:pPr>
      <w:r>
        <w:t>Side-by-side or blink comparison between source and de-identified views.</w:t>
      </w:r>
    </w:p>
    <w:p>
      <w:pPr>
        <w:pStyle w:val="ListBullet"/>
        <w:spacing w:after="40"/>
        <w:ind w:left="288"/>
      </w:pPr>
      <w:r>
        <w:t>Highlight only the proposed PHI region by default; do not flood the reviewer with boxes over clinically useful annotations.</w:t>
      </w:r>
    </w:p>
    <w:p>
      <w:pPr>
        <w:pStyle w:val="ListBullet"/>
        <w:spacing w:after="40"/>
        <w:ind w:left="288"/>
      </w:pPr>
      <w:r>
        <w:t>Support add/resize/move/remove mask operations.</w:t>
      </w:r>
    </w:p>
    <w:p>
      <w:pPr>
        <w:pStyle w:val="ListBullet"/>
        <w:spacing w:after="40"/>
        <w:ind w:left="288"/>
      </w:pPr>
      <w:r>
        <w:t>Allow a mask to be propagated across stable multi-frame overlays.</w:t>
      </w:r>
    </w:p>
    <w:p>
      <w:pPr>
        <w:pStyle w:val="ListBullet"/>
        <w:spacing w:after="40"/>
        <w:ind w:left="288"/>
      </w:pPr>
      <w:r>
        <w:t>Provide “why detected” evidence: OCR text, matching metadata token, detector score, and policy rule.</w:t>
      </w:r>
    </w:p>
    <w:p>
      <w:pPr>
        <w:pStyle w:val="Heading1"/>
        <w:keepNext/>
      </w:pPr>
      <w:r>
        <w:t>12. Security, Vaulting &amp; Tamper-Evident Audit</w:t>
      </w:r>
    </w:p>
    <w:p>
      <w:pPr>
        <w:spacing w:after="120" w:line="259" w:lineRule="auto"/>
      </w:pPr>
      <w:r>
        <w:t>The system should protect not only the DICOM output but also the mapping keys, processing logs, temporary files, and application telemetry.</w:t>
      </w:r>
    </w:p>
    <w:p>
      <w:pPr>
        <w:pStyle w:val="Heading2"/>
        <w:keepNext/>
      </w:pPr>
      <w:r>
        <w:t>12.1 Key hierarchy</w:t>
      </w:r>
    </w:p>
    <w:tbl>
      <w:tblPr>
        <w:tblW w:type="auto" w:w="0"/>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Master / HSM-held key</w:t>
              <w:br/>
            </w:r>
            <w:r>
              <w:rPr>
                <w:rFonts w:ascii="Consolas" w:hAnsi="Consolas"/>
                <w:color w:val="1F2937"/>
                <w:sz w:val="16"/>
              </w:rPr>
              <w:t xml:space="preserve">    |</w:t>
              <w:br/>
            </w:r>
            <w:r>
              <w:rPr>
                <w:rFonts w:ascii="Consolas" w:hAnsi="Consolas"/>
                <w:color w:val="1F2937"/>
                <w:sz w:val="16"/>
              </w:rPr>
              <w:t xml:space="preserve">    +-- K_uid       -&gt; UID pseudonymization</w:t>
              <w:br/>
            </w:r>
            <w:r>
              <w:rPr>
                <w:rFonts w:ascii="Consolas" w:hAnsi="Consolas"/>
                <w:color w:val="1F2937"/>
                <w:sz w:val="16"/>
              </w:rPr>
              <w:t xml:space="preserve">    +-- K_patient   -&gt; patient pseudonymization</w:t>
              <w:br/>
            </w:r>
            <w:r>
              <w:rPr>
                <w:rFonts w:ascii="Consolas" w:hAnsi="Consolas"/>
                <w:color w:val="1F2937"/>
                <w:sz w:val="16"/>
              </w:rPr>
              <w:t xml:space="preserve">    +-- K_date      -&gt; deterministic date shifting</w:t>
              <w:br/>
            </w:r>
            <w:r>
              <w:rPr>
                <w:rFonts w:ascii="Consolas" w:hAnsi="Consolas"/>
                <w:color w:val="1F2937"/>
                <w:sz w:val="16"/>
              </w:rPr>
              <w:t xml:space="preserve">    +-- K_audit     -&gt; audit record integrity</w:t>
              <w:br/>
            </w:r>
            <w:r>
              <w:rPr>
                <w:rFonts w:ascii="Consolas" w:hAnsi="Consolas"/>
                <w:color w:val="1F2937"/>
                <w:sz w:val="16"/>
              </w:rPr>
              <w:br/>
            </w:r>
            <w:r>
              <w:rPr>
                <w:rFonts w:ascii="Consolas" w:hAnsi="Consolas"/>
                <w:color w:val="1F2937"/>
                <w:sz w:val="16"/>
              </w:rPr>
              <w:t>Keys never appear in normal application logs.</w:t>
            </w:r>
          </w:p>
        </w:tc>
      </w:tr>
    </w:tbl>
    <w:p>
      <w:pPr>
        <w:spacing w:after="40"/>
      </w:pPr>
    </w:p>
    <w:p>
      <w:pPr>
        <w:pStyle w:val="Heading2"/>
        <w:keepNext/>
      </w:pPr>
      <w:r>
        <w:t>12.2 Tamper-evident audit record</w:t>
      </w:r>
    </w:p>
    <w:p>
      <w:pPr>
        <w:spacing w:after="120" w:line="259" w:lineRule="auto"/>
      </w:pPr>
      <w:r>
        <w:t>The audit design from the supplied blueprints is retained and strengthened into a Merkle-/hash-chained ledger. The audit record contains hashes and transformation summaries—not patient names or raw OCR text.</w:t>
      </w:r>
    </w:p>
    <w:p>
      <w:r>
        <w:rPr>
          <w:b/>
          <w:color w:val="374151"/>
          <w:sz w:val="19"/>
        </w:rPr>
        <w:t>Conceptual chained-hash construction</w:t>
      </w:r>
    </w:p>
    <w:tbl>
      <w:tblPr>
        <w:tblW w:type="auto" w:w="0"/>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AuditBlock_n = SHA256(</w:t>
              <w:br/>
            </w:r>
            <w:r>
              <w:rPr>
                <w:rFonts w:ascii="Consolas" w:hAnsi="Consolas"/>
                <w:color w:val="1F2937"/>
                <w:sz w:val="16"/>
              </w:rPr>
              <w:t xml:space="preserve">    AuditBlock_(n-1)</w:t>
              <w:br/>
            </w:r>
            <w:r>
              <w:rPr>
                <w:rFonts w:ascii="Consolas" w:hAnsi="Consolas"/>
                <w:color w:val="1F2937"/>
                <w:sz w:val="16"/>
              </w:rPr>
              <w:t xml:space="preserve">    || job_id</w:t>
              <w:br/>
            </w:r>
            <w:r>
              <w:rPr>
                <w:rFonts w:ascii="Consolas" w:hAnsi="Consolas"/>
                <w:color w:val="1F2937"/>
                <w:sz w:val="16"/>
              </w:rPr>
              <w:t xml:space="preserve">    || input_sha256</w:t>
              <w:br/>
            </w:r>
            <w:r>
              <w:rPr>
                <w:rFonts w:ascii="Consolas" w:hAnsi="Consolas"/>
                <w:color w:val="1F2937"/>
                <w:sz w:val="16"/>
              </w:rPr>
              <w:t xml:space="preserve">    || output_sha256</w:t>
              <w:br/>
            </w:r>
            <w:r>
              <w:rPr>
                <w:rFonts w:ascii="Consolas" w:hAnsi="Consolas"/>
                <w:color w:val="1F2937"/>
                <w:sz w:val="16"/>
              </w:rPr>
              <w:t xml:space="preserve">    || policy_id</w:t>
              <w:br/>
            </w:r>
            <w:r>
              <w:rPr>
                <w:rFonts w:ascii="Consolas" w:hAnsi="Consolas"/>
                <w:color w:val="1F2937"/>
                <w:sz w:val="16"/>
              </w:rPr>
              <w:t xml:space="preserve">    || transform_summary</w:t>
              <w:br/>
            </w:r>
            <w:r>
              <w:rPr>
                <w:rFonts w:ascii="Consolas" w:hAnsi="Consolas"/>
                <w:color w:val="1F2937"/>
                <w:sz w:val="16"/>
              </w:rPr>
              <w:t xml:space="preserve">    || validation_summary</w:t>
              <w:br/>
            </w:r>
            <w:r>
              <w:rPr>
                <w:rFonts w:ascii="Consolas" w:hAnsi="Consolas"/>
                <w:color w:val="1F2937"/>
                <w:sz w:val="16"/>
              </w:rPr>
              <w:t xml:space="preserve">    || timestamp</w:t>
              <w:br/>
            </w:r>
            <w:r>
              <w:rPr>
                <w:rFonts w:ascii="Consolas" w:hAnsi="Consolas"/>
                <w:color w:val="1F2937"/>
                <w:sz w:val="16"/>
              </w:rPr>
              <w:t>)</w:t>
            </w:r>
          </w:p>
        </w:tc>
      </w:tr>
    </w:tbl>
    <w:p>
      <w:pPr>
        <w:spacing w:after="40"/>
      </w:pPr>
    </w:p>
    <w:p>
      <w:pPr>
        <w:pStyle w:val="Heading2"/>
        <w:keepNext/>
      </w:pPr>
      <w:r>
        <w:t>12.3 Optional cross-institution anchoring</w:t>
      </w:r>
    </w:p>
    <w:p>
      <w:pPr>
        <w:spacing w:after="120" w:line="259" w:lineRule="auto"/>
      </w:pPr>
      <w:r>
        <w:t>Permissioned blockchain anchoring may be added when multiple institutions need proof that a certificate existed at a particular time. Only a digest or certificate fingerprint should leave the controlled environment. Blockchain is an optional trust extension, not a substitute for the local audit system.</w:t>
      </w:r>
    </w:p>
    <w:p>
      <w:pPr>
        <w:pStyle w:val="Heading1"/>
        <w:keepNext/>
      </w:pPr>
      <w:r>
        <w:t>13. Embedded Documents, Structured Reports &amp; Non-Image Objects</w:t>
      </w:r>
    </w:p>
    <w:p>
      <w:pPr>
        <w:spacing w:after="120" w:line="259" w:lineRule="auto"/>
      </w:pPr>
      <w:r>
        <w:t>A DICOM container can carry far more than raster pixels. The sanitization engine should classify and route non-image payloads based on their object type instead of treating everything as ordinary pixel data.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7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Object / payload</w:t>
            </w:r>
          </w:p>
        </w:tc>
        <w:tc>
          <w:tcPr>
            <w:tcW w:type="dxa" w:w="496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Processing strategy</w:t>
            </w:r>
          </w:p>
        </w:tc>
        <w:tc>
          <w:tcPr>
            <w:tcW w:type="dxa" w:w="288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Release rule</w:t>
            </w:r>
          </w:p>
        </w:tc>
      </w:tr>
      <w:tr>
        <w:tc>
          <w:tcPr>
            <w:tcW w:type="dxa" w:w="2376"/>
            <w:vAlign w:val="center"/>
          </w:tcPr>
          <w:p>
            <w:pPr>
              <w:spacing w:after="0"/>
            </w:pPr>
            <w:r/>
            <w:r>
              <w:rPr>
                <w:rFonts w:ascii="Aptos" w:hAnsi="Aptos"/>
                <w:b w:val="0"/>
                <w:color w:val="111827"/>
                <w:sz w:val="16"/>
              </w:rPr>
              <w:t>Encapsulated PDF</w:t>
            </w:r>
          </w:p>
        </w:tc>
        <w:tc>
          <w:tcPr>
            <w:tcW w:type="dxa" w:w="4968"/>
            <w:vAlign w:val="center"/>
          </w:tcPr>
          <w:p>
            <w:pPr>
              <w:spacing w:after="0"/>
            </w:pPr>
            <w:r/>
            <w:r>
              <w:rPr>
                <w:rFonts w:ascii="Aptos" w:hAnsi="Aptos"/>
                <w:b w:val="0"/>
                <w:color w:val="111827"/>
                <w:sz w:val="16"/>
              </w:rPr>
              <w:t>Extract to isolated sandbox; inspect text/layout; redact sensitive content; re-encapsulate only if validated.</w:t>
            </w:r>
          </w:p>
        </w:tc>
        <w:tc>
          <w:tcPr>
            <w:tcW w:type="dxa" w:w="2880"/>
            <w:vAlign w:val="center"/>
          </w:tcPr>
          <w:p>
            <w:pPr>
              <w:spacing w:after="0"/>
            </w:pPr>
            <w:r/>
            <w:r>
              <w:rPr>
                <w:rFonts w:ascii="Aptos" w:hAnsi="Aptos"/>
                <w:b w:val="0"/>
                <w:color w:val="111827"/>
                <w:sz w:val="16"/>
              </w:rPr>
              <w:t>Unsupported PDF feature → quarantine.</w:t>
            </w:r>
          </w:p>
        </w:tc>
      </w:tr>
      <w:tr>
        <w:tc>
          <w:tcPr>
            <w:tcW w:type="dxa" w:w="2376"/>
            <w:vAlign w:val="center"/>
            <w:shd w:fill="F5F7FA"/>
          </w:tcPr>
          <w:p>
            <w:pPr>
              <w:spacing w:after="0"/>
            </w:pPr>
            <w:r/>
            <w:r>
              <w:rPr>
                <w:rFonts w:ascii="Aptos" w:hAnsi="Aptos"/>
                <w:b w:val="0"/>
                <w:color w:val="111827"/>
                <w:sz w:val="16"/>
              </w:rPr>
              <w:t>DICOM Structured Report</w:t>
            </w:r>
          </w:p>
        </w:tc>
        <w:tc>
          <w:tcPr>
            <w:tcW w:type="dxa" w:w="4968"/>
            <w:vAlign w:val="center"/>
            <w:shd w:fill="F5F7FA"/>
          </w:tcPr>
          <w:p>
            <w:pPr>
              <w:spacing w:after="0"/>
            </w:pPr>
            <w:r/>
            <w:r>
              <w:rPr>
                <w:rFonts w:ascii="Aptos" w:hAnsi="Aptos"/>
                <w:b w:val="0"/>
                <w:color w:val="111827"/>
                <w:sz w:val="16"/>
              </w:rPr>
              <w:t>Recursive content-item traversal; sanitize free text/coded values according to policy.</w:t>
            </w:r>
          </w:p>
        </w:tc>
        <w:tc>
          <w:tcPr>
            <w:tcW w:type="dxa" w:w="2880"/>
            <w:vAlign w:val="center"/>
            <w:shd w:fill="F5F7FA"/>
          </w:tcPr>
          <w:p>
            <w:pPr>
              <w:spacing w:after="0"/>
            </w:pPr>
            <w:r/>
            <w:r>
              <w:rPr>
                <w:rFonts w:ascii="Aptos" w:hAnsi="Aptos"/>
                <w:b w:val="0"/>
                <w:color w:val="111827"/>
                <w:sz w:val="16"/>
              </w:rPr>
              <w:t>Reference and content-tree validation required.</w:t>
            </w:r>
          </w:p>
        </w:tc>
      </w:tr>
      <w:tr>
        <w:tc>
          <w:tcPr>
            <w:tcW w:type="dxa" w:w="2376"/>
            <w:vAlign w:val="center"/>
          </w:tcPr>
          <w:p>
            <w:pPr>
              <w:spacing w:after="0"/>
            </w:pPr>
            <w:r/>
            <w:r>
              <w:rPr>
                <w:rFonts w:ascii="Aptos" w:hAnsi="Aptos"/>
                <w:b w:val="0"/>
                <w:color w:val="111827"/>
                <w:sz w:val="16"/>
              </w:rPr>
              <w:t>Waveform / ECG</w:t>
            </w:r>
          </w:p>
        </w:tc>
        <w:tc>
          <w:tcPr>
            <w:tcW w:type="dxa" w:w="4968"/>
            <w:vAlign w:val="center"/>
          </w:tcPr>
          <w:p>
            <w:pPr>
              <w:spacing w:after="0"/>
            </w:pPr>
            <w:r/>
            <w:r>
              <w:rPr>
                <w:rFonts w:ascii="Aptos" w:hAnsi="Aptos"/>
                <w:b w:val="0"/>
                <w:color w:val="111827"/>
                <w:sz w:val="16"/>
              </w:rPr>
              <w:t>Scan descriptive metadata and associated text; preserve waveform samples unless policy requires signal transformation.</w:t>
            </w:r>
          </w:p>
        </w:tc>
        <w:tc>
          <w:tcPr>
            <w:tcW w:type="dxa" w:w="2880"/>
            <w:vAlign w:val="center"/>
          </w:tcPr>
          <w:p>
            <w:pPr>
              <w:spacing w:after="0"/>
            </w:pPr>
            <w:r/>
            <w:r>
              <w:rPr>
                <w:rFonts w:ascii="Aptos" w:hAnsi="Aptos"/>
                <w:b w:val="0"/>
                <w:color w:val="111827"/>
                <w:sz w:val="16"/>
              </w:rPr>
              <w:t>Integrity check on sample count/encoding.</w:t>
            </w:r>
          </w:p>
        </w:tc>
      </w:tr>
      <w:tr>
        <w:tc>
          <w:tcPr>
            <w:tcW w:type="dxa" w:w="2376"/>
            <w:vAlign w:val="center"/>
            <w:shd w:fill="F5F7FA"/>
          </w:tcPr>
          <w:p>
            <w:pPr>
              <w:spacing w:after="0"/>
            </w:pPr>
            <w:r/>
            <w:r>
              <w:rPr>
                <w:rFonts w:ascii="Aptos" w:hAnsi="Aptos"/>
                <w:b w:val="0"/>
                <w:color w:val="111827"/>
                <w:sz w:val="16"/>
              </w:rPr>
              <w:t>RT / treatment objects</w:t>
            </w:r>
          </w:p>
        </w:tc>
        <w:tc>
          <w:tcPr>
            <w:tcW w:type="dxa" w:w="4968"/>
            <w:vAlign w:val="center"/>
            <w:shd w:fill="F5F7FA"/>
          </w:tcPr>
          <w:p>
            <w:pPr>
              <w:spacing w:after="0"/>
            </w:pPr>
            <w:r/>
            <w:r>
              <w:rPr>
                <w:rFonts w:ascii="Aptos" w:hAnsi="Aptos"/>
                <w:b w:val="0"/>
                <w:color w:val="111827"/>
                <w:sz w:val="16"/>
              </w:rPr>
              <w:t>Object-specific conformance policy; preserve required references.</w:t>
            </w:r>
          </w:p>
        </w:tc>
        <w:tc>
          <w:tcPr>
            <w:tcW w:type="dxa" w:w="2880"/>
            <w:vAlign w:val="center"/>
            <w:shd w:fill="F5F7FA"/>
          </w:tcPr>
          <w:p>
            <w:pPr>
              <w:spacing w:after="0"/>
            </w:pPr>
            <w:r/>
            <w:r>
              <w:rPr>
                <w:rFonts w:ascii="Aptos" w:hAnsi="Aptos"/>
                <w:b w:val="0"/>
                <w:color w:val="111827"/>
                <w:sz w:val="16"/>
              </w:rPr>
              <w:t>Strict reference closure and structural validation.</w:t>
            </w:r>
          </w:p>
        </w:tc>
      </w:tr>
      <w:tr>
        <w:tc>
          <w:tcPr>
            <w:tcW w:type="dxa" w:w="2376"/>
            <w:vAlign w:val="center"/>
          </w:tcPr>
          <w:p>
            <w:pPr>
              <w:spacing w:after="0"/>
            </w:pPr>
            <w:r/>
            <w:r>
              <w:rPr>
                <w:rFonts w:ascii="Aptos" w:hAnsi="Aptos"/>
                <w:b w:val="0"/>
                <w:color w:val="111827"/>
                <w:sz w:val="16"/>
              </w:rPr>
              <w:t>DICOMDIR</w:t>
            </w:r>
          </w:p>
        </w:tc>
        <w:tc>
          <w:tcPr>
            <w:tcW w:type="dxa" w:w="4968"/>
            <w:vAlign w:val="center"/>
          </w:tcPr>
          <w:p>
            <w:pPr>
              <w:spacing w:after="0"/>
            </w:pPr>
            <w:r/>
            <w:r>
              <w:rPr>
                <w:rFonts w:ascii="Aptos" w:hAnsi="Aptos"/>
                <w:b w:val="0"/>
                <w:color w:val="111827"/>
                <w:sz w:val="16"/>
              </w:rPr>
              <w:t>Rebuild / validate directory references if present.</w:t>
            </w:r>
          </w:p>
        </w:tc>
        <w:tc>
          <w:tcPr>
            <w:tcW w:type="dxa" w:w="2880"/>
            <w:vAlign w:val="center"/>
          </w:tcPr>
          <w:p>
            <w:pPr>
              <w:spacing w:after="0"/>
            </w:pPr>
            <w:r/>
            <w:r>
              <w:rPr>
                <w:rFonts w:ascii="Aptos" w:hAnsi="Aptos"/>
                <w:b w:val="0"/>
                <w:color w:val="111827"/>
                <w:sz w:val="16"/>
              </w:rPr>
              <w:t>Directory must resolve to delivered instances.</w:t>
            </w:r>
          </w:p>
        </w:tc>
      </w:tr>
    </w:tbl>
    <w:p>
      <w:pPr>
        <w:spacing w:after="20"/>
      </w:pPr>
    </w:p>
    <w:p>
      <w:pPr>
        <w:pStyle w:val="Heading1"/>
        <w:keepNext/>
      </w:pPr>
      <w:r>
        <w:t>14. Deployment Modes</w:t>
      </w:r>
    </w:p>
    <w:p>
      <w:pPr>
        <w:pStyle w:val="Heading2"/>
        <w:keepNext/>
      </w:pPr>
      <w:r>
        <w:t>14.1 Desktop / researcher mode</w:t>
      </w:r>
    </w:p>
    <w:p>
      <w:pPr>
        <w:spacing w:after="120" w:line="259" w:lineRule="auto"/>
      </w:pPr>
      <w:r>
        <w:t>Drag-and-drop or browse a study directory. The application performs local processing, shows a job dashboard, surfaces review items, and exports a sanitized cohort package with an audit certificate.</w:t>
      </w:r>
    </w:p>
    <w:p>
      <w:pPr>
        <w:pStyle w:val="Heading2"/>
        <w:keepNext/>
      </w:pPr>
      <w:r>
        <w:t>14.2 Real-time folder mode</w:t>
      </w:r>
    </w:p>
    <w:p>
      <w:pPr>
        <w:spacing w:after="120" w:line="259" w:lineRule="auto"/>
      </w:pPr>
      <w:r>
        <w:t>A watch service detects newly written studies, waits for file stability, groups instances into studies/series, then processes them through the same core engine. The watcher should never alter the source directory.</w:t>
      </w:r>
    </w:p>
    <w:p>
      <w:pPr>
        <w:pStyle w:val="Heading2"/>
        <w:keepNext/>
      </w:pPr>
      <w:r>
        <w:t>14.3 PACS / DICOM network mode</w:t>
      </w:r>
    </w:p>
    <w:p>
      <w:pPr>
        <w:spacing w:after="120" w:line="259" w:lineRule="auto"/>
      </w:pPr>
      <w:r>
        <w:t>For a controlled clinical integration, VeilGuard can operate as a DICOM receive/forward or research-export proxy. The same de-identification engine is invoked before research delivery. Network credentials, AE Titles, destinations, and access policy belong in a separate configuration/security layer.</w:t>
      </w:r>
    </w:p>
    <w:p>
      <w:pPr>
        <w:pStyle w:val="Heading2"/>
        <w:keepNext/>
      </w:pPr>
      <w:r>
        <w:t>14.4 Large-batch accelerator mode</w:t>
      </w:r>
    </w:p>
    <w:p>
      <w:pPr>
        <w:spacing w:after="120" w:line="259" w:lineRule="auto"/>
      </w:pPr>
      <w:r>
        <w:t>The architecture can later split ingestion, analysis, inference, and validation into workers for GPU/CPU scaling. The research export gate remains identical regardless of whether the job ran on one workstation or a distributed batch system.</w:t>
      </w:r>
    </w:p>
    <w:tbl>
      <w:tblPr>
        <w:tblW w:type="auto" w:w="0"/>
        <w:jc w:val="center"/>
        <w:tblLook w:firstColumn="1" w:firstRow="1" w:lastColumn="0" w:lastRow="0" w:noHBand="0" w:noVBand="1" w:val="04A0"/>
      </w:tblPr>
      <w:tblGrid>
        <w:gridCol w:w="10080"/>
      </w:tblGrid>
      <w:tr>
        <w:tc>
          <w:tcPr>
            <w:tcW w:type="dxa" w:w="10080"/>
            <w:shd w:fill="EAF4EE"/>
            <w:tcBorders>
              <w:top w:val="single" w:sz="8" w:color="4B7A65"/>
              <w:left w:val="single" w:sz="8" w:color="4B7A65"/>
              <w:bottom w:val="single" w:sz="8" w:color="4B7A65"/>
              <w:right w:val="single" w:sz="8" w:color="4B7A65"/>
            </w:tcBorders>
          </w:tcPr>
          <w:p>
            <w:pPr>
              <w:spacing w:after="40"/>
            </w:pPr>
            <w:r/>
            <w:r>
              <w:rPr>
                <w:rFonts w:ascii="Aptos Display" w:hAnsi="Aptos Display"/>
                <w:b/>
                <w:color w:val="4B7A65"/>
                <w:sz w:val="20"/>
              </w:rPr>
              <w:t>Architecture consistency rule</w:t>
            </w:r>
          </w:p>
          <w:p>
            <w:pPr>
              <w:spacing w:after="60"/>
            </w:pPr>
            <w:r>
              <w:rPr>
                <w:rFonts w:ascii="Aptos" w:hAnsi="Aptos"/>
                <w:color w:val="243447"/>
                <w:sz w:val="18"/>
              </w:rPr>
              <w:t>Desktop, folder-watch, PACS, and batch modes must invoke the same policy engine and validation gate. A “fast path” that bypasses validation creates a weaker product in the exact workflow where scale makes mistakes harder to detect.</w:t>
            </w:r>
          </w:p>
        </w:tc>
      </w:tr>
    </w:tbl>
    <w:p>
      <w:pPr>
        <w:spacing w:after="40"/>
      </w:pPr>
    </w:p>
    <w:p>
      <w:pPr>
        <w:pStyle w:val="Heading1"/>
        <w:keepNext/>
      </w:pPr>
      <w:r>
        <w:t>15. Core Data Model &amp; Local Service Interfaces</w:t>
      </w:r>
    </w:p>
    <w:p>
      <w:pPr>
        <w:pStyle w:val="Heading2"/>
        <w:keepNext/>
      </w:pPr>
      <w:r>
        <w:t>15.1 Processing job object</w:t>
      </w:r>
    </w:p>
    <w:tbl>
      <w:tblPr>
        <w:tblW w:type="auto" w:w="0"/>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Job {</w:t>
              <w:br/>
            </w:r>
            <w:r>
              <w:rPr>
                <w:rFonts w:ascii="Consolas" w:hAnsi="Consolas"/>
                <w:color w:val="1F2937"/>
                <w:sz w:val="16"/>
              </w:rPr>
              <w:t xml:space="preserve">  job_id</w:t>
              <w:br/>
            </w:r>
            <w:r>
              <w:rPr>
                <w:rFonts w:ascii="Consolas" w:hAnsi="Consolas"/>
                <w:color w:val="1F2937"/>
                <w:sz w:val="16"/>
              </w:rPr>
              <w:t xml:space="preserve">  policy_id</w:t>
              <w:br/>
            </w:r>
            <w:r>
              <w:rPr>
                <w:rFonts w:ascii="Consolas" w:hAnsi="Consolas"/>
                <w:color w:val="1F2937"/>
                <w:sz w:val="16"/>
              </w:rPr>
              <w:t xml:space="preserve">  source_root_hash</w:t>
              <w:br/>
            </w:r>
            <w:r>
              <w:rPr>
                <w:rFonts w:ascii="Consolas" w:hAnsi="Consolas"/>
                <w:color w:val="1F2937"/>
                <w:sz w:val="16"/>
              </w:rPr>
              <w:t xml:space="preserve">  studies[]</w:t>
              <w:br/>
            </w:r>
            <w:r>
              <w:rPr>
                <w:rFonts w:ascii="Consolas" w:hAnsi="Consolas"/>
                <w:color w:val="1F2937"/>
                <w:sz w:val="16"/>
              </w:rPr>
              <w:t xml:space="preserve">  status</w:t>
              <w:br/>
            </w:r>
            <w:r>
              <w:rPr>
                <w:rFonts w:ascii="Consolas" w:hAnsi="Consolas"/>
                <w:color w:val="1F2937"/>
                <w:sz w:val="16"/>
              </w:rPr>
              <w:t xml:space="preserve">  metrics {</w:t>
              <w:br/>
            </w:r>
            <w:r>
              <w:rPr>
                <w:rFonts w:ascii="Consolas" w:hAnsi="Consolas"/>
                <w:color w:val="1F2937"/>
                <w:sz w:val="16"/>
              </w:rPr>
              <w:t xml:space="preserve">    files_seen, files_approved, files_reviewed, files_blocked,</w:t>
              <w:br/>
            </w:r>
            <w:r>
              <w:rPr>
                <w:rFonts w:ascii="Consolas" w:hAnsi="Consolas"/>
                <w:color w:val="1F2937"/>
                <w:sz w:val="16"/>
              </w:rPr>
              <w:t xml:space="preserve">    metadata_actions, pixel_regions, validation_failures</w:t>
              <w:br/>
            </w:r>
            <w:r>
              <w:rPr>
                <w:rFonts w:ascii="Consolas" w:hAnsi="Consolas"/>
                <w:color w:val="1F2937"/>
                <w:sz w:val="16"/>
              </w:rPr>
              <w:t xml:space="preserve">  }</w:t>
              <w:br/>
            </w:r>
            <w:r>
              <w:rPr>
                <w:rFonts w:ascii="Consolas" w:hAnsi="Consolas"/>
                <w:color w:val="1F2937"/>
                <w:sz w:val="16"/>
              </w:rPr>
              <w:t xml:space="preserve">  audit_chain_head</w:t>
              <w:br/>
            </w:r>
            <w:r>
              <w:rPr>
                <w:rFonts w:ascii="Consolas" w:hAnsi="Consolas"/>
                <w:color w:val="1F2937"/>
                <w:sz w:val="16"/>
              </w:rPr>
              <w:t>}</w:t>
            </w:r>
          </w:p>
        </w:tc>
      </w:tr>
    </w:tbl>
    <w:p>
      <w:pPr>
        <w:spacing w:after="40"/>
      </w:pPr>
    </w:p>
    <w:p>
      <w:pPr>
        <w:pStyle w:val="Heading2"/>
        <w:keepNext/>
      </w:pPr>
      <w:r>
        <w:t>15.2 Detection object</w:t>
      </w:r>
    </w:p>
    <w:tbl>
      <w:tblPr>
        <w:tblW w:type="auto" w:w="0"/>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Detection {</w:t>
              <w:br/>
            </w:r>
            <w:r>
              <w:rPr>
                <w:rFonts w:ascii="Consolas" w:hAnsi="Consolas"/>
                <w:color w:val="1F2937"/>
                <w:sz w:val="16"/>
              </w:rPr>
              <w:t xml:space="preserve">  study_id, series_id, instance_id, frame_id?</w:t>
              <w:br/>
            </w:r>
            <w:r>
              <w:rPr>
                <w:rFonts w:ascii="Consolas" w:hAnsi="Consolas"/>
                <w:color w:val="1F2937"/>
                <w:sz w:val="16"/>
              </w:rPr>
              <w:t xml:space="preserve">  source = OCR | TEXT_DETECTOR | BARCODE | METADATA_MATCH | VISUAL</w:t>
              <w:br/>
            </w:r>
            <w:r>
              <w:rPr>
                <w:rFonts w:ascii="Consolas" w:hAnsi="Consolas"/>
                <w:color w:val="1F2937"/>
                <w:sz w:val="16"/>
              </w:rPr>
              <w:t xml:space="preserve">  category = NAME | ID | DATE | LOCATION | OTHER</w:t>
              <w:br/>
            </w:r>
            <w:r>
              <w:rPr>
                <w:rFonts w:ascii="Consolas" w:hAnsi="Consolas"/>
                <w:color w:val="1F2937"/>
                <w:sz w:val="16"/>
              </w:rPr>
              <w:t xml:space="preserve">  bbox / polygon</w:t>
              <w:br/>
            </w:r>
            <w:r>
              <w:rPr>
                <w:rFonts w:ascii="Consolas" w:hAnsi="Consolas"/>
                <w:color w:val="1F2937"/>
                <w:sz w:val="16"/>
              </w:rPr>
              <w:t xml:space="preserve">  detector_confidence</w:t>
              <w:br/>
            </w:r>
            <w:r>
              <w:rPr>
                <w:rFonts w:ascii="Consolas" w:hAnsi="Consolas"/>
                <w:color w:val="1F2937"/>
                <w:sz w:val="16"/>
              </w:rPr>
              <w:t xml:space="preserve">  phi_confidence</w:t>
              <w:br/>
            </w:r>
            <w:r>
              <w:rPr>
                <w:rFonts w:ascii="Consolas" w:hAnsi="Consolas"/>
                <w:color w:val="1F2937"/>
                <w:sz w:val="16"/>
              </w:rPr>
              <w:t xml:space="preserve">  diagnostic_overlap_score</w:t>
              <w:br/>
            </w:r>
            <w:r>
              <w:rPr>
                <w:rFonts w:ascii="Consolas" w:hAnsi="Consolas"/>
                <w:color w:val="1F2937"/>
                <w:sz w:val="16"/>
              </w:rPr>
              <w:t xml:space="preserve">  policy_action</w:t>
              <w:br/>
            </w:r>
            <w:r>
              <w:rPr>
                <w:rFonts w:ascii="Consolas" w:hAnsi="Consolas"/>
                <w:color w:val="1F2937"/>
                <w:sz w:val="16"/>
              </w:rPr>
              <w:t xml:space="preserve">  review_status</w:t>
              <w:br/>
            </w:r>
            <w:r>
              <w:rPr>
                <w:rFonts w:ascii="Consolas" w:hAnsi="Consolas"/>
                <w:color w:val="1F2937"/>
                <w:sz w:val="16"/>
              </w:rPr>
              <w:t>}</w:t>
            </w:r>
          </w:p>
        </w:tc>
      </w:tr>
    </w:tbl>
    <w:p>
      <w:pPr>
        <w:spacing w:after="40"/>
      </w:pPr>
    </w:p>
    <w:p>
      <w:pPr>
        <w:pStyle w:val="Heading2"/>
        <w:keepNext/>
      </w:pPr>
      <w:r>
        <w:t>15.3 Suggested internal API surface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Interface</w:t>
            </w:r>
          </w:p>
        </w:tc>
        <w:tc>
          <w:tcPr>
            <w:tcW w:type="dxa" w:w="48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Purpose</w:t>
            </w:r>
          </w:p>
        </w:tc>
        <w:tc>
          <w:tcPr>
            <w:tcW w:type="dxa" w:w="331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Security</w:t>
            </w:r>
          </w:p>
        </w:tc>
      </w:tr>
      <w:tr>
        <w:tc>
          <w:tcPr>
            <w:tcW w:type="dxa" w:w="2088"/>
            <w:vAlign w:val="center"/>
          </w:tcPr>
          <w:p>
            <w:pPr>
              <w:spacing w:after="0"/>
            </w:pPr>
            <w:r/>
            <w:r>
              <w:rPr>
                <w:rFonts w:ascii="Aptos" w:hAnsi="Aptos"/>
                <w:b w:val="0"/>
                <w:color w:val="111827"/>
                <w:sz w:val="17"/>
              </w:rPr>
              <w:t>POST /jobs</w:t>
            </w:r>
          </w:p>
        </w:tc>
        <w:tc>
          <w:tcPr>
            <w:tcW w:type="dxa" w:w="4824"/>
            <w:vAlign w:val="center"/>
          </w:tcPr>
          <w:p>
            <w:pPr>
              <w:spacing w:after="0"/>
            </w:pPr>
            <w:r/>
            <w:r>
              <w:rPr>
                <w:rFonts w:ascii="Aptos" w:hAnsi="Aptos"/>
                <w:b w:val="0"/>
                <w:color w:val="111827"/>
                <w:sz w:val="17"/>
              </w:rPr>
              <w:t>Create processing job and policy context</w:t>
            </w:r>
          </w:p>
        </w:tc>
        <w:tc>
          <w:tcPr>
            <w:tcW w:type="dxa" w:w="3312"/>
            <w:vAlign w:val="center"/>
          </w:tcPr>
          <w:p>
            <w:pPr>
              <w:spacing w:after="0"/>
            </w:pPr>
            <w:r/>
            <w:r>
              <w:rPr>
                <w:rFonts w:ascii="Aptos" w:hAnsi="Aptos"/>
                <w:b w:val="0"/>
                <w:color w:val="111827"/>
                <w:sz w:val="17"/>
              </w:rPr>
              <w:t>Local IPC / authenticated local service</w:t>
            </w:r>
          </w:p>
        </w:tc>
      </w:tr>
      <w:tr>
        <w:tc>
          <w:tcPr>
            <w:tcW w:type="dxa" w:w="2088"/>
            <w:vAlign w:val="center"/>
            <w:shd w:fill="F5F7FA"/>
          </w:tcPr>
          <w:p>
            <w:pPr>
              <w:spacing w:after="0"/>
            </w:pPr>
            <w:r/>
            <w:r>
              <w:rPr>
                <w:rFonts w:ascii="Aptos" w:hAnsi="Aptos"/>
                <w:b w:val="0"/>
                <w:color w:val="111827"/>
                <w:sz w:val="17"/>
              </w:rPr>
              <w:t>GET /jobs/{id}</w:t>
            </w:r>
          </w:p>
        </w:tc>
        <w:tc>
          <w:tcPr>
            <w:tcW w:type="dxa" w:w="4824"/>
            <w:vAlign w:val="center"/>
            <w:shd w:fill="F5F7FA"/>
          </w:tcPr>
          <w:p>
            <w:pPr>
              <w:spacing w:after="0"/>
            </w:pPr>
            <w:r/>
            <w:r>
              <w:rPr>
                <w:rFonts w:ascii="Aptos" w:hAnsi="Aptos"/>
                <w:b w:val="0"/>
                <w:color w:val="111827"/>
                <w:sz w:val="17"/>
              </w:rPr>
              <w:t>Read sanitized job status/metrics</w:t>
            </w:r>
          </w:p>
        </w:tc>
        <w:tc>
          <w:tcPr>
            <w:tcW w:type="dxa" w:w="3312"/>
            <w:vAlign w:val="center"/>
            <w:shd w:fill="F5F7FA"/>
          </w:tcPr>
          <w:p>
            <w:pPr>
              <w:spacing w:after="0"/>
            </w:pPr>
            <w:r/>
            <w:r>
              <w:rPr>
                <w:rFonts w:ascii="Aptos" w:hAnsi="Aptos"/>
                <w:b w:val="0"/>
                <w:color w:val="111827"/>
                <w:sz w:val="17"/>
              </w:rPr>
              <w:t>No raw PHI in response</w:t>
            </w:r>
          </w:p>
        </w:tc>
      </w:tr>
      <w:tr>
        <w:tc>
          <w:tcPr>
            <w:tcW w:type="dxa" w:w="2088"/>
            <w:vAlign w:val="center"/>
          </w:tcPr>
          <w:p>
            <w:pPr>
              <w:spacing w:after="0"/>
            </w:pPr>
            <w:r/>
            <w:r>
              <w:rPr>
                <w:rFonts w:ascii="Aptos" w:hAnsi="Aptos"/>
                <w:b w:val="0"/>
                <w:color w:val="111827"/>
                <w:sz w:val="17"/>
              </w:rPr>
              <w:t>GET /review/{id}</w:t>
            </w:r>
          </w:p>
        </w:tc>
        <w:tc>
          <w:tcPr>
            <w:tcW w:type="dxa" w:w="4824"/>
            <w:vAlign w:val="center"/>
          </w:tcPr>
          <w:p>
            <w:pPr>
              <w:spacing w:after="0"/>
            </w:pPr>
            <w:r/>
            <w:r>
              <w:rPr>
                <w:rFonts w:ascii="Aptos" w:hAnsi="Aptos"/>
                <w:b w:val="0"/>
                <w:color w:val="111827"/>
                <w:sz w:val="17"/>
              </w:rPr>
              <w:t>Get review evidence and safe previews</w:t>
            </w:r>
          </w:p>
        </w:tc>
        <w:tc>
          <w:tcPr>
            <w:tcW w:type="dxa" w:w="3312"/>
            <w:vAlign w:val="center"/>
          </w:tcPr>
          <w:p>
            <w:pPr>
              <w:spacing w:after="0"/>
            </w:pPr>
            <w:r/>
            <w:r>
              <w:rPr>
                <w:rFonts w:ascii="Aptos" w:hAnsi="Aptos"/>
                <w:b w:val="0"/>
                <w:color w:val="111827"/>
                <w:sz w:val="17"/>
              </w:rPr>
              <w:t>Restricted access</w:t>
            </w:r>
          </w:p>
        </w:tc>
      </w:tr>
      <w:tr>
        <w:tc>
          <w:tcPr>
            <w:tcW w:type="dxa" w:w="2088"/>
            <w:vAlign w:val="center"/>
            <w:shd w:fill="F5F7FA"/>
          </w:tcPr>
          <w:p>
            <w:pPr>
              <w:spacing w:after="0"/>
            </w:pPr>
            <w:r/>
            <w:r>
              <w:rPr>
                <w:rFonts w:ascii="Aptos" w:hAnsi="Aptos"/>
                <w:b w:val="0"/>
                <w:color w:val="111827"/>
                <w:sz w:val="17"/>
              </w:rPr>
              <w:t>POST /review/{id}/decision</w:t>
            </w:r>
          </w:p>
        </w:tc>
        <w:tc>
          <w:tcPr>
            <w:tcW w:type="dxa" w:w="4824"/>
            <w:vAlign w:val="center"/>
            <w:shd w:fill="F5F7FA"/>
          </w:tcPr>
          <w:p>
            <w:pPr>
              <w:spacing w:after="0"/>
            </w:pPr>
            <w:r/>
            <w:r>
              <w:rPr>
                <w:rFonts w:ascii="Aptos" w:hAnsi="Aptos"/>
                <w:b w:val="0"/>
                <w:color w:val="111827"/>
                <w:sz w:val="17"/>
              </w:rPr>
              <w:t>Approve/edit/reject a detection</w:t>
            </w:r>
          </w:p>
        </w:tc>
        <w:tc>
          <w:tcPr>
            <w:tcW w:type="dxa" w:w="3312"/>
            <w:vAlign w:val="center"/>
            <w:shd w:fill="F5F7FA"/>
          </w:tcPr>
          <w:p>
            <w:pPr>
              <w:spacing w:after="0"/>
            </w:pPr>
            <w:r/>
            <w:r>
              <w:rPr>
                <w:rFonts w:ascii="Aptos" w:hAnsi="Aptos"/>
                <w:b w:val="0"/>
                <w:color w:val="111827"/>
                <w:sz w:val="17"/>
              </w:rPr>
              <w:t>Reviewer identity logged</w:t>
            </w:r>
          </w:p>
        </w:tc>
      </w:tr>
      <w:tr>
        <w:tc>
          <w:tcPr>
            <w:tcW w:type="dxa" w:w="2088"/>
            <w:vAlign w:val="center"/>
          </w:tcPr>
          <w:p>
            <w:pPr>
              <w:spacing w:after="0"/>
            </w:pPr>
            <w:r/>
            <w:r>
              <w:rPr>
                <w:rFonts w:ascii="Aptos" w:hAnsi="Aptos"/>
                <w:b w:val="0"/>
                <w:color w:val="111827"/>
                <w:sz w:val="17"/>
              </w:rPr>
              <w:t>GET /audit/{id}</w:t>
            </w:r>
          </w:p>
        </w:tc>
        <w:tc>
          <w:tcPr>
            <w:tcW w:type="dxa" w:w="4824"/>
            <w:vAlign w:val="center"/>
          </w:tcPr>
          <w:p>
            <w:pPr>
              <w:spacing w:after="0"/>
            </w:pPr>
            <w:r/>
            <w:r>
              <w:rPr>
                <w:rFonts w:ascii="Aptos" w:hAnsi="Aptos"/>
                <w:b w:val="0"/>
                <w:color w:val="111827"/>
                <w:sz w:val="17"/>
              </w:rPr>
              <w:t>Retrieve certificate/audit summary</w:t>
            </w:r>
          </w:p>
        </w:tc>
        <w:tc>
          <w:tcPr>
            <w:tcW w:type="dxa" w:w="3312"/>
            <w:vAlign w:val="center"/>
          </w:tcPr>
          <w:p>
            <w:pPr>
              <w:spacing w:after="0"/>
            </w:pPr>
            <w:r/>
            <w:r>
              <w:rPr>
                <w:rFonts w:ascii="Aptos" w:hAnsi="Aptos"/>
                <w:b w:val="0"/>
                <w:color w:val="111827"/>
                <w:sz w:val="17"/>
              </w:rPr>
              <w:t>PHI-minimized</w:t>
            </w:r>
          </w:p>
        </w:tc>
      </w:tr>
      <w:tr>
        <w:tc>
          <w:tcPr>
            <w:tcW w:type="dxa" w:w="2088"/>
            <w:vAlign w:val="center"/>
            <w:shd w:fill="F5F7FA"/>
          </w:tcPr>
          <w:p>
            <w:pPr>
              <w:spacing w:after="0"/>
            </w:pPr>
            <w:r/>
            <w:r>
              <w:rPr>
                <w:rFonts w:ascii="Aptos" w:hAnsi="Aptos"/>
                <w:b w:val="0"/>
                <w:color w:val="111827"/>
                <w:sz w:val="17"/>
              </w:rPr>
              <w:t>POST /validate/{id}</w:t>
            </w:r>
          </w:p>
        </w:tc>
        <w:tc>
          <w:tcPr>
            <w:tcW w:type="dxa" w:w="4824"/>
            <w:vAlign w:val="center"/>
            <w:shd w:fill="F5F7FA"/>
          </w:tcPr>
          <w:p>
            <w:pPr>
              <w:spacing w:after="0"/>
            </w:pPr>
            <w:r/>
            <w:r>
              <w:rPr>
                <w:rFonts w:ascii="Aptos" w:hAnsi="Aptos"/>
                <w:b w:val="0"/>
                <w:color w:val="111827"/>
                <w:sz w:val="17"/>
              </w:rPr>
              <w:t>Run independent validation</w:t>
            </w:r>
          </w:p>
        </w:tc>
        <w:tc>
          <w:tcPr>
            <w:tcW w:type="dxa" w:w="3312"/>
            <w:vAlign w:val="center"/>
            <w:shd w:fill="F5F7FA"/>
          </w:tcPr>
          <w:p>
            <w:pPr>
              <w:spacing w:after="0"/>
            </w:pPr>
            <w:r/>
            <w:r>
              <w:rPr>
                <w:rFonts w:ascii="Aptos" w:hAnsi="Aptos"/>
                <w:b w:val="0"/>
                <w:color w:val="111827"/>
                <w:sz w:val="17"/>
              </w:rPr>
              <w:t>No bypass of release gate</w:t>
            </w:r>
          </w:p>
        </w:tc>
      </w:tr>
    </w:tbl>
    <w:p>
      <w:pPr>
        <w:spacing w:after="20"/>
      </w:pPr>
    </w:p>
    <w:p>
      <w:pPr>
        <w:pStyle w:val="Heading1"/>
        <w:keepNext/>
      </w:pPr>
      <w:r>
        <w:t>16. Edge-Case Matrix &amp; Real-World Failure Handling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8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Edge case</w:t>
            </w:r>
          </w:p>
        </w:tc>
        <w:tc>
          <w:tcPr>
            <w:tcW w:type="dxa" w:w="230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Risk</w:t>
            </w:r>
          </w:p>
        </w:tc>
        <w:tc>
          <w:tcPr>
            <w:tcW w:type="dxa" w:w="432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VeilGuard strategy</w:t>
            </w:r>
          </w:p>
        </w:tc>
        <w:tc>
          <w:tcPr>
            <w:tcW w:type="dxa" w:w="223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Final gate</w:t>
            </w:r>
          </w:p>
        </w:tc>
      </w:tr>
      <w:tr>
        <w:tc>
          <w:tcPr>
            <w:tcW w:type="dxa" w:w="2088"/>
            <w:vAlign w:val="center"/>
          </w:tcPr>
          <w:p>
            <w:pPr>
              <w:spacing w:after="0"/>
            </w:pPr>
            <w:r/>
            <w:r>
              <w:rPr>
                <w:rFonts w:ascii="Aptos" w:hAnsi="Aptos"/>
                <w:b w:val="0"/>
                <w:color w:val="111827"/>
                <w:sz w:val="15"/>
              </w:rPr>
              <w:t>Ultrasound cine loop</w:t>
            </w:r>
          </w:p>
        </w:tc>
        <w:tc>
          <w:tcPr>
            <w:tcW w:type="dxa" w:w="2304"/>
            <w:vAlign w:val="center"/>
          </w:tcPr>
          <w:p>
            <w:pPr>
              <w:spacing w:after="0"/>
            </w:pPr>
            <w:r/>
            <w:r>
              <w:rPr>
                <w:rFonts w:ascii="Aptos" w:hAnsi="Aptos"/>
                <w:b w:val="0"/>
                <w:color w:val="111827"/>
                <w:sz w:val="15"/>
              </w:rPr>
              <w:t>Static PHI overlay across hundreds of frames</w:t>
            </w:r>
          </w:p>
        </w:tc>
        <w:tc>
          <w:tcPr>
            <w:tcW w:type="dxa" w:w="4320"/>
            <w:vAlign w:val="center"/>
          </w:tcPr>
          <w:p>
            <w:pPr>
              <w:spacing w:after="0"/>
            </w:pPr>
            <w:r/>
            <w:r>
              <w:rPr>
                <w:rFonts w:ascii="Aptos" w:hAnsi="Aptos"/>
                <w:b w:val="0"/>
                <w:color w:val="111827"/>
                <w:sz w:val="15"/>
              </w:rPr>
              <w:t>Temporal mask propagation + sample-frame verification</w:t>
            </w:r>
          </w:p>
        </w:tc>
        <w:tc>
          <w:tcPr>
            <w:tcW w:type="dxa" w:w="2232"/>
            <w:vAlign w:val="center"/>
          </w:tcPr>
          <w:p>
            <w:pPr>
              <w:spacing w:after="0"/>
            </w:pPr>
            <w:r/>
            <w:r>
              <w:rPr>
                <w:rFonts w:ascii="Aptos" w:hAnsi="Aptos"/>
                <w:b w:val="0"/>
                <w:color w:val="111827"/>
                <w:sz w:val="15"/>
              </w:rPr>
              <w:t>PASS only if all checked frames align</w:t>
            </w:r>
          </w:p>
        </w:tc>
      </w:tr>
      <w:tr>
        <w:tc>
          <w:tcPr>
            <w:tcW w:type="dxa" w:w="2088"/>
            <w:vAlign w:val="center"/>
            <w:shd w:fill="F5F7FA"/>
          </w:tcPr>
          <w:p>
            <w:pPr>
              <w:spacing w:after="0"/>
            </w:pPr>
            <w:r/>
            <w:r>
              <w:rPr>
                <w:rFonts w:ascii="Aptos" w:hAnsi="Aptos"/>
                <w:b w:val="0"/>
                <w:color w:val="111827"/>
                <w:sz w:val="15"/>
              </w:rPr>
              <w:t>Text over lung/liver/brain</w:t>
            </w:r>
          </w:p>
        </w:tc>
        <w:tc>
          <w:tcPr>
            <w:tcW w:type="dxa" w:w="2304"/>
            <w:vAlign w:val="center"/>
            <w:shd w:fill="F5F7FA"/>
          </w:tcPr>
          <w:p>
            <w:pPr>
              <w:spacing w:after="0"/>
            </w:pPr>
            <w:r/>
            <w:r>
              <w:rPr>
                <w:rFonts w:ascii="Aptos" w:hAnsi="Aptos"/>
                <w:b w:val="0"/>
                <w:color w:val="111827"/>
                <w:sz w:val="15"/>
              </w:rPr>
              <w:t>Redaction can alter anatomy</w:t>
            </w:r>
          </w:p>
        </w:tc>
        <w:tc>
          <w:tcPr>
            <w:tcW w:type="dxa" w:w="4320"/>
            <w:vAlign w:val="center"/>
            <w:shd w:fill="F5F7FA"/>
          </w:tcPr>
          <w:p>
            <w:pPr>
              <w:spacing w:after="0"/>
            </w:pPr>
            <w:r/>
            <w:r>
              <w:rPr>
                <w:rFonts w:ascii="Aptos" w:hAnsi="Aptos"/>
                <w:b w:val="0"/>
                <w:color w:val="111827"/>
                <w:sz w:val="15"/>
              </w:rPr>
              <w:t>High-overlap score → human review; deterministic local mask if approved</w:t>
            </w:r>
          </w:p>
        </w:tc>
        <w:tc>
          <w:tcPr>
            <w:tcW w:type="dxa" w:w="2232"/>
            <w:vAlign w:val="center"/>
            <w:shd w:fill="F5F7FA"/>
          </w:tcPr>
          <w:p>
            <w:pPr>
              <w:spacing w:after="0"/>
            </w:pPr>
            <w:r/>
            <w:r>
              <w:rPr>
                <w:rFonts w:ascii="Aptos" w:hAnsi="Aptos"/>
                <w:b w:val="0"/>
                <w:color w:val="111827"/>
                <w:sz w:val="15"/>
              </w:rPr>
              <w:t>Changed-pixel containment</w:t>
            </w:r>
          </w:p>
        </w:tc>
      </w:tr>
      <w:tr>
        <w:tc>
          <w:tcPr>
            <w:tcW w:type="dxa" w:w="2088"/>
            <w:vAlign w:val="center"/>
          </w:tcPr>
          <w:p>
            <w:pPr>
              <w:spacing w:after="0"/>
            </w:pPr>
            <w:r/>
            <w:r>
              <w:rPr>
                <w:rFonts w:ascii="Aptos" w:hAnsi="Aptos"/>
                <w:b w:val="0"/>
                <w:color w:val="111827"/>
                <w:sz w:val="15"/>
              </w:rPr>
              <w:t>Micro-calcification / punctuation ambiguity</w:t>
            </w:r>
          </w:p>
        </w:tc>
        <w:tc>
          <w:tcPr>
            <w:tcW w:type="dxa" w:w="2304"/>
            <w:vAlign w:val="center"/>
          </w:tcPr>
          <w:p>
            <w:pPr>
              <w:spacing w:after="0"/>
            </w:pPr>
            <w:r/>
            <w:r>
              <w:rPr>
                <w:rFonts w:ascii="Aptos" w:hAnsi="Aptos"/>
                <w:b w:val="0"/>
                <w:color w:val="111827"/>
                <w:sz w:val="15"/>
              </w:rPr>
              <w:t>Tiny bright structure mistaken for text</w:t>
            </w:r>
          </w:p>
        </w:tc>
        <w:tc>
          <w:tcPr>
            <w:tcW w:type="dxa" w:w="4320"/>
            <w:vAlign w:val="center"/>
          </w:tcPr>
          <w:p>
            <w:pPr>
              <w:spacing w:after="0"/>
            </w:pPr>
            <w:r/>
            <w:r>
              <w:rPr>
                <w:rFonts w:ascii="Aptos" w:hAnsi="Aptos"/>
                <w:b w:val="0"/>
                <w:color w:val="111827"/>
                <w:sz w:val="15"/>
              </w:rPr>
              <w:t>Aspect ratio + text-shape context + anatomy-region exclusion</w:t>
            </w:r>
          </w:p>
        </w:tc>
        <w:tc>
          <w:tcPr>
            <w:tcW w:type="dxa" w:w="2232"/>
            <w:vAlign w:val="center"/>
          </w:tcPr>
          <w:p>
            <w:pPr>
              <w:spacing w:after="0"/>
            </w:pPr>
            <w:r/>
            <w:r>
              <w:rPr>
                <w:rFonts w:ascii="Aptos" w:hAnsi="Aptos"/>
                <w:b w:val="0"/>
                <w:color w:val="111827"/>
                <w:sz w:val="15"/>
              </w:rPr>
              <w:t>Review if ambiguous</w:t>
            </w:r>
          </w:p>
        </w:tc>
      </w:tr>
      <w:tr>
        <w:tc>
          <w:tcPr>
            <w:tcW w:type="dxa" w:w="2088"/>
            <w:vAlign w:val="center"/>
            <w:shd w:fill="F5F7FA"/>
          </w:tcPr>
          <w:p>
            <w:pPr>
              <w:spacing w:after="0"/>
            </w:pPr>
            <w:r/>
            <w:r>
              <w:rPr>
                <w:rFonts w:ascii="Aptos" w:hAnsi="Aptos"/>
                <w:b w:val="0"/>
                <w:color w:val="111827"/>
                <w:sz w:val="15"/>
              </w:rPr>
              <w:t>16-bit CT/MR</w:t>
            </w:r>
          </w:p>
        </w:tc>
        <w:tc>
          <w:tcPr>
            <w:tcW w:type="dxa" w:w="2304"/>
            <w:vAlign w:val="center"/>
            <w:shd w:fill="F5F7FA"/>
          </w:tcPr>
          <w:p>
            <w:pPr>
              <w:spacing w:after="0"/>
            </w:pPr>
            <w:r/>
            <w:r>
              <w:rPr>
                <w:rFonts w:ascii="Aptos" w:hAnsi="Aptos"/>
                <w:b w:val="0"/>
                <w:color w:val="111827"/>
                <w:sz w:val="15"/>
              </w:rPr>
              <w:t>8-bit conversion destroys radiometric utility</w:t>
            </w:r>
          </w:p>
        </w:tc>
        <w:tc>
          <w:tcPr>
            <w:tcW w:type="dxa" w:w="4320"/>
            <w:vAlign w:val="center"/>
            <w:shd w:fill="F5F7FA"/>
          </w:tcPr>
          <w:p>
            <w:pPr>
              <w:spacing w:after="0"/>
            </w:pPr>
            <w:r/>
            <w:r>
              <w:rPr>
                <w:rFonts w:ascii="Aptos" w:hAnsi="Aptos"/>
                <w:b w:val="0"/>
                <w:color w:val="111827"/>
                <w:sz w:val="15"/>
              </w:rPr>
              <w:t>Native bit-depth processing and encoding preservation</w:t>
            </w:r>
          </w:p>
        </w:tc>
        <w:tc>
          <w:tcPr>
            <w:tcW w:type="dxa" w:w="2232"/>
            <w:vAlign w:val="center"/>
            <w:shd w:fill="F5F7FA"/>
          </w:tcPr>
          <w:p>
            <w:pPr>
              <w:spacing w:after="0"/>
            </w:pPr>
            <w:r/>
            <w:r>
              <w:rPr>
                <w:rFonts w:ascii="Aptos" w:hAnsi="Aptos"/>
                <w:b w:val="0"/>
                <w:color w:val="111827"/>
                <w:sz w:val="15"/>
              </w:rPr>
              <w:t>Radiometric/bit-depth validation</w:t>
            </w:r>
          </w:p>
        </w:tc>
      </w:tr>
      <w:tr>
        <w:tc>
          <w:tcPr>
            <w:tcW w:type="dxa" w:w="2088"/>
            <w:vAlign w:val="center"/>
          </w:tcPr>
          <w:p>
            <w:pPr>
              <w:spacing w:after="0"/>
            </w:pPr>
            <w:r/>
            <w:r>
              <w:rPr>
                <w:rFonts w:ascii="Aptos" w:hAnsi="Aptos"/>
                <w:b w:val="0"/>
                <w:color w:val="111827"/>
                <w:sz w:val="15"/>
              </w:rPr>
              <w:t>JPEG 2000 / JPEG-LS</w:t>
            </w:r>
          </w:p>
        </w:tc>
        <w:tc>
          <w:tcPr>
            <w:tcW w:type="dxa" w:w="2304"/>
            <w:vAlign w:val="center"/>
          </w:tcPr>
          <w:p>
            <w:pPr>
              <w:spacing w:after="0"/>
            </w:pPr>
            <w:r/>
            <w:r>
              <w:rPr>
                <w:rFonts w:ascii="Aptos" w:hAnsi="Aptos"/>
                <w:b w:val="0"/>
                <w:color w:val="111827"/>
                <w:sz w:val="15"/>
              </w:rPr>
              <w:t>Unsupported codec or unintended lossy re-encode</w:t>
            </w:r>
          </w:p>
        </w:tc>
        <w:tc>
          <w:tcPr>
            <w:tcW w:type="dxa" w:w="4320"/>
            <w:vAlign w:val="center"/>
          </w:tcPr>
          <w:p>
            <w:pPr>
              <w:spacing w:after="0"/>
            </w:pPr>
            <w:r/>
            <w:r>
              <w:rPr>
                <w:rFonts w:ascii="Aptos" w:hAnsi="Aptos"/>
                <w:b w:val="0"/>
                <w:color w:val="111827"/>
                <w:sz w:val="15"/>
              </w:rPr>
              <w:t>Use validated native codecs/transcoders; prefer lossless path</w:t>
            </w:r>
          </w:p>
        </w:tc>
        <w:tc>
          <w:tcPr>
            <w:tcW w:type="dxa" w:w="2232"/>
            <w:vAlign w:val="center"/>
          </w:tcPr>
          <w:p>
            <w:pPr>
              <w:spacing w:after="0"/>
            </w:pPr>
            <w:r/>
            <w:r>
              <w:rPr>
                <w:rFonts w:ascii="Aptos" w:hAnsi="Aptos"/>
                <w:b w:val="0"/>
                <w:color w:val="111827"/>
                <w:sz w:val="15"/>
              </w:rPr>
              <w:t>Reopen + pixel checks</w:t>
            </w:r>
          </w:p>
        </w:tc>
      </w:tr>
      <w:tr>
        <w:tc>
          <w:tcPr>
            <w:tcW w:type="dxa" w:w="2088"/>
            <w:vAlign w:val="center"/>
            <w:shd w:fill="F5F7FA"/>
          </w:tcPr>
          <w:p>
            <w:pPr>
              <w:spacing w:after="0"/>
            </w:pPr>
            <w:r/>
            <w:r>
              <w:rPr>
                <w:rFonts w:ascii="Aptos" w:hAnsi="Aptos"/>
                <w:b w:val="0"/>
                <w:color w:val="111827"/>
                <w:sz w:val="15"/>
              </w:rPr>
              <w:t>Encapsulated PDF</w:t>
            </w:r>
          </w:p>
        </w:tc>
        <w:tc>
          <w:tcPr>
            <w:tcW w:type="dxa" w:w="2304"/>
            <w:vAlign w:val="center"/>
            <w:shd w:fill="F5F7FA"/>
          </w:tcPr>
          <w:p>
            <w:pPr>
              <w:spacing w:after="0"/>
            </w:pPr>
            <w:r/>
            <w:r>
              <w:rPr>
                <w:rFonts w:ascii="Aptos" w:hAnsi="Aptos"/>
                <w:b w:val="0"/>
                <w:color w:val="111827"/>
                <w:sz w:val="15"/>
              </w:rPr>
              <w:t>PHI survives in binary document</w:t>
            </w:r>
          </w:p>
        </w:tc>
        <w:tc>
          <w:tcPr>
            <w:tcW w:type="dxa" w:w="4320"/>
            <w:vAlign w:val="center"/>
            <w:shd w:fill="F5F7FA"/>
          </w:tcPr>
          <w:p>
            <w:pPr>
              <w:spacing w:after="0"/>
            </w:pPr>
            <w:r/>
            <w:r>
              <w:rPr>
                <w:rFonts w:ascii="Aptos" w:hAnsi="Aptos"/>
                <w:b w:val="0"/>
                <w:color w:val="111827"/>
                <w:sz w:val="15"/>
              </w:rPr>
              <w:t>Payload extraction + document redaction</w:t>
            </w:r>
          </w:p>
        </w:tc>
        <w:tc>
          <w:tcPr>
            <w:tcW w:type="dxa" w:w="2232"/>
            <w:vAlign w:val="center"/>
            <w:shd w:fill="F5F7FA"/>
          </w:tcPr>
          <w:p>
            <w:pPr>
              <w:spacing w:after="0"/>
            </w:pPr>
            <w:r/>
            <w:r>
              <w:rPr>
                <w:rFonts w:ascii="Aptos" w:hAnsi="Aptos"/>
                <w:b w:val="0"/>
                <w:color w:val="111827"/>
                <w:sz w:val="15"/>
              </w:rPr>
              <w:t>Re-parse payload</w:t>
            </w:r>
          </w:p>
        </w:tc>
      </w:tr>
      <w:tr>
        <w:tc>
          <w:tcPr>
            <w:tcW w:type="dxa" w:w="2088"/>
            <w:vAlign w:val="center"/>
          </w:tcPr>
          <w:p>
            <w:pPr>
              <w:spacing w:after="0"/>
            </w:pPr>
            <w:r/>
            <w:r>
              <w:rPr>
                <w:rFonts w:ascii="Aptos" w:hAnsi="Aptos"/>
                <w:b w:val="0"/>
                <w:color w:val="111827"/>
                <w:sz w:val="15"/>
              </w:rPr>
              <w:t>Unknown private tag</w:t>
            </w:r>
          </w:p>
        </w:tc>
        <w:tc>
          <w:tcPr>
            <w:tcW w:type="dxa" w:w="2304"/>
            <w:vAlign w:val="center"/>
          </w:tcPr>
          <w:p>
            <w:pPr>
              <w:spacing w:after="0"/>
            </w:pPr>
            <w:r/>
            <w:r>
              <w:rPr>
                <w:rFonts w:ascii="Aptos" w:hAnsi="Aptos"/>
                <w:b w:val="0"/>
                <w:color w:val="111827"/>
                <w:sz w:val="15"/>
              </w:rPr>
              <w:t>Vendor data leaks PHI</w:t>
            </w:r>
          </w:p>
        </w:tc>
        <w:tc>
          <w:tcPr>
            <w:tcW w:type="dxa" w:w="4320"/>
            <w:vAlign w:val="center"/>
          </w:tcPr>
          <w:p>
            <w:pPr>
              <w:spacing w:after="0"/>
            </w:pPr>
            <w:r/>
            <w:r>
              <w:rPr>
                <w:rFonts w:ascii="Aptos" w:hAnsi="Aptos"/>
                <w:b w:val="0"/>
                <w:color w:val="111827"/>
                <w:sz w:val="15"/>
              </w:rPr>
              <w:t>Quarantine/drop by default; explicit safe allowlist</w:t>
            </w:r>
          </w:p>
        </w:tc>
        <w:tc>
          <w:tcPr>
            <w:tcW w:type="dxa" w:w="2232"/>
            <w:vAlign w:val="center"/>
          </w:tcPr>
          <w:p>
            <w:pPr>
              <w:spacing w:after="0"/>
            </w:pPr>
            <w:r/>
            <w:r>
              <w:rPr>
                <w:rFonts w:ascii="Aptos" w:hAnsi="Aptos"/>
                <w:b w:val="0"/>
                <w:color w:val="111827"/>
                <w:sz w:val="15"/>
              </w:rPr>
              <w:t>Private-tag rescan</w:t>
            </w:r>
          </w:p>
        </w:tc>
      </w:tr>
      <w:tr>
        <w:tc>
          <w:tcPr>
            <w:tcW w:type="dxa" w:w="2088"/>
            <w:vAlign w:val="center"/>
            <w:shd w:fill="F5F7FA"/>
          </w:tcPr>
          <w:p>
            <w:pPr>
              <w:spacing w:after="0"/>
            </w:pPr>
            <w:r/>
            <w:r>
              <w:rPr>
                <w:rFonts w:ascii="Aptos" w:hAnsi="Aptos"/>
                <w:b w:val="0"/>
                <w:color w:val="111827"/>
                <w:sz w:val="15"/>
              </w:rPr>
              <w:t>Broken reference</w:t>
            </w:r>
          </w:p>
        </w:tc>
        <w:tc>
          <w:tcPr>
            <w:tcW w:type="dxa" w:w="2304"/>
            <w:vAlign w:val="center"/>
            <w:shd w:fill="F5F7FA"/>
          </w:tcPr>
          <w:p>
            <w:pPr>
              <w:spacing w:after="0"/>
            </w:pPr>
            <w:r/>
            <w:r>
              <w:rPr>
                <w:rFonts w:ascii="Aptos" w:hAnsi="Aptos"/>
                <w:b w:val="0"/>
                <w:color w:val="111827"/>
                <w:sz w:val="15"/>
              </w:rPr>
              <w:t>Study becomes logically inconsistent</w:t>
            </w:r>
          </w:p>
        </w:tc>
        <w:tc>
          <w:tcPr>
            <w:tcW w:type="dxa" w:w="4320"/>
            <w:vAlign w:val="center"/>
            <w:shd w:fill="F5F7FA"/>
          </w:tcPr>
          <w:p>
            <w:pPr>
              <w:spacing w:after="0"/>
            </w:pPr>
            <w:r/>
            <w:r>
              <w:rPr>
                <w:rFonts w:ascii="Aptos" w:hAnsi="Aptos"/>
                <w:b w:val="0"/>
                <w:color w:val="111827"/>
                <w:sz w:val="15"/>
              </w:rPr>
              <w:t>Reference closure validator</w:t>
            </w:r>
          </w:p>
        </w:tc>
        <w:tc>
          <w:tcPr>
            <w:tcW w:type="dxa" w:w="2232"/>
            <w:vAlign w:val="center"/>
            <w:shd w:fill="F5F7FA"/>
          </w:tcPr>
          <w:p>
            <w:pPr>
              <w:spacing w:after="0"/>
            </w:pPr>
            <w:r/>
            <w:r>
              <w:rPr>
                <w:rFonts w:ascii="Aptos" w:hAnsi="Aptos"/>
                <w:b w:val="0"/>
                <w:color w:val="111827"/>
                <w:sz w:val="15"/>
              </w:rPr>
              <w:t>BLOCK</w:t>
            </w:r>
          </w:p>
        </w:tc>
      </w:tr>
      <w:tr>
        <w:tc>
          <w:tcPr>
            <w:tcW w:type="dxa" w:w="2088"/>
            <w:vAlign w:val="center"/>
          </w:tcPr>
          <w:p>
            <w:pPr>
              <w:spacing w:after="0"/>
            </w:pPr>
            <w:r/>
            <w:r>
              <w:rPr>
                <w:rFonts w:ascii="Aptos" w:hAnsi="Aptos"/>
                <w:b w:val="0"/>
                <w:color w:val="111827"/>
                <w:sz w:val="15"/>
              </w:rPr>
              <w:t>Reviewer rejects mask</w:t>
            </w:r>
          </w:p>
        </w:tc>
        <w:tc>
          <w:tcPr>
            <w:tcW w:type="dxa" w:w="2304"/>
            <w:vAlign w:val="center"/>
          </w:tcPr>
          <w:p>
            <w:pPr>
              <w:spacing w:after="0"/>
            </w:pPr>
            <w:r/>
            <w:r>
              <w:rPr>
                <w:rFonts w:ascii="Aptos" w:hAnsi="Aptos"/>
                <w:b w:val="0"/>
                <w:color w:val="111827"/>
                <w:sz w:val="15"/>
              </w:rPr>
              <w:t>PHI may remain</w:t>
            </w:r>
          </w:p>
        </w:tc>
        <w:tc>
          <w:tcPr>
            <w:tcW w:type="dxa" w:w="4320"/>
            <w:vAlign w:val="center"/>
          </w:tcPr>
          <w:p>
            <w:pPr>
              <w:spacing w:after="0"/>
            </w:pPr>
            <w:r/>
            <w:r>
              <w:rPr>
                <w:rFonts w:ascii="Aptos" w:hAnsi="Aptos"/>
                <w:b w:val="0"/>
                <w:color w:val="111827"/>
                <w:sz w:val="15"/>
              </w:rPr>
              <w:t>No automatic export; require a new decision or policy exception</w:t>
            </w:r>
          </w:p>
        </w:tc>
        <w:tc>
          <w:tcPr>
            <w:tcW w:type="dxa" w:w="2232"/>
            <w:vAlign w:val="center"/>
          </w:tcPr>
          <w:p>
            <w:pPr>
              <w:spacing w:after="0"/>
            </w:pPr>
            <w:r/>
            <w:r>
              <w:rPr>
                <w:rFonts w:ascii="Aptos" w:hAnsi="Aptos"/>
                <w:b w:val="0"/>
                <w:color w:val="111827"/>
                <w:sz w:val="15"/>
              </w:rPr>
              <w:t>BLOCK/REVIEW</w:t>
            </w:r>
          </w:p>
        </w:tc>
      </w:tr>
      <w:tr>
        <w:tc>
          <w:tcPr>
            <w:tcW w:type="dxa" w:w="2088"/>
            <w:vAlign w:val="center"/>
            <w:shd w:fill="F5F7FA"/>
          </w:tcPr>
          <w:p>
            <w:pPr>
              <w:spacing w:after="0"/>
            </w:pPr>
            <w:r/>
            <w:r>
              <w:rPr>
                <w:rFonts w:ascii="Aptos" w:hAnsi="Aptos"/>
                <w:b w:val="0"/>
                <w:color w:val="111827"/>
                <w:sz w:val="15"/>
              </w:rPr>
              <w:t>Audit log contains PHI</w:t>
            </w:r>
          </w:p>
        </w:tc>
        <w:tc>
          <w:tcPr>
            <w:tcW w:type="dxa" w:w="2304"/>
            <w:vAlign w:val="center"/>
            <w:shd w:fill="F5F7FA"/>
          </w:tcPr>
          <w:p>
            <w:pPr>
              <w:spacing w:after="0"/>
            </w:pPr>
            <w:r/>
            <w:r>
              <w:rPr>
                <w:rFonts w:ascii="Aptos" w:hAnsi="Aptos"/>
                <w:b w:val="0"/>
                <w:color w:val="111827"/>
                <w:sz w:val="15"/>
              </w:rPr>
              <w:t>Tool creates secondary leak</w:t>
            </w:r>
          </w:p>
        </w:tc>
        <w:tc>
          <w:tcPr>
            <w:tcW w:type="dxa" w:w="4320"/>
            <w:vAlign w:val="center"/>
            <w:shd w:fill="F5F7FA"/>
          </w:tcPr>
          <w:p>
            <w:pPr>
              <w:spacing w:after="0"/>
            </w:pPr>
            <w:r/>
            <w:r>
              <w:rPr>
                <w:rFonts w:ascii="Aptos" w:hAnsi="Aptos"/>
                <w:b w:val="0"/>
                <w:color w:val="111827"/>
                <w:sz w:val="15"/>
              </w:rPr>
              <w:t>Sanitize telemetry and enforce PHI-minimized schema</w:t>
            </w:r>
          </w:p>
        </w:tc>
        <w:tc>
          <w:tcPr>
            <w:tcW w:type="dxa" w:w="2232"/>
            <w:vAlign w:val="center"/>
            <w:shd w:fill="F5F7FA"/>
          </w:tcPr>
          <w:p>
            <w:pPr>
              <w:spacing w:after="0"/>
            </w:pPr>
            <w:r/>
            <w:r>
              <w:rPr>
                <w:rFonts w:ascii="Aptos" w:hAnsi="Aptos"/>
                <w:b w:val="0"/>
                <w:color w:val="111827"/>
                <w:sz w:val="15"/>
              </w:rPr>
              <w:t>Audit lint test</w:t>
            </w:r>
          </w:p>
        </w:tc>
      </w:tr>
    </w:tbl>
    <w:p>
      <w:pPr>
        <w:spacing w:after="20"/>
      </w:pPr>
    </w:p>
    <w:p>
      <w:pPr>
        <w:pStyle w:val="Heading1"/>
        <w:keepNext/>
      </w:pPr>
      <w:r>
        <w:t>17. Verification, Evaluation &amp; Red-Team Test Plan</w:t>
      </w:r>
    </w:p>
    <w:p>
      <w:pPr>
        <w:spacing w:after="120" w:line="259" w:lineRule="auto"/>
      </w:pPr>
      <w:r>
        <w:t>The product should be tested as a security-sensitive transformation engine, not only as a GUI application. The evaluation plan should include synthetic PHI injection, curated de-identified datasets, edge cases, and regression tests for every supported modality/object type.</w:t>
      </w:r>
    </w:p>
    <w:p>
      <w:pPr>
        <w:pStyle w:val="Heading2"/>
        <w:keepNext/>
      </w:pPr>
      <w:r>
        <w:t>17.1 Test corpus</w:t>
      </w:r>
    </w:p>
    <w:p>
      <w:pPr>
        <w:pStyle w:val="ListBullet"/>
        <w:spacing w:after="40"/>
        <w:ind w:left="288"/>
      </w:pPr>
      <w:r>
        <w:t>Synthetic DICOMs with known PHI in standard tags, private tags, nested sequences, free text, overlays, and UIDs.</w:t>
      </w:r>
    </w:p>
    <w:p>
      <w:pPr>
        <w:pStyle w:val="ListBullet"/>
        <w:spacing w:after="40"/>
        <w:ind w:left="288"/>
      </w:pPr>
      <w:r>
        <w:t>Images with burned-in names, dates, hospital identifiers, barcodes and QR codes.</w:t>
      </w:r>
    </w:p>
    <w:p>
      <w:pPr>
        <w:pStyle w:val="ListBullet"/>
        <w:spacing w:after="40"/>
        <w:ind w:left="288"/>
      </w:pPr>
      <w:r>
        <w:t>Clinical annotation controls: L/R, AP/LAT, scale bars, Doppler measurements, window/level labels.</w:t>
      </w:r>
    </w:p>
    <w:p>
      <w:pPr>
        <w:pStyle w:val="ListBullet"/>
        <w:spacing w:after="40"/>
        <w:ind w:left="288"/>
      </w:pPr>
      <w:r>
        <w:t>Multi-frame cine data with stable and changing overlays.</w:t>
      </w:r>
    </w:p>
    <w:p>
      <w:pPr>
        <w:pStyle w:val="ListBullet"/>
        <w:spacing w:after="40"/>
        <w:ind w:left="288"/>
      </w:pPr>
      <w:r>
        <w:t>High-dynamic-range 12/16-bit monochrome images.</w:t>
      </w:r>
    </w:p>
    <w:p>
      <w:pPr>
        <w:pStyle w:val="ListBullet"/>
        <w:spacing w:after="40"/>
        <w:ind w:left="288"/>
      </w:pPr>
      <w:r>
        <w:t>Lossless compressed transfer syntaxes and negative/positive signed pixel representations where supported.</w:t>
      </w:r>
    </w:p>
    <w:p>
      <w:pPr>
        <w:pStyle w:val="Heading2"/>
        <w:keepNext/>
      </w:pPr>
      <w:r>
        <w:t>17.2 Core metrics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Metric</w:t>
            </w:r>
          </w:p>
        </w:tc>
        <w:tc>
          <w:tcPr>
            <w:tcW w:type="dxa" w:w="532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Definition</w:t>
            </w:r>
          </w:p>
        </w:tc>
        <w:tc>
          <w:tcPr>
            <w:tcW w:type="dxa" w:w="324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Use</w:t>
            </w:r>
          </w:p>
        </w:tc>
      </w:tr>
      <w:tr>
        <w:tc>
          <w:tcPr>
            <w:tcW w:type="dxa" w:w="2232"/>
            <w:vAlign w:val="center"/>
          </w:tcPr>
          <w:p>
            <w:pPr>
              <w:spacing w:after="0"/>
            </w:pPr>
            <w:r/>
            <w:r>
              <w:rPr>
                <w:rFonts w:ascii="Aptos" w:hAnsi="Aptos"/>
                <w:b w:val="0"/>
                <w:color w:val="111827"/>
                <w:sz w:val="16"/>
              </w:rPr>
              <w:t>PHI recall</w:t>
            </w:r>
          </w:p>
        </w:tc>
        <w:tc>
          <w:tcPr>
            <w:tcW w:type="dxa" w:w="5328"/>
            <w:vAlign w:val="center"/>
          </w:tcPr>
          <w:p>
            <w:pPr>
              <w:spacing w:after="0"/>
            </w:pPr>
            <w:r/>
            <w:r>
              <w:rPr>
                <w:rFonts w:ascii="Aptos" w:hAnsi="Aptos"/>
                <w:b w:val="0"/>
                <w:color w:val="111827"/>
                <w:sz w:val="16"/>
              </w:rPr>
              <w:t>Fraction of seeded / adjudicated PHI instances detected</w:t>
            </w:r>
          </w:p>
        </w:tc>
        <w:tc>
          <w:tcPr>
            <w:tcW w:type="dxa" w:w="3240"/>
            <w:vAlign w:val="center"/>
          </w:tcPr>
          <w:p>
            <w:pPr>
              <w:spacing w:after="0"/>
            </w:pPr>
            <w:r/>
            <w:r>
              <w:rPr>
                <w:rFonts w:ascii="Aptos" w:hAnsi="Aptos"/>
                <w:b w:val="0"/>
                <w:color w:val="111827"/>
                <w:sz w:val="16"/>
              </w:rPr>
              <w:t>Safety effectiveness</w:t>
            </w:r>
          </w:p>
        </w:tc>
      </w:tr>
      <w:tr>
        <w:tc>
          <w:tcPr>
            <w:tcW w:type="dxa" w:w="2232"/>
            <w:vAlign w:val="center"/>
            <w:shd w:fill="F5F7FA"/>
          </w:tcPr>
          <w:p>
            <w:pPr>
              <w:spacing w:after="0"/>
            </w:pPr>
            <w:r/>
            <w:r>
              <w:rPr>
                <w:rFonts w:ascii="Aptos" w:hAnsi="Aptos"/>
                <w:b w:val="0"/>
                <w:color w:val="111827"/>
                <w:sz w:val="16"/>
              </w:rPr>
              <w:t>PHI precision</w:t>
            </w:r>
          </w:p>
        </w:tc>
        <w:tc>
          <w:tcPr>
            <w:tcW w:type="dxa" w:w="5328"/>
            <w:vAlign w:val="center"/>
            <w:shd w:fill="F5F7FA"/>
          </w:tcPr>
          <w:p>
            <w:pPr>
              <w:spacing w:after="0"/>
            </w:pPr>
            <w:r/>
            <w:r>
              <w:rPr>
                <w:rFonts w:ascii="Aptos" w:hAnsi="Aptos"/>
                <w:b w:val="0"/>
                <w:color w:val="111827"/>
                <w:sz w:val="16"/>
              </w:rPr>
              <w:t>Fraction of flagged regions that are actually sensitive</w:t>
            </w:r>
          </w:p>
        </w:tc>
        <w:tc>
          <w:tcPr>
            <w:tcW w:type="dxa" w:w="3240"/>
            <w:vAlign w:val="center"/>
            <w:shd w:fill="F5F7FA"/>
          </w:tcPr>
          <w:p>
            <w:pPr>
              <w:spacing w:after="0"/>
            </w:pPr>
            <w:r/>
            <w:r>
              <w:rPr>
                <w:rFonts w:ascii="Aptos" w:hAnsi="Aptos"/>
                <w:b w:val="0"/>
                <w:color w:val="111827"/>
                <w:sz w:val="16"/>
              </w:rPr>
              <w:t>Reviewer workload</w:t>
            </w:r>
          </w:p>
        </w:tc>
      </w:tr>
      <w:tr>
        <w:tc>
          <w:tcPr>
            <w:tcW w:type="dxa" w:w="2232"/>
            <w:vAlign w:val="center"/>
          </w:tcPr>
          <w:p>
            <w:pPr>
              <w:spacing w:after="0"/>
            </w:pPr>
            <w:r/>
            <w:r>
              <w:rPr>
                <w:rFonts w:ascii="Aptos" w:hAnsi="Aptos"/>
                <w:b w:val="0"/>
                <w:color w:val="111827"/>
                <w:sz w:val="16"/>
              </w:rPr>
              <w:t>Review rate</w:t>
            </w:r>
          </w:p>
        </w:tc>
        <w:tc>
          <w:tcPr>
            <w:tcW w:type="dxa" w:w="5328"/>
            <w:vAlign w:val="center"/>
          </w:tcPr>
          <w:p>
            <w:pPr>
              <w:spacing w:after="0"/>
            </w:pPr>
            <w:r/>
            <w:r>
              <w:rPr>
                <w:rFonts w:ascii="Aptos" w:hAnsi="Aptos"/>
                <w:b w:val="0"/>
                <w:color w:val="111827"/>
                <w:sz w:val="16"/>
              </w:rPr>
              <w:t>Share of studies requiring manual review</w:t>
            </w:r>
          </w:p>
        </w:tc>
        <w:tc>
          <w:tcPr>
            <w:tcW w:type="dxa" w:w="3240"/>
            <w:vAlign w:val="center"/>
          </w:tcPr>
          <w:p>
            <w:pPr>
              <w:spacing w:after="0"/>
            </w:pPr>
            <w:r/>
            <w:r>
              <w:rPr>
                <w:rFonts w:ascii="Aptos" w:hAnsi="Aptos"/>
                <w:b w:val="0"/>
                <w:color w:val="111827"/>
                <w:sz w:val="16"/>
              </w:rPr>
              <w:t>Operational scalability</w:t>
            </w:r>
          </w:p>
        </w:tc>
      </w:tr>
      <w:tr>
        <w:tc>
          <w:tcPr>
            <w:tcW w:type="dxa" w:w="2232"/>
            <w:vAlign w:val="center"/>
            <w:shd w:fill="F5F7FA"/>
          </w:tcPr>
          <w:p>
            <w:pPr>
              <w:spacing w:after="0"/>
            </w:pPr>
            <w:r/>
            <w:r>
              <w:rPr>
                <w:rFonts w:ascii="Aptos" w:hAnsi="Aptos"/>
                <w:b w:val="0"/>
                <w:color w:val="111827"/>
                <w:sz w:val="16"/>
              </w:rPr>
              <w:t>Residual PHI rate</w:t>
            </w:r>
          </w:p>
        </w:tc>
        <w:tc>
          <w:tcPr>
            <w:tcW w:type="dxa" w:w="5328"/>
            <w:vAlign w:val="center"/>
            <w:shd w:fill="F5F7FA"/>
          </w:tcPr>
          <w:p>
            <w:pPr>
              <w:spacing w:after="0"/>
            </w:pPr>
            <w:r/>
            <w:r>
              <w:rPr>
                <w:rFonts w:ascii="Aptos" w:hAnsi="Aptos"/>
                <w:b w:val="0"/>
                <w:color w:val="111827"/>
                <w:sz w:val="16"/>
              </w:rPr>
              <w:t>Share of outputs with PHI found on post-scan</w:t>
            </w:r>
          </w:p>
        </w:tc>
        <w:tc>
          <w:tcPr>
            <w:tcW w:type="dxa" w:w="3240"/>
            <w:vAlign w:val="center"/>
            <w:shd w:fill="F5F7FA"/>
          </w:tcPr>
          <w:p>
            <w:pPr>
              <w:spacing w:after="0"/>
            </w:pPr>
            <w:r/>
            <w:r>
              <w:rPr>
                <w:rFonts w:ascii="Aptos" w:hAnsi="Aptos"/>
                <w:b w:val="0"/>
                <w:color w:val="111827"/>
                <w:sz w:val="16"/>
              </w:rPr>
              <w:t>Release safety</w:t>
            </w:r>
          </w:p>
        </w:tc>
      </w:tr>
      <w:tr>
        <w:tc>
          <w:tcPr>
            <w:tcW w:type="dxa" w:w="2232"/>
            <w:vAlign w:val="center"/>
          </w:tcPr>
          <w:p>
            <w:pPr>
              <w:spacing w:after="0"/>
            </w:pPr>
            <w:r/>
            <w:r>
              <w:rPr>
                <w:rFonts w:ascii="Aptos" w:hAnsi="Aptos"/>
                <w:b w:val="0"/>
                <w:color w:val="111827"/>
                <w:sz w:val="16"/>
              </w:rPr>
              <w:t>Changed-pixel leakage</w:t>
            </w:r>
          </w:p>
        </w:tc>
        <w:tc>
          <w:tcPr>
            <w:tcW w:type="dxa" w:w="5328"/>
            <w:vAlign w:val="center"/>
          </w:tcPr>
          <w:p>
            <w:pPr>
              <w:spacing w:after="0"/>
            </w:pPr>
            <w:r/>
            <w:r>
              <w:rPr>
                <w:rFonts w:ascii="Aptos" w:hAnsi="Aptos"/>
                <w:b w:val="0"/>
                <w:color w:val="111827"/>
                <w:sz w:val="16"/>
              </w:rPr>
              <w:t>Changed pixels outside approved masks</w:t>
            </w:r>
          </w:p>
        </w:tc>
        <w:tc>
          <w:tcPr>
            <w:tcW w:type="dxa" w:w="3240"/>
            <w:vAlign w:val="center"/>
          </w:tcPr>
          <w:p>
            <w:pPr>
              <w:spacing w:after="0"/>
            </w:pPr>
            <w:r/>
            <w:r>
              <w:rPr>
                <w:rFonts w:ascii="Aptos" w:hAnsi="Aptos"/>
                <w:b w:val="0"/>
                <w:color w:val="111827"/>
                <w:sz w:val="16"/>
              </w:rPr>
              <w:t>Diagnostic integrity</w:t>
            </w:r>
          </w:p>
        </w:tc>
      </w:tr>
      <w:tr>
        <w:tc>
          <w:tcPr>
            <w:tcW w:type="dxa" w:w="2232"/>
            <w:vAlign w:val="center"/>
            <w:shd w:fill="F5F7FA"/>
          </w:tcPr>
          <w:p>
            <w:pPr>
              <w:spacing w:after="0"/>
            </w:pPr>
            <w:r/>
            <w:r>
              <w:rPr>
                <w:rFonts w:ascii="Aptos" w:hAnsi="Aptos"/>
                <w:b w:val="0"/>
                <w:color w:val="111827"/>
                <w:sz w:val="16"/>
              </w:rPr>
              <w:t>Reference-closure rate</w:t>
            </w:r>
          </w:p>
        </w:tc>
        <w:tc>
          <w:tcPr>
            <w:tcW w:type="dxa" w:w="5328"/>
            <w:vAlign w:val="center"/>
            <w:shd w:fill="F5F7FA"/>
          </w:tcPr>
          <w:p>
            <w:pPr>
              <w:spacing w:after="0"/>
            </w:pPr>
            <w:r/>
            <w:r>
              <w:rPr>
                <w:rFonts w:ascii="Aptos" w:hAnsi="Aptos"/>
                <w:b w:val="0"/>
                <w:color w:val="111827"/>
                <w:sz w:val="16"/>
              </w:rPr>
              <w:t>Resolvable references remaining valid</w:t>
            </w:r>
          </w:p>
        </w:tc>
        <w:tc>
          <w:tcPr>
            <w:tcW w:type="dxa" w:w="3240"/>
            <w:vAlign w:val="center"/>
            <w:shd w:fill="F5F7FA"/>
          </w:tcPr>
          <w:p>
            <w:pPr>
              <w:spacing w:after="0"/>
            </w:pPr>
            <w:r/>
            <w:r>
              <w:rPr>
                <w:rFonts w:ascii="Aptos" w:hAnsi="Aptos"/>
                <w:b w:val="0"/>
                <w:color w:val="111827"/>
                <w:sz w:val="16"/>
              </w:rPr>
              <w:t>DICOM integrity</w:t>
            </w:r>
          </w:p>
        </w:tc>
      </w:tr>
      <w:tr>
        <w:tc>
          <w:tcPr>
            <w:tcW w:type="dxa" w:w="2232"/>
            <w:vAlign w:val="center"/>
          </w:tcPr>
          <w:p>
            <w:pPr>
              <w:spacing w:after="0"/>
            </w:pPr>
            <w:r/>
            <w:r>
              <w:rPr>
                <w:rFonts w:ascii="Aptos" w:hAnsi="Aptos"/>
                <w:b w:val="0"/>
                <w:color w:val="111827"/>
                <w:sz w:val="16"/>
              </w:rPr>
              <w:t>Throughput</w:t>
            </w:r>
          </w:p>
        </w:tc>
        <w:tc>
          <w:tcPr>
            <w:tcW w:type="dxa" w:w="5328"/>
            <w:vAlign w:val="center"/>
          </w:tcPr>
          <w:p>
            <w:pPr>
              <w:spacing w:after="0"/>
            </w:pPr>
            <w:r/>
            <w:r>
              <w:rPr>
                <w:rFonts w:ascii="Aptos" w:hAnsi="Aptos"/>
                <w:b w:val="0"/>
                <w:color w:val="111827"/>
                <w:sz w:val="16"/>
              </w:rPr>
              <w:t>Studies/minute or images/minute by modality</w:t>
            </w:r>
          </w:p>
        </w:tc>
        <w:tc>
          <w:tcPr>
            <w:tcW w:type="dxa" w:w="3240"/>
            <w:vAlign w:val="center"/>
          </w:tcPr>
          <w:p>
            <w:pPr>
              <w:spacing w:after="0"/>
            </w:pPr>
            <w:r/>
            <w:r>
              <w:rPr>
                <w:rFonts w:ascii="Aptos" w:hAnsi="Aptos"/>
                <w:b w:val="0"/>
                <w:color w:val="111827"/>
                <w:sz w:val="16"/>
              </w:rPr>
              <w:t>Performance</w:t>
            </w:r>
          </w:p>
        </w:tc>
      </w:tr>
      <w:tr>
        <w:tc>
          <w:tcPr>
            <w:tcW w:type="dxa" w:w="2232"/>
            <w:vAlign w:val="center"/>
            <w:shd w:fill="F5F7FA"/>
          </w:tcPr>
          <w:p>
            <w:pPr>
              <w:spacing w:after="0"/>
            </w:pPr>
            <w:r/>
            <w:r>
              <w:rPr>
                <w:rFonts w:ascii="Aptos" w:hAnsi="Aptos"/>
                <w:b w:val="0"/>
                <w:color w:val="111827"/>
                <w:sz w:val="16"/>
              </w:rPr>
              <w:t>Audit completeness</w:t>
            </w:r>
          </w:p>
        </w:tc>
        <w:tc>
          <w:tcPr>
            <w:tcW w:type="dxa" w:w="5328"/>
            <w:vAlign w:val="center"/>
            <w:shd w:fill="F5F7FA"/>
          </w:tcPr>
          <w:p>
            <w:pPr>
              <w:spacing w:after="0"/>
            </w:pPr>
            <w:r/>
            <w:r>
              <w:rPr>
                <w:rFonts w:ascii="Aptos" w:hAnsi="Aptos"/>
                <w:b w:val="0"/>
                <w:color w:val="111827"/>
                <w:sz w:val="16"/>
              </w:rPr>
              <w:t>Expected fields present in every job ledger</w:t>
            </w:r>
          </w:p>
        </w:tc>
        <w:tc>
          <w:tcPr>
            <w:tcW w:type="dxa" w:w="3240"/>
            <w:vAlign w:val="center"/>
            <w:shd w:fill="F5F7FA"/>
          </w:tcPr>
          <w:p>
            <w:pPr>
              <w:spacing w:after="0"/>
            </w:pPr>
            <w:r/>
            <w:r>
              <w:rPr>
                <w:rFonts w:ascii="Aptos" w:hAnsi="Aptos"/>
                <w:b w:val="0"/>
                <w:color w:val="111827"/>
                <w:sz w:val="16"/>
              </w:rPr>
              <w:t>Governance</w:t>
            </w:r>
          </w:p>
        </w:tc>
      </w:tr>
    </w:tbl>
    <w:p>
      <w:pPr>
        <w:spacing w:after="20"/>
      </w:pPr>
    </w:p>
    <w:p>
      <w:pPr>
        <w:pStyle w:val="Heading2"/>
        <w:keepNext/>
      </w:pPr>
      <w:r>
        <w:t>17.3 Adversarial privacy attack simulator</w:t>
      </w:r>
    </w:p>
    <w:p>
      <w:r>
        <w:drawing>
          <wp:inline xmlns:a="http://schemas.openxmlformats.org/drawingml/2006/main" xmlns:pic="http://schemas.openxmlformats.org/drawingml/2006/picture">
            <wp:extent cx="6217920" cy="1711298"/>
            <wp:docPr id="3" name="Picture 3"/>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6217920" cy="1711298"/>
                    </a:xfrm>
                    <a:prstGeom prst="rect"/>
                  </pic:spPr>
                </pic:pic>
              </a:graphicData>
            </a:graphic>
          </wp:inline>
        </w:drawing>
      </w:r>
    </w:p>
    <w:p>
      <w:pPr>
        <w:jc w:val="center"/>
      </w:pPr>
      <w:r>
        <w:rPr>
          <w:rFonts w:ascii="Aptos" w:hAnsi="Aptos"/>
          <w:color w:val="64748B"/>
          <w:sz w:val="16"/>
        </w:rPr>
        <w:t>Figure 3. Processing state machine: uncertain cases are routed to review and hard failures to quarantine.</w:t>
      </w:r>
    </w:p>
    <w:p>
      <w:pPr>
        <w:pStyle w:val="ListBullet"/>
        <w:spacing w:after="40"/>
        <w:ind w:left="288"/>
      </w:pPr>
      <w:r>
        <w:t>Metadata extraction attack: enumerate tags and search for direct/indirect identifiers.</w:t>
      </w:r>
    </w:p>
    <w:p>
      <w:pPr>
        <w:pStyle w:val="ListBullet"/>
        <w:spacing w:after="40"/>
        <w:ind w:left="288"/>
      </w:pPr>
      <w:r>
        <w:t>Private-tag attack: inspect odd groups and creator blocks.</w:t>
      </w:r>
    </w:p>
    <w:p>
      <w:pPr>
        <w:pStyle w:val="ListBullet"/>
        <w:spacing w:after="40"/>
        <w:ind w:left="288"/>
      </w:pPr>
      <w:r>
        <w:t>OCR attack: ignore metadata and visually re-scan pixels.</w:t>
      </w:r>
    </w:p>
    <w:p>
      <w:pPr>
        <w:pStyle w:val="ListBullet"/>
        <w:spacing w:after="40"/>
        <w:ind w:left="288"/>
      </w:pPr>
      <w:r>
        <w:t>Barcode/QR attack: attempt machine-readable decoding.</w:t>
      </w:r>
    </w:p>
    <w:p>
      <w:pPr>
        <w:pStyle w:val="ListBullet"/>
        <w:spacing w:after="40"/>
        <w:ind w:left="288"/>
      </w:pPr>
      <w:r>
        <w:t>Free-text attack: search output strings using identifier patterns.</w:t>
      </w:r>
    </w:p>
    <w:p>
      <w:pPr>
        <w:pStyle w:val="ListBullet"/>
        <w:spacing w:after="40"/>
        <w:ind w:left="288"/>
      </w:pPr>
      <w:r>
        <w:t>UID attack: look for recoverable original relationships.</w:t>
      </w:r>
    </w:p>
    <w:p>
      <w:pPr>
        <w:pStyle w:val="ListBullet"/>
        <w:spacing w:after="40"/>
        <w:ind w:left="288"/>
      </w:pPr>
      <w:r>
        <w:t>Artifact attack: inspect temporary exports, audit logs, and package manifests for accidental identity leakage.</w:t>
      </w:r>
    </w:p>
    <w:p>
      <w:pPr>
        <w:pStyle w:val="Heading1"/>
        <w:keepNext/>
      </w:pPr>
      <w:r>
        <w:t>18. Production-Oriented Technology Stack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Layer</w:t>
            </w:r>
          </w:p>
        </w:tc>
        <w:tc>
          <w:tcPr>
            <w:tcW w:type="dxa" w:w="48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Recommended choice</w:t>
            </w:r>
          </w:p>
        </w:tc>
        <w:tc>
          <w:tcPr>
            <w:tcW w:type="dxa" w:w="403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Alternative / note</w:t>
            </w:r>
          </w:p>
        </w:tc>
      </w:tr>
      <w:tr>
        <w:tc>
          <w:tcPr>
            <w:tcW w:type="dxa" w:w="1944"/>
            <w:vAlign w:val="center"/>
          </w:tcPr>
          <w:p>
            <w:pPr>
              <w:spacing w:after="0"/>
            </w:pPr>
            <w:r/>
            <w:r>
              <w:rPr>
                <w:rFonts w:ascii="Aptos" w:hAnsi="Aptos"/>
                <w:b w:val="0"/>
                <w:color w:val="111827"/>
                <w:sz w:val="16"/>
              </w:rPr>
              <w:t>Desktop shell</w:t>
            </w:r>
          </w:p>
        </w:tc>
        <w:tc>
          <w:tcPr>
            <w:tcW w:type="dxa" w:w="4824"/>
            <w:vAlign w:val="center"/>
          </w:tcPr>
          <w:p>
            <w:pPr>
              <w:spacing w:after="0"/>
            </w:pPr>
            <w:r/>
            <w:r>
              <w:rPr>
                <w:rFonts w:ascii="Aptos" w:hAnsi="Aptos"/>
                <w:b w:val="0"/>
                <w:color w:val="111827"/>
                <w:sz w:val="16"/>
              </w:rPr>
              <w:t>Tauri v2 + TypeScript/React</w:t>
            </w:r>
          </w:p>
        </w:tc>
        <w:tc>
          <w:tcPr>
            <w:tcW w:type="dxa" w:w="4032"/>
            <w:vAlign w:val="center"/>
          </w:tcPr>
          <w:p>
            <w:pPr>
              <w:spacing w:after="0"/>
            </w:pPr>
            <w:r/>
            <w:r>
              <w:rPr>
                <w:rFonts w:ascii="Aptos" w:hAnsi="Aptos"/>
                <w:b w:val="0"/>
                <w:color w:val="111827"/>
                <w:sz w:val="16"/>
              </w:rPr>
              <w:t>PySide6 is a simpler all-Python prototype option.</w:t>
            </w:r>
          </w:p>
        </w:tc>
      </w:tr>
      <w:tr>
        <w:tc>
          <w:tcPr>
            <w:tcW w:type="dxa" w:w="1944"/>
            <w:vAlign w:val="center"/>
            <w:shd w:fill="F5F7FA"/>
          </w:tcPr>
          <w:p>
            <w:pPr>
              <w:spacing w:after="0"/>
            </w:pPr>
            <w:r/>
            <w:r>
              <w:rPr>
                <w:rFonts w:ascii="Aptos" w:hAnsi="Aptos"/>
                <w:b w:val="0"/>
                <w:color w:val="111827"/>
                <w:sz w:val="16"/>
              </w:rPr>
              <w:t>Core engine</w:t>
            </w:r>
          </w:p>
        </w:tc>
        <w:tc>
          <w:tcPr>
            <w:tcW w:type="dxa" w:w="4824"/>
            <w:vAlign w:val="center"/>
            <w:shd w:fill="F5F7FA"/>
          </w:tcPr>
          <w:p>
            <w:pPr>
              <w:spacing w:after="0"/>
            </w:pPr>
            <w:r/>
            <w:r>
              <w:rPr>
                <w:rFonts w:ascii="Aptos" w:hAnsi="Aptos"/>
                <w:b w:val="0"/>
                <w:color w:val="111827"/>
                <w:sz w:val="16"/>
              </w:rPr>
              <w:t>Rust</w:t>
            </w:r>
          </w:p>
        </w:tc>
        <w:tc>
          <w:tcPr>
            <w:tcW w:type="dxa" w:w="4032"/>
            <w:vAlign w:val="center"/>
            <w:shd w:fill="F5F7FA"/>
          </w:tcPr>
          <w:p>
            <w:pPr>
              <w:spacing w:after="0"/>
            </w:pPr>
            <w:r/>
            <w:r>
              <w:rPr>
                <w:rFonts w:ascii="Aptos" w:hAnsi="Aptos"/>
                <w:b w:val="0"/>
                <w:color w:val="111827"/>
                <w:sz w:val="16"/>
              </w:rPr>
              <w:t>Python is acceptable for an MVP; Rust becomes valuable for high-volume and memory-safe core processing.</w:t>
            </w:r>
          </w:p>
        </w:tc>
      </w:tr>
      <w:tr>
        <w:tc>
          <w:tcPr>
            <w:tcW w:type="dxa" w:w="1944"/>
            <w:vAlign w:val="center"/>
          </w:tcPr>
          <w:p>
            <w:pPr>
              <w:spacing w:after="0"/>
            </w:pPr>
            <w:r/>
            <w:r>
              <w:rPr>
                <w:rFonts w:ascii="Aptos" w:hAnsi="Aptos"/>
                <w:b w:val="0"/>
                <w:color w:val="111827"/>
                <w:sz w:val="16"/>
              </w:rPr>
              <w:t>DICOM</w:t>
            </w:r>
          </w:p>
        </w:tc>
        <w:tc>
          <w:tcPr>
            <w:tcW w:type="dxa" w:w="4824"/>
            <w:vAlign w:val="center"/>
          </w:tcPr>
          <w:p>
            <w:pPr>
              <w:spacing w:after="0"/>
            </w:pPr>
            <w:r/>
            <w:r>
              <w:rPr>
                <w:rFonts w:ascii="Aptos" w:hAnsi="Aptos"/>
                <w:b w:val="0"/>
                <w:color w:val="111827"/>
                <w:sz w:val="16"/>
              </w:rPr>
              <w:t>dicom-rs + GDCM / DCMTK where needed</w:t>
            </w:r>
          </w:p>
        </w:tc>
        <w:tc>
          <w:tcPr>
            <w:tcW w:type="dxa" w:w="4032"/>
            <w:vAlign w:val="center"/>
          </w:tcPr>
          <w:p>
            <w:pPr>
              <w:spacing w:after="0"/>
            </w:pPr>
            <w:r/>
            <w:r>
              <w:rPr>
                <w:rFonts w:ascii="Aptos" w:hAnsi="Aptos"/>
                <w:b w:val="0"/>
                <w:color w:val="111827"/>
                <w:sz w:val="16"/>
              </w:rPr>
              <w:t>pydicom is excellent for rapid prototyping and testing.</w:t>
            </w:r>
          </w:p>
        </w:tc>
      </w:tr>
      <w:tr>
        <w:tc>
          <w:tcPr>
            <w:tcW w:type="dxa" w:w="1944"/>
            <w:vAlign w:val="center"/>
            <w:shd w:fill="F5F7FA"/>
          </w:tcPr>
          <w:p>
            <w:pPr>
              <w:spacing w:after="0"/>
            </w:pPr>
            <w:r/>
            <w:r>
              <w:rPr>
                <w:rFonts w:ascii="Aptos" w:hAnsi="Aptos"/>
                <w:b w:val="0"/>
                <w:color w:val="111827"/>
                <w:sz w:val="16"/>
              </w:rPr>
              <w:t>Image processing</w:t>
            </w:r>
          </w:p>
        </w:tc>
        <w:tc>
          <w:tcPr>
            <w:tcW w:type="dxa" w:w="4824"/>
            <w:vAlign w:val="center"/>
            <w:shd w:fill="F5F7FA"/>
          </w:tcPr>
          <w:p>
            <w:pPr>
              <w:spacing w:after="0"/>
            </w:pPr>
            <w:r/>
            <w:r>
              <w:rPr>
                <w:rFonts w:ascii="Aptos" w:hAnsi="Aptos"/>
                <w:b w:val="0"/>
                <w:color w:val="111827"/>
                <w:sz w:val="16"/>
              </w:rPr>
              <w:t>NumPy/OpenCV/SimpleITK</w:t>
            </w:r>
          </w:p>
        </w:tc>
        <w:tc>
          <w:tcPr>
            <w:tcW w:type="dxa" w:w="4032"/>
            <w:vAlign w:val="center"/>
            <w:shd w:fill="F5F7FA"/>
          </w:tcPr>
          <w:p>
            <w:pPr>
              <w:spacing w:after="0"/>
            </w:pPr>
            <w:r/>
            <w:r>
              <w:rPr>
                <w:rFonts w:ascii="Aptos" w:hAnsi="Aptos"/>
                <w:b w:val="0"/>
                <w:color w:val="111827"/>
                <w:sz w:val="16"/>
              </w:rPr>
              <w:t>Use native arrays for bit-depth-safe processing.</w:t>
            </w:r>
          </w:p>
        </w:tc>
      </w:tr>
      <w:tr>
        <w:tc>
          <w:tcPr>
            <w:tcW w:type="dxa" w:w="1944"/>
            <w:vAlign w:val="center"/>
          </w:tcPr>
          <w:p>
            <w:pPr>
              <w:spacing w:after="0"/>
            </w:pPr>
            <w:r/>
            <w:r>
              <w:rPr>
                <w:rFonts w:ascii="Aptos" w:hAnsi="Aptos"/>
                <w:b w:val="0"/>
                <w:color w:val="111827"/>
                <w:sz w:val="16"/>
              </w:rPr>
              <w:t>Inference</w:t>
            </w:r>
          </w:p>
        </w:tc>
        <w:tc>
          <w:tcPr>
            <w:tcW w:type="dxa" w:w="4824"/>
            <w:vAlign w:val="center"/>
          </w:tcPr>
          <w:p>
            <w:pPr>
              <w:spacing w:after="0"/>
            </w:pPr>
            <w:r/>
            <w:r>
              <w:rPr>
                <w:rFonts w:ascii="Aptos" w:hAnsi="Aptos"/>
                <w:b w:val="0"/>
                <w:color w:val="111827"/>
                <w:sz w:val="16"/>
              </w:rPr>
              <w:t>ONNX Runtime</w:t>
            </w:r>
          </w:p>
        </w:tc>
        <w:tc>
          <w:tcPr>
            <w:tcW w:type="dxa" w:w="4032"/>
            <w:vAlign w:val="center"/>
          </w:tcPr>
          <w:p>
            <w:pPr>
              <w:spacing w:after="0"/>
            </w:pPr>
            <w:r/>
            <w:r>
              <w:rPr>
                <w:rFonts w:ascii="Aptos" w:hAnsi="Aptos"/>
                <w:b w:val="0"/>
                <w:color w:val="111827"/>
                <w:sz w:val="16"/>
              </w:rPr>
              <w:t>Execution provider may be CPU / DirectML / CUDA / CoreML depending on host.</w:t>
            </w:r>
          </w:p>
        </w:tc>
      </w:tr>
      <w:tr>
        <w:tc>
          <w:tcPr>
            <w:tcW w:type="dxa" w:w="1944"/>
            <w:vAlign w:val="center"/>
            <w:shd w:fill="F5F7FA"/>
          </w:tcPr>
          <w:p>
            <w:pPr>
              <w:spacing w:after="0"/>
            </w:pPr>
            <w:r/>
            <w:r>
              <w:rPr>
                <w:rFonts w:ascii="Aptos" w:hAnsi="Aptos"/>
                <w:b w:val="0"/>
                <w:color w:val="111827"/>
                <w:sz w:val="16"/>
              </w:rPr>
              <w:t>OCR</w:t>
            </w:r>
          </w:p>
        </w:tc>
        <w:tc>
          <w:tcPr>
            <w:tcW w:type="dxa" w:w="4824"/>
            <w:vAlign w:val="center"/>
            <w:shd w:fill="F5F7FA"/>
          </w:tcPr>
          <w:p>
            <w:pPr>
              <w:spacing w:after="0"/>
            </w:pPr>
            <w:r/>
            <w:r>
              <w:rPr>
                <w:rFonts w:ascii="Aptos" w:hAnsi="Aptos"/>
                <w:b w:val="0"/>
                <w:color w:val="111827"/>
                <w:sz w:val="16"/>
              </w:rPr>
              <w:t>PaddleOCR / EasyOCR plus domain tuning</w:t>
            </w:r>
          </w:p>
        </w:tc>
        <w:tc>
          <w:tcPr>
            <w:tcW w:type="dxa" w:w="4032"/>
            <w:vAlign w:val="center"/>
            <w:shd w:fill="F5F7FA"/>
          </w:tcPr>
          <w:p>
            <w:pPr>
              <w:spacing w:after="0"/>
            </w:pPr>
            <w:r/>
            <w:r>
              <w:rPr>
                <w:rFonts w:ascii="Aptos" w:hAnsi="Aptos"/>
                <w:b w:val="0"/>
                <w:color w:val="111827"/>
                <w:sz w:val="16"/>
              </w:rPr>
              <w:t>Tesseract can be used for a baseline comparator.</w:t>
            </w:r>
          </w:p>
        </w:tc>
      </w:tr>
      <w:tr>
        <w:tc>
          <w:tcPr>
            <w:tcW w:type="dxa" w:w="1944"/>
            <w:vAlign w:val="center"/>
          </w:tcPr>
          <w:p>
            <w:pPr>
              <w:spacing w:after="0"/>
            </w:pPr>
            <w:r/>
            <w:r>
              <w:rPr>
                <w:rFonts w:ascii="Aptos" w:hAnsi="Aptos"/>
                <w:b w:val="0"/>
                <w:color w:val="111827"/>
                <w:sz w:val="16"/>
              </w:rPr>
              <w:t>Text/NER</w:t>
            </w:r>
          </w:p>
        </w:tc>
        <w:tc>
          <w:tcPr>
            <w:tcW w:type="dxa" w:w="4824"/>
            <w:vAlign w:val="center"/>
          </w:tcPr>
          <w:p>
            <w:pPr>
              <w:spacing w:after="0"/>
            </w:pPr>
            <w:r/>
            <w:r>
              <w:rPr>
                <w:rFonts w:ascii="Aptos" w:hAnsi="Aptos"/>
                <w:b w:val="0"/>
                <w:color w:val="111827"/>
                <w:sz w:val="16"/>
              </w:rPr>
              <w:t>Rule engine + medical NER</w:t>
            </w:r>
          </w:p>
        </w:tc>
        <w:tc>
          <w:tcPr>
            <w:tcW w:type="dxa" w:w="4032"/>
            <w:vAlign w:val="center"/>
          </w:tcPr>
          <w:p>
            <w:pPr>
              <w:spacing w:after="0"/>
            </w:pPr>
            <w:r/>
            <w:r>
              <w:rPr>
                <w:rFonts w:ascii="Aptos" w:hAnsi="Aptos"/>
                <w:b w:val="0"/>
                <w:color w:val="111827"/>
                <w:sz w:val="16"/>
              </w:rPr>
              <w:t>LLM/VLM verification only for ambiguous cases and only under an explicit privacy boundary.</w:t>
            </w:r>
          </w:p>
        </w:tc>
      </w:tr>
      <w:tr>
        <w:tc>
          <w:tcPr>
            <w:tcW w:type="dxa" w:w="1944"/>
            <w:vAlign w:val="center"/>
            <w:shd w:fill="F5F7FA"/>
          </w:tcPr>
          <w:p>
            <w:pPr>
              <w:spacing w:after="0"/>
            </w:pPr>
            <w:r/>
            <w:r>
              <w:rPr>
                <w:rFonts w:ascii="Aptos" w:hAnsi="Aptos"/>
                <w:b w:val="0"/>
                <w:color w:val="111827"/>
                <w:sz w:val="16"/>
              </w:rPr>
              <w:t>Audit</w:t>
            </w:r>
          </w:p>
        </w:tc>
        <w:tc>
          <w:tcPr>
            <w:tcW w:type="dxa" w:w="4824"/>
            <w:vAlign w:val="center"/>
            <w:shd w:fill="F5F7FA"/>
          </w:tcPr>
          <w:p>
            <w:pPr>
              <w:spacing w:after="0"/>
            </w:pPr>
            <w:r/>
            <w:r>
              <w:rPr>
                <w:rFonts w:ascii="Aptos" w:hAnsi="Aptos"/>
                <w:b w:val="0"/>
                <w:color w:val="111827"/>
                <w:sz w:val="16"/>
              </w:rPr>
              <w:t>Hash/Merkle chain</w:t>
            </w:r>
          </w:p>
        </w:tc>
        <w:tc>
          <w:tcPr>
            <w:tcW w:type="dxa" w:w="4032"/>
            <w:vAlign w:val="center"/>
            <w:shd w:fill="F5F7FA"/>
          </w:tcPr>
          <w:p>
            <w:pPr>
              <w:spacing w:after="0"/>
            </w:pPr>
            <w:r/>
            <w:r>
              <w:rPr>
                <w:rFonts w:ascii="Aptos" w:hAnsi="Aptos"/>
                <w:b w:val="0"/>
                <w:color w:val="111827"/>
                <w:sz w:val="16"/>
              </w:rPr>
              <w:t>Optional permissioned external anchoring.</w:t>
            </w:r>
          </w:p>
        </w:tc>
      </w:tr>
      <w:tr>
        <w:tc>
          <w:tcPr>
            <w:tcW w:type="dxa" w:w="1944"/>
            <w:vAlign w:val="center"/>
          </w:tcPr>
          <w:p>
            <w:pPr>
              <w:spacing w:after="0"/>
            </w:pPr>
            <w:r/>
            <w:r>
              <w:rPr>
                <w:rFonts w:ascii="Aptos" w:hAnsi="Aptos"/>
                <w:b w:val="0"/>
                <w:color w:val="111827"/>
                <w:sz w:val="16"/>
              </w:rPr>
              <w:t>Key store</w:t>
            </w:r>
          </w:p>
        </w:tc>
        <w:tc>
          <w:tcPr>
            <w:tcW w:type="dxa" w:w="4824"/>
            <w:vAlign w:val="center"/>
          </w:tcPr>
          <w:p>
            <w:pPr>
              <w:spacing w:after="0"/>
            </w:pPr>
            <w:r/>
            <w:r>
              <w:rPr>
                <w:rFonts w:ascii="Aptos" w:hAnsi="Aptos"/>
                <w:b w:val="0"/>
                <w:color w:val="111827"/>
                <w:sz w:val="16"/>
              </w:rPr>
              <w:t>OS credential store / HSM in enterprise mode</w:t>
            </w:r>
          </w:p>
        </w:tc>
        <w:tc>
          <w:tcPr>
            <w:tcW w:type="dxa" w:w="4032"/>
            <w:vAlign w:val="center"/>
          </w:tcPr>
          <w:p>
            <w:pPr>
              <w:spacing w:after="0"/>
            </w:pPr>
            <w:r/>
            <w:r>
              <w:rPr>
                <w:rFonts w:ascii="Aptos" w:hAnsi="Aptos"/>
                <w:b w:val="0"/>
                <w:color w:val="111827"/>
                <w:sz w:val="16"/>
              </w:rPr>
              <w:t>Local encrypted vault for prototype.</w:t>
            </w:r>
          </w:p>
        </w:tc>
      </w:tr>
      <w:tr>
        <w:tc>
          <w:tcPr>
            <w:tcW w:type="dxa" w:w="1944"/>
            <w:vAlign w:val="center"/>
            <w:shd w:fill="F5F7FA"/>
          </w:tcPr>
          <w:p>
            <w:pPr>
              <w:spacing w:after="0"/>
            </w:pPr>
            <w:r/>
            <w:r>
              <w:rPr>
                <w:rFonts w:ascii="Aptos" w:hAnsi="Aptos"/>
                <w:b w:val="0"/>
                <w:color w:val="111827"/>
                <w:sz w:val="16"/>
              </w:rPr>
              <w:t>Viewer</w:t>
            </w:r>
          </w:p>
        </w:tc>
        <w:tc>
          <w:tcPr>
            <w:tcW w:type="dxa" w:w="4824"/>
            <w:vAlign w:val="center"/>
            <w:shd w:fill="F5F7FA"/>
          </w:tcPr>
          <w:p>
            <w:pPr>
              <w:spacing w:after="0"/>
            </w:pPr>
            <w:r/>
            <w:r>
              <w:rPr>
                <w:rFonts w:ascii="Aptos" w:hAnsi="Aptos"/>
                <w:b w:val="0"/>
                <w:color w:val="111827"/>
                <w:sz w:val="16"/>
              </w:rPr>
              <w:t>Cornerstone-based web viewport inside Tauri</w:t>
            </w:r>
          </w:p>
        </w:tc>
        <w:tc>
          <w:tcPr>
            <w:tcW w:type="dxa" w:w="4032"/>
            <w:vAlign w:val="center"/>
            <w:shd w:fill="F5F7FA"/>
          </w:tcPr>
          <w:p>
            <w:pPr>
              <w:spacing w:after="0"/>
            </w:pPr>
            <w:r/>
            <w:r>
              <w:rPr>
                <w:rFonts w:ascii="Aptos" w:hAnsi="Aptos"/>
                <w:b w:val="0"/>
                <w:color w:val="111827"/>
                <w:sz w:val="16"/>
              </w:rPr>
              <w:t>Simpler 2D viewer for MVP.</w:t>
            </w:r>
          </w:p>
        </w:tc>
      </w:tr>
    </w:tbl>
    <w:p>
      <w:pPr>
        <w:spacing w:after="20"/>
      </w:pPr>
    </w:p>
    <w:tbl>
      <w:tblPr>
        <w:tblW w:type="auto" w:w="0"/>
        <w:jc w:val="center"/>
        <w:tblLook w:firstColumn="1" w:firstRow="1" w:lastColumn="0" w:lastRow="0" w:noHBand="0" w:noVBand="1" w:val="04A0"/>
      </w:tblPr>
      <w:tblGrid>
        <w:gridCol w:w="10080"/>
      </w:tblGrid>
      <w:tr>
        <w:tc>
          <w:tcPr>
            <w:tcW w:type="dxa" w:w="10080"/>
            <w:shd w:fill="EEF5FA"/>
            <w:tcBorders>
              <w:top w:val="single" w:sz="8" w:color="173B57"/>
              <w:left w:val="single" w:sz="8" w:color="173B57"/>
              <w:bottom w:val="single" w:sz="8" w:color="173B57"/>
              <w:right w:val="single" w:sz="8" w:color="173B57"/>
            </w:tcBorders>
          </w:tcPr>
          <w:p>
            <w:pPr>
              <w:spacing w:after="40"/>
            </w:pPr>
            <w:r/>
            <w:r>
              <w:rPr>
                <w:rFonts w:ascii="Aptos Display" w:hAnsi="Aptos Display"/>
                <w:b/>
                <w:color w:val="173B57"/>
                <w:sz w:val="20"/>
              </w:rPr>
              <w:t>Prototype-to-production strategy</w:t>
            </w:r>
          </w:p>
          <w:p>
            <w:pPr>
              <w:spacing w:after="60"/>
            </w:pPr>
            <w:r>
              <w:rPr>
                <w:rFonts w:ascii="Aptos" w:hAnsi="Aptos"/>
                <w:color w:val="243447"/>
                <w:sz w:val="18"/>
              </w:rPr>
              <w:t>Start with Python + pydicom + OpenCV + OCR to validate the concept quickly. Keep the policy, study graph, validation, and audit interfaces language-agnostic so the high-performance core can later move to Rust without redesigning the product architecture.</w:t>
            </w:r>
          </w:p>
        </w:tc>
      </w:tr>
    </w:tbl>
    <w:p>
      <w:pPr>
        <w:spacing w:after="40"/>
      </w:pPr>
    </w:p>
    <w:p>
      <w:pPr>
        <w:pStyle w:val="Heading1"/>
        <w:keepNext/>
      </w:pPr>
      <w:r>
        <w:t>19. Implementation Roadmap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8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Phase</w:t>
            </w:r>
          </w:p>
        </w:tc>
        <w:tc>
          <w:tcPr>
            <w:tcW w:type="dxa" w:w="237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Focus</w:t>
            </w:r>
          </w:p>
        </w:tc>
        <w:tc>
          <w:tcPr>
            <w:tcW w:type="dxa" w:w="468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Deliverables</w:t>
            </w:r>
          </w:p>
        </w:tc>
        <w:tc>
          <w:tcPr>
            <w:tcW w:type="dxa" w:w="295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Exit criteria</w:t>
            </w:r>
          </w:p>
        </w:tc>
      </w:tr>
      <w:tr>
        <w:tc>
          <w:tcPr>
            <w:tcW w:type="dxa" w:w="1584"/>
            <w:vAlign w:val="center"/>
          </w:tcPr>
          <w:p>
            <w:pPr>
              <w:spacing w:after="0"/>
            </w:pPr>
            <w:r/>
            <w:r>
              <w:rPr>
                <w:rFonts w:ascii="Aptos" w:hAnsi="Aptos"/>
                <w:b w:val="0"/>
                <w:color w:val="111827"/>
                <w:sz w:val="15"/>
              </w:rPr>
              <w:t>Phase 0 (Week 1)</w:t>
            </w:r>
          </w:p>
        </w:tc>
        <w:tc>
          <w:tcPr>
            <w:tcW w:type="dxa" w:w="2376"/>
            <w:vAlign w:val="center"/>
          </w:tcPr>
          <w:p>
            <w:pPr>
              <w:spacing w:after="0"/>
            </w:pPr>
            <w:r/>
            <w:r>
              <w:rPr>
                <w:rFonts w:ascii="Aptos" w:hAnsi="Aptos"/>
                <w:b w:val="0"/>
                <w:color w:val="111827"/>
                <w:sz w:val="15"/>
              </w:rPr>
              <w:t>Dataset &amp; policy foundation</w:t>
            </w:r>
          </w:p>
        </w:tc>
        <w:tc>
          <w:tcPr>
            <w:tcW w:type="dxa" w:w="4680"/>
            <w:vAlign w:val="center"/>
          </w:tcPr>
          <w:p>
            <w:pPr>
              <w:spacing w:after="0"/>
            </w:pPr>
            <w:r/>
            <w:r>
              <w:rPr>
                <w:rFonts w:ascii="Aptos" w:hAnsi="Aptos"/>
                <w:b w:val="0"/>
                <w:color w:val="111827"/>
                <w:sz w:val="15"/>
              </w:rPr>
              <w:t>Synthetic PHI corpus, policy schema, project skeleton, audit schema.</w:t>
            </w:r>
          </w:p>
        </w:tc>
        <w:tc>
          <w:tcPr>
            <w:tcW w:type="dxa" w:w="2952"/>
            <w:vAlign w:val="center"/>
          </w:tcPr>
          <w:p>
            <w:pPr>
              <w:spacing w:after="0"/>
            </w:pPr>
            <w:r/>
            <w:r>
              <w:rPr>
                <w:rFonts w:ascii="Aptos" w:hAnsi="Aptos"/>
                <w:b w:val="0"/>
                <w:color w:val="111827"/>
                <w:sz w:val="15"/>
              </w:rPr>
              <w:t>Deterministic test fixtures exist.</w:t>
            </w:r>
          </w:p>
        </w:tc>
      </w:tr>
      <w:tr>
        <w:tc>
          <w:tcPr>
            <w:tcW w:type="dxa" w:w="1584"/>
            <w:vAlign w:val="center"/>
            <w:shd w:fill="F5F7FA"/>
          </w:tcPr>
          <w:p>
            <w:pPr>
              <w:spacing w:after="0"/>
            </w:pPr>
            <w:r/>
            <w:r>
              <w:rPr>
                <w:rFonts w:ascii="Aptos" w:hAnsi="Aptos"/>
                <w:b w:val="0"/>
                <w:color w:val="111827"/>
                <w:sz w:val="15"/>
              </w:rPr>
              <w:t>Phase 1 (Weeks 2–3)</w:t>
            </w:r>
          </w:p>
        </w:tc>
        <w:tc>
          <w:tcPr>
            <w:tcW w:type="dxa" w:w="2376"/>
            <w:vAlign w:val="center"/>
            <w:shd w:fill="F5F7FA"/>
          </w:tcPr>
          <w:p>
            <w:pPr>
              <w:spacing w:after="0"/>
            </w:pPr>
            <w:r/>
            <w:r>
              <w:rPr>
                <w:rFonts w:ascii="Aptos" w:hAnsi="Aptos"/>
                <w:b w:val="0"/>
                <w:color w:val="111827"/>
                <w:sz w:val="15"/>
              </w:rPr>
              <w:t>Metadata core</w:t>
            </w:r>
          </w:p>
        </w:tc>
        <w:tc>
          <w:tcPr>
            <w:tcW w:type="dxa" w:w="4680"/>
            <w:vAlign w:val="center"/>
            <w:shd w:fill="F5F7FA"/>
          </w:tcPr>
          <w:p>
            <w:pPr>
              <w:spacing w:after="0"/>
            </w:pPr>
            <w:r/>
            <w:r>
              <w:rPr>
                <w:rFonts w:ascii="Aptos" w:hAnsi="Aptos"/>
                <w:b w:val="0"/>
                <w:color w:val="111827"/>
                <w:sz w:val="15"/>
              </w:rPr>
              <w:t>Recursive parser, private-tag policy, UID graph, date handling.</w:t>
            </w:r>
          </w:p>
        </w:tc>
        <w:tc>
          <w:tcPr>
            <w:tcW w:type="dxa" w:w="2952"/>
            <w:vAlign w:val="center"/>
            <w:shd w:fill="F5F7FA"/>
          </w:tcPr>
          <w:p>
            <w:pPr>
              <w:spacing w:after="0"/>
            </w:pPr>
            <w:r/>
            <w:r>
              <w:rPr>
                <w:rFonts w:ascii="Aptos" w:hAnsi="Aptos"/>
                <w:b w:val="0"/>
                <w:color w:val="111827"/>
                <w:sz w:val="15"/>
              </w:rPr>
              <w:t>Known PHI removed/transformed; references close.</w:t>
            </w:r>
          </w:p>
        </w:tc>
      </w:tr>
      <w:tr>
        <w:tc>
          <w:tcPr>
            <w:tcW w:type="dxa" w:w="1584"/>
            <w:vAlign w:val="center"/>
          </w:tcPr>
          <w:p>
            <w:pPr>
              <w:spacing w:after="0"/>
            </w:pPr>
            <w:r/>
            <w:r>
              <w:rPr>
                <w:rFonts w:ascii="Aptos" w:hAnsi="Aptos"/>
                <w:b w:val="0"/>
                <w:color w:val="111827"/>
                <w:sz w:val="15"/>
              </w:rPr>
              <w:t>Phase 2 (Weeks 4–5)</w:t>
            </w:r>
          </w:p>
        </w:tc>
        <w:tc>
          <w:tcPr>
            <w:tcW w:type="dxa" w:w="2376"/>
            <w:vAlign w:val="center"/>
          </w:tcPr>
          <w:p>
            <w:pPr>
              <w:spacing w:after="0"/>
            </w:pPr>
            <w:r/>
            <w:r>
              <w:rPr>
                <w:rFonts w:ascii="Aptos" w:hAnsi="Aptos"/>
                <w:b w:val="0"/>
                <w:color w:val="111827"/>
                <w:sz w:val="15"/>
              </w:rPr>
              <w:t>Pixel detection</w:t>
            </w:r>
          </w:p>
        </w:tc>
        <w:tc>
          <w:tcPr>
            <w:tcW w:type="dxa" w:w="4680"/>
            <w:vAlign w:val="center"/>
          </w:tcPr>
          <w:p>
            <w:pPr>
              <w:spacing w:after="0"/>
            </w:pPr>
            <w:r/>
            <w:r>
              <w:rPr>
                <w:rFonts w:ascii="Aptos" w:hAnsi="Aptos"/>
                <w:b w:val="0"/>
                <w:color w:val="111827"/>
                <w:sz w:val="15"/>
              </w:rPr>
              <w:t>Modality router, text detector, OCR, barcode/QR, PHI classifier.</w:t>
            </w:r>
          </w:p>
        </w:tc>
        <w:tc>
          <w:tcPr>
            <w:tcW w:type="dxa" w:w="2952"/>
            <w:vAlign w:val="center"/>
          </w:tcPr>
          <w:p>
            <w:pPr>
              <w:spacing w:after="0"/>
            </w:pPr>
            <w:r/>
            <w:r>
              <w:rPr>
                <w:rFonts w:ascii="Aptos" w:hAnsi="Aptos"/>
                <w:b w:val="0"/>
                <w:color w:val="111827"/>
                <w:sz w:val="15"/>
              </w:rPr>
              <w:t>Candidate regions and confidence generated.</w:t>
            </w:r>
          </w:p>
        </w:tc>
      </w:tr>
      <w:tr>
        <w:tc>
          <w:tcPr>
            <w:tcW w:type="dxa" w:w="1584"/>
            <w:vAlign w:val="center"/>
            <w:shd w:fill="F5F7FA"/>
          </w:tcPr>
          <w:p>
            <w:pPr>
              <w:spacing w:after="0"/>
            </w:pPr>
            <w:r/>
            <w:r>
              <w:rPr>
                <w:rFonts w:ascii="Aptos" w:hAnsi="Aptos"/>
                <w:b w:val="0"/>
                <w:color w:val="111827"/>
                <w:sz w:val="15"/>
              </w:rPr>
              <w:t>Phase 3 (Week 6)</w:t>
            </w:r>
          </w:p>
        </w:tc>
        <w:tc>
          <w:tcPr>
            <w:tcW w:type="dxa" w:w="2376"/>
            <w:vAlign w:val="center"/>
            <w:shd w:fill="F5F7FA"/>
          </w:tcPr>
          <w:p>
            <w:pPr>
              <w:spacing w:after="0"/>
            </w:pPr>
            <w:r/>
            <w:r>
              <w:rPr>
                <w:rFonts w:ascii="Aptos" w:hAnsi="Aptos"/>
                <w:b w:val="0"/>
                <w:color w:val="111827"/>
                <w:sz w:val="15"/>
              </w:rPr>
              <w:t>Redaction + review</w:t>
            </w:r>
          </w:p>
        </w:tc>
        <w:tc>
          <w:tcPr>
            <w:tcW w:type="dxa" w:w="4680"/>
            <w:vAlign w:val="center"/>
            <w:shd w:fill="F5F7FA"/>
          </w:tcPr>
          <w:p>
            <w:pPr>
              <w:spacing w:after="0"/>
            </w:pPr>
            <w:r/>
            <w:r>
              <w:rPr>
                <w:rFonts w:ascii="Aptos" w:hAnsi="Aptos"/>
                <w:b w:val="0"/>
                <w:color w:val="111827"/>
                <w:sz w:val="15"/>
              </w:rPr>
              <w:t>Mask editor, controlled inpainting, review queue.</w:t>
            </w:r>
          </w:p>
        </w:tc>
        <w:tc>
          <w:tcPr>
            <w:tcW w:type="dxa" w:w="2952"/>
            <w:vAlign w:val="center"/>
            <w:shd w:fill="F5F7FA"/>
          </w:tcPr>
          <w:p>
            <w:pPr>
              <w:spacing w:after="0"/>
            </w:pPr>
            <w:r/>
            <w:r>
              <w:rPr>
                <w:rFonts w:ascii="Aptos" w:hAnsi="Aptos"/>
                <w:b w:val="0"/>
                <w:color w:val="111827"/>
                <w:sz w:val="15"/>
              </w:rPr>
              <w:t>End-to-end DICOM in → review → DICOM out works.</w:t>
            </w:r>
          </w:p>
        </w:tc>
      </w:tr>
      <w:tr>
        <w:tc>
          <w:tcPr>
            <w:tcW w:type="dxa" w:w="1584"/>
            <w:vAlign w:val="center"/>
          </w:tcPr>
          <w:p>
            <w:pPr>
              <w:spacing w:after="0"/>
            </w:pPr>
            <w:r/>
            <w:r>
              <w:rPr>
                <w:rFonts w:ascii="Aptos" w:hAnsi="Aptos"/>
                <w:b w:val="0"/>
                <w:color w:val="111827"/>
                <w:sz w:val="15"/>
              </w:rPr>
              <w:t>Phase 4 (Week 7)</w:t>
            </w:r>
          </w:p>
        </w:tc>
        <w:tc>
          <w:tcPr>
            <w:tcW w:type="dxa" w:w="2376"/>
            <w:vAlign w:val="center"/>
          </w:tcPr>
          <w:p>
            <w:pPr>
              <w:spacing w:after="0"/>
            </w:pPr>
            <w:r/>
            <w:r>
              <w:rPr>
                <w:rFonts w:ascii="Aptos" w:hAnsi="Aptos"/>
                <w:b w:val="0"/>
                <w:color w:val="111827"/>
                <w:sz w:val="15"/>
              </w:rPr>
              <w:t>Co-validation</w:t>
            </w:r>
          </w:p>
        </w:tc>
        <w:tc>
          <w:tcPr>
            <w:tcW w:type="dxa" w:w="4680"/>
            <w:vAlign w:val="center"/>
          </w:tcPr>
          <w:p>
            <w:pPr>
              <w:spacing w:after="0"/>
            </w:pPr>
            <w:r/>
            <w:r>
              <w:rPr>
                <w:rFonts w:ascii="Aptos" w:hAnsi="Aptos"/>
                <w:b w:val="0"/>
                <w:color w:val="111827"/>
                <w:sz w:val="15"/>
              </w:rPr>
              <w:t>Privacy re-scan, pixel diff, structural validation, quarantine gate.</w:t>
            </w:r>
          </w:p>
        </w:tc>
        <w:tc>
          <w:tcPr>
            <w:tcW w:type="dxa" w:w="2952"/>
            <w:vAlign w:val="center"/>
          </w:tcPr>
          <w:p>
            <w:pPr>
              <w:spacing w:after="0"/>
            </w:pPr>
            <w:r/>
            <w:r>
              <w:rPr>
                <w:rFonts w:ascii="Aptos" w:hAnsi="Aptos"/>
                <w:b w:val="0"/>
                <w:color w:val="111827"/>
                <w:sz w:val="15"/>
              </w:rPr>
              <w:t>Hard failures cannot export.</w:t>
            </w:r>
          </w:p>
        </w:tc>
      </w:tr>
      <w:tr>
        <w:tc>
          <w:tcPr>
            <w:tcW w:type="dxa" w:w="1584"/>
            <w:vAlign w:val="center"/>
            <w:shd w:fill="F5F7FA"/>
          </w:tcPr>
          <w:p>
            <w:pPr>
              <w:spacing w:after="0"/>
            </w:pPr>
            <w:r/>
            <w:r>
              <w:rPr>
                <w:rFonts w:ascii="Aptos" w:hAnsi="Aptos"/>
                <w:b w:val="0"/>
                <w:color w:val="111827"/>
                <w:sz w:val="15"/>
              </w:rPr>
              <w:t>Phase 5 (Week 8)</w:t>
            </w:r>
          </w:p>
        </w:tc>
        <w:tc>
          <w:tcPr>
            <w:tcW w:type="dxa" w:w="2376"/>
            <w:vAlign w:val="center"/>
            <w:shd w:fill="F5F7FA"/>
          </w:tcPr>
          <w:p>
            <w:pPr>
              <w:spacing w:after="0"/>
            </w:pPr>
            <w:r/>
            <w:r>
              <w:rPr>
                <w:rFonts w:ascii="Aptos" w:hAnsi="Aptos"/>
                <w:b w:val="0"/>
                <w:color w:val="111827"/>
                <w:sz w:val="15"/>
              </w:rPr>
              <w:t>Audit + certificate</w:t>
            </w:r>
          </w:p>
        </w:tc>
        <w:tc>
          <w:tcPr>
            <w:tcW w:type="dxa" w:w="4680"/>
            <w:vAlign w:val="center"/>
            <w:shd w:fill="F5F7FA"/>
          </w:tcPr>
          <w:p>
            <w:pPr>
              <w:spacing w:after="0"/>
            </w:pPr>
            <w:r/>
            <w:r>
              <w:rPr>
                <w:rFonts w:ascii="Aptos" w:hAnsi="Aptos"/>
                <w:b w:val="0"/>
                <w:color w:val="111827"/>
                <w:sz w:val="15"/>
              </w:rPr>
              <w:t>Hash/Merkle chain, certificate, operator log.</w:t>
            </w:r>
          </w:p>
        </w:tc>
        <w:tc>
          <w:tcPr>
            <w:tcW w:type="dxa" w:w="2952"/>
            <w:vAlign w:val="center"/>
            <w:shd w:fill="F5F7FA"/>
          </w:tcPr>
          <w:p>
            <w:pPr>
              <w:spacing w:after="0"/>
            </w:pPr>
            <w:r/>
            <w:r>
              <w:rPr>
                <w:rFonts w:ascii="Aptos" w:hAnsi="Aptos"/>
                <w:b w:val="0"/>
                <w:color w:val="111827"/>
                <w:sz w:val="15"/>
              </w:rPr>
              <w:t>Audit chain tamper test passes.</w:t>
            </w:r>
          </w:p>
        </w:tc>
      </w:tr>
      <w:tr>
        <w:tc>
          <w:tcPr>
            <w:tcW w:type="dxa" w:w="1584"/>
            <w:vAlign w:val="center"/>
          </w:tcPr>
          <w:p>
            <w:pPr>
              <w:spacing w:after="0"/>
            </w:pPr>
            <w:r/>
            <w:r>
              <w:rPr>
                <w:rFonts w:ascii="Aptos" w:hAnsi="Aptos"/>
                <w:b w:val="0"/>
                <w:color w:val="111827"/>
                <w:sz w:val="15"/>
              </w:rPr>
              <w:t>Phase 6 (Weeks 9–10)</w:t>
            </w:r>
          </w:p>
        </w:tc>
        <w:tc>
          <w:tcPr>
            <w:tcW w:type="dxa" w:w="2376"/>
            <w:vAlign w:val="center"/>
          </w:tcPr>
          <w:p>
            <w:pPr>
              <w:spacing w:after="0"/>
            </w:pPr>
            <w:r/>
            <w:r>
              <w:rPr>
                <w:rFonts w:ascii="Aptos" w:hAnsi="Aptos"/>
                <w:b w:val="0"/>
                <w:color w:val="111827"/>
                <w:sz w:val="15"/>
              </w:rPr>
              <w:t>Real-time/batch</w:t>
            </w:r>
          </w:p>
        </w:tc>
        <w:tc>
          <w:tcPr>
            <w:tcW w:type="dxa" w:w="4680"/>
            <w:vAlign w:val="center"/>
          </w:tcPr>
          <w:p>
            <w:pPr>
              <w:spacing w:after="0"/>
            </w:pPr>
            <w:r/>
            <w:r>
              <w:rPr>
                <w:rFonts w:ascii="Aptos" w:hAnsi="Aptos"/>
                <w:b w:val="0"/>
                <w:color w:val="111827"/>
                <w:sz w:val="15"/>
              </w:rPr>
              <w:t>Folder watcher, worker queue, parallel processing.</w:t>
            </w:r>
          </w:p>
        </w:tc>
        <w:tc>
          <w:tcPr>
            <w:tcW w:type="dxa" w:w="2952"/>
            <w:vAlign w:val="center"/>
          </w:tcPr>
          <w:p>
            <w:pPr>
              <w:spacing w:after="0"/>
            </w:pPr>
            <w:r/>
            <w:r>
              <w:rPr>
                <w:rFonts w:ascii="Aptos" w:hAnsi="Aptos"/>
                <w:b w:val="0"/>
                <w:color w:val="111827"/>
                <w:sz w:val="15"/>
              </w:rPr>
              <w:t>Stable throughput benchmark.</w:t>
            </w:r>
          </w:p>
        </w:tc>
      </w:tr>
      <w:tr>
        <w:tc>
          <w:tcPr>
            <w:tcW w:type="dxa" w:w="1584"/>
            <w:vAlign w:val="center"/>
            <w:shd w:fill="F5F7FA"/>
          </w:tcPr>
          <w:p>
            <w:pPr>
              <w:spacing w:after="0"/>
            </w:pPr>
            <w:r/>
            <w:r>
              <w:rPr>
                <w:rFonts w:ascii="Aptos" w:hAnsi="Aptos"/>
                <w:b w:val="0"/>
                <w:color w:val="111827"/>
                <w:sz w:val="15"/>
              </w:rPr>
              <w:t>Phase 7 (Weeks 11–12)</w:t>
            </w:r>
          </w:p>
        </w:tc>
        <w:tc>
          <w:tcPr>
            <w:tcW w:type="dxa" w:w="2376"/>
            <w:vAlign w:val="center"/>
            <w:shd w:fill="F5F7FA"/>
          </w:tcPr>
          <w:p>
            <w:pPr>
              <w:spacing w:after="0"/>
            </w:pPr>
            <w:r/>
            <w:r>
              <w:rPr>
                <w:rFonts w:ascii="Aptos" w:hAnsi="Aptos"/>
                <w:b w:val="0"/>
                <w:color w:val="111827"/>
                <w:sz w:val="15"/>
              </w:rPr>
              <w:t>Hardening</w:t>
            </w:r>
          </w:p>
        </w:tc>
        <w:tc>
          <w:tcPr>
            <w:tcW w:type="dxa" w:w="4680"/>
            <w:vAlign w:val="center"/>
            <w:shd w:fill="F5F7FA"/>
          </w:tcPr>
          <w:p>
            <w:pPr>
              <w:spacing w:after="0"/>
            </w:pPr>
            <w:r/>
            <w:r>
              <w:rPr>
                <w:rFonts w:ascii="Aptos" w:hAnsi="Aptos"/>
                <w:b w:val="0"/>
                <w:color w:val="111827"/>
                <w:sz w:val="15"/>
              </w:rPr>
              <w:t>Regression suite, codec/edge-case testing, packaging, security review.</w:t>
            </w:r>
          </w:p>
        </w:tc>
        <w:tc>
          <w:tcPr>
            <w:tcW w:type="dxa" w:w="2952"/>
            <w:vAlign w:val="center"/>
            <w:shd w:fill="F5F7FA"/>
          </w:tcPr>
          <w:p>
            <w:pPr>
              <w:spacing w:after="0"/>
            </w:pPr>
            <w:r/>
            <w:r>
              <w:rPr>
                <w:rFonts w:ascii="Aptos" w:hAnsi="Aptos"/>
                <w:b w:val="0"/>
                <w:color w:val="111827"/>
                <w:sz w:val="15"/>
              </w:rPr>
              <w:t>Release candidate meets documented acceptance tests.</w:t>
            </w:r>
          </w:p>
        </w:tc>
      </w:tr>
    </w:tbl>
    <w:p>
      <w:pPr>
        <w:spacing w:after="20"/>
      </w:pPr>
    </w:p>
    <w:p>
      <w:pPr>
        <w:pStyle w:val="Heading1"/>
        <w:keepNext/>
      </w:pPr>
      <w:r>
        <w:t>20. Competition / Innovation Demo Blueprint</w:t>
      </w:r>
    </w:p>
    <w:p>
      <w:pPr>
        <w:spacing w:after="120" w:line="259" w:lineRule="auto"/>
      </w:pPr>
      <w:r>
        <w:t>The most convincing demonstration is a before/after study that contains PHI in more than one layer. The demo should show that ordinary metadata cleaning is insufficient, then show VeilGuard finding and proving the residual risk.</w:t>
      </w:r>
    </w:p>
    <w:p>
      <w:pPr>
        <w:spacing w:after="40"/>
        <w:ind w:left="72" w:hanging="72"/>
      </w:pPr>
      <w:r>
        <w:rPr>
          <w:b/>
        </w:rPr>
        <w:t xml:space="preserve">1.  </w:t>
      </w:r>
      <w:r>
        <w:rPr>
          <w:b/>
        </w:rPr>
        <w:t xml:space="preserve">Step 1 — Reveal the problem. </w:t>
      </w:r>
      <w:r>
        <w:t>Open a DICOM study showing PatientName/PatientID metadata and a burned-in identifier on the image.</w:t>
      </w:r>
    </w:p>
    <w:p>
      <w:pPr>
        <w:spacing w:after="40"/>
        <w:ind w:left="72" w:hanging="72"/>
      </w:pPr>
      <w:r>
        <w:rPr>
          <w:b/>
        </w:rPr>
        <w:t xml:space="preserve">2.  </w:t>
      </w:r>
      <w:r>
        <w:rPr>
          <w:b/>
        </w:rPr>
        <w:t xml:space="preserve">Step 2 — Run baseline metadata scrub. </w:t>
      </w:r>
      <w:r>
        <w:t>Show that the tags are clean but an OCR attack still finds text in the image.</w:t>
      </w:r>
    </w:p>
    <w:p>
      <w:pPr>
        <w:spacing w:after="40"/>
        <w:ind w:left="72" w:hanging="72"/>
      </w:pPr>
      <w:r>
        <w:rPr>
          <w:b/>
        </w:rPr>
        <w:t xml:space="preserve">3.  </w:t>
      </w:r>
      <w:r>
        <w:rPr>
          <w:b/>
        </w:rPr>
        <w:t xml:space="preserve">Step 3 — Run VeilGuard. </w:t>
      </w:r>
      <w:r>
        <w:t>Display detected metadata PHI, pixel PHI, barcode detections, and confidence evidence.</w:t>
      </w:r>
    </w:p>
    <w:p>
      <w:pPr>
        <w:spacing w:after="40"/>
        <w:ind w:left="72" w:hanging="72"/>
      </w:pPr>
      <w:r>
        <w:rPr>
          <w:b/>
        </w:rPr>
        <w:t xml:space="preserve">4.  </w:t>
      </w:r>
      <w:r>
        <w:rPr>
          <w:b/>
        </w:rPr>
        <w:t xml:space="preserve">Step 4 — Show context. </w:t>
      </w:r>
      <w:r>
        <w:t>Demonstrate that L/R orientation, scale and technical annotations were preserved while identity text was targeted.</w:t>
      </w:r>
    </w:p>
    <w:p>
      <w:pPr>
        <w:spacing w:after="40"/>
        <w:ind w:left="72" w:hanging="72"/>
      </w:pPr>
      <w:r>
        <w:rPr>
          <w:b/>
        </w:rPr>
        <w:t xml:space="preserve">5.  </w:t>
      </w:r>
      <w:r>
        <w:rPr>
          <w:b/>
        </w:rPr>
        <w:t xml:space="preserve">Step 5 — Human review. </w:t>
      </w:r>
      <w:r>
        <w:t>Open one deliberately ambiguous case and approve/edit a mask.</w:t>
      </w:r>
    </w:p>
    <w:p>
      <w:pPr>
        <w:spacing w:after="40"/>
        <w:ind w:left="72" w:hanging="72"/>
      </w:pPr>
      <w:r>
        <w:rPr>
          <w:b/>
        </w:rPr>
        <w:t xml:space="preserve">6.  </w:t>
      </w:r>
      <w:r>
        <w:rPr>
          <w:b/>
        </w:rPr>
        <w:t xml:space="preserve">Step 6 — Independent validation. </w:t>
      </w:r>
      <w:r>
        <w:t>Show Privacy Truth, Pixel/Integrity Truth, and DICOM Truth all passing.</w:t>
      </w:r>
    </w:p>
    <w:p>
      <w:pPr>
        <w:spacing w:after="40"/>
        <w:ind w:left="72" w:hanging="72"/>
      </w:pPr>
      <w:r>
        <w:rPr>
          <w:b/>
        </w:rPr>
        <w:t xml:space="preserve">7.  </w:t>
      </w:r>
      <w:r>
        <w:rPr>
          <w:b/>
        </w:rPr>
        <w:t xml:space="preserve">Step 7 — Attack the output. </w:t>
      </w:r>
      <w:r>
        <w:t>Run OCR, private-tag enumeration, barcode decoding, and free-text scanning against the released file.</w:t>
      </w:r>
    </w:p>
    <w:p>
      <w:pPr>
        <w:spacing w:after="40"/>
        <w:ind w:left="72" w:hanging="72"/>
      </w:pPr>
      <w:r>
        <w:rPr>
          <w:b/>
        </w:rPr>
        <w:t xml:space="preserve">8.  </w:t>
      </w:r>
      <w:r>
        <w:rPr>
          <w:b/>
        </w:rPr>
        <w:t xml:space="preserve">Step 8 — Show the certificate. </w:t>
      </w:r>
      <w:r>
        <w:t>Open the PHI-minimized audit report with input/output hashes, policy ID, validation results, and reviewer actions.</w:t>
      </w:r>
    </w:p>
    <w:p>
      <w:pPr>
        <w:pStyle w:val="Heading2"/>
        <w:keepNext/>
      </w:pPr>
      <w:r>
        <w:t>20.1 Suggested live dashboard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Panel</w:t>
            </w:r>
          </w:p>
        </w:tc>
        <w:tc>
          <w:tcPr>
            <w:tcW w:type="dxa" w:w="763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Display</w:t>
            </w:r>
          </w:p>
        </w:tc>
      </w:tr>
      <w:tr>
        <w:tc>
          <w:tcPr>
            <w:tcW w:type="dxa" w:w="2160"/>
            <w:vAlign w:val="center"/>
          </w:tcPr>
          <w:p>
            <w:pPr>
              <w:spacing w:after="0"/>
            </w:pPr>
            <w:r/>
            <w:r>
              <w:rPr>
                <w:rFonts w:ascii="Aptos" w:hAnsi="Aptos"/>
                <w:b w:val="0"/>
                <w:color w:val="111827"/>
                <w:sz w:val="17"/>
              </w:rPr>
              <w:t>Privacy</w:t>
            </w:r>
          </w:p>
        </w:tc>
        <w:tc>
          <w:tcPr>
            <w:tcW w:type="dxa" w:w="7632"/>
            <w:vAlign w:val="center"/>
          </w:tcPr>
          <w:p>
            <w:pPr>
              <w:spacing w:after="0"/>
            </w:pPr>
            <w:r/>
            <w:r>
              <w:rPr>
                <w:rFonts w:ascii="Aptos" w:hAnsi="Aptos"/>
                <w:b w:val="0"/>
                <w:color w:val="111827"/>
                <w:sz w:val="17"/>
              </w:rPr>
              <w:t>Metadata PHI: 0 • Pixel PHI: 0 • Barcode: 0 • Private PHI: 0</w:t>
            </w:r>
          </w:p>
        </w:tc>
      </w:tr>
      <w:tr>
        <w:tc>
          <w:tcPr>
            <w:tcW w:type="dxa" w:w="2160"/>
            <w:vAlign w:val="center"/>
            <w:shd w:fill="F5F7FA"/>
          </w:tcPr>
          <w:p>
            <w:pPr>
              <w:spacing w:after="0"/>
            </w:pPr>
            <w:r/>
            <w:r>
              <w:rPr>
                <w:rFonts w:ascii="Aptos" w:hAnsi="Aptos"/>
                <w:b w:val="0"/>
                <w:color w:val="111827"/>
                <w:sz w:val="17"/>
              </w:rPr>
              <w:t>Integrity</w:t>
            </w:r>
          </w:p>
        </w:tc>
        <w:tc>
          <w:tcPr>
            <w:tcW w:type="dxa" w:w="7632"/>
            <w:vAlign w:val="center"/>
            <w:shd w:fill="F5F7FA"/>
          </w:tcPr>
          <w:p>
            <w:pPr>
              <w:spacing w:after="0"/>
            </w:pPr>
            <w:r/>
            <w:r>
              <w:rPr>
                <w:rFonts w:ascii="Aptos" w:hAnsi="Aptos"/>
                <w:b w:val="0"/>
                <w:color w:val="111827"/>
                <w:sz w:val="17"/>
              </w:rPr>
              <w:t>Changed pixels: contained • Bit depth: preserved • UID closure: pass</w:t>
            </w:r>
          </w:p>
        </w:tc>
      </w:tr>
      <w:tr>
        <w:tc>
          <w:tcPr>
            <w:tcW w:type="dxa" w:w="2160"/>
            <w:vAlign w:val="center"/>
          </w:tcPr>
          <w:p>
            <w:pPr>
              <w:spacing w:after="0"/>
            </w:pPr>
            <w:r/>
            <w:r>
              <w:rPr>
                <w:rFonts w:ascii="Aptos" w:hAnsi="Aptos"/>
                <w:b w:val="0"/>
                <w:color w:val="111827"/>
                <w:sz w:val="17"/>
              </w:rPr>
              <w:t>Operations</w:t>
            </w:r>
          </w:p>
        </w:tc>
        <w:tc>
          <w:tcPr>
            <w:tcW w:type="dxa" w:w="7632"/>
            <w:vAlign w:val="center"/>
          </w:tcPr>
          <w:p>
            <w:pPr>
              <w:spacing w:after="0"/>
            </w:pPr>
            <w:r/>
            <w:r>
              <w:rPr>
                <w:rFonts w:ascii="Aptos" w:hAnsi="Aptos"/>
                <w:b w:val="0"/>
                <w:color w:val="111827"/>
                <w:sz w:val="17"/>
              </w:rPr>
              <w:t>Studies processed • Auto-approved • Review queue • Quarantined</w:t>
            </w:r>
          </w:p>
        </w:tc>
      </w:tr>
      <w:tr>
        <w:tc>
          <w:tcPr>
            <w:tcW w:type="dxa" w:w="2160"/>
            <w:vAlign w:val="center"/>
            <w:shd w:fill="F5F7FA"/>
          </w:tcPr>
          <w:p>
            <w:pPr>
              <w:spacing w:after="0"/>
            </w:pPr>
            <w:r/>
            <w:r>
              <w:rPr>
                <w:rFonts w:ascii="Aptos" w:hAnsi="Aptos"/>
                <w:b w:val="0"/>
                <w:color w:val="111827"/>
                <w:sz w:val="17"/>
              </w:rPr>
              <w:t>Explainability</w:t>
            </w:r>
          </w:p>
        </w:tc>
        <w:tc>
          <w:tcPr>
            <w:tcW w:type="dxa" w:w="7632"/>
            <w:vAlign w:val="center"/>
            <w:shd w:fill="F5F7FA"/>
          </w:tcPr>
          <w:p>
            <w:pPr>
              <w:spacing w:after="0"/>
            </w:pPr>
            <w:r/>
            <w:r>
              <w:rPr>
                <w:rFonts w:ascii="Aptos" w:hAnsi="Aptos"/>
                <w:b w:val="0"/>
                <w:color w:val="111827"/>
                <w:sz w:val="17"/>
              </w:rPr>
              <w:t>Detection source • confidence • policy action • reviewer decision</w:t>
            </w:r>
          </w:p>
        </w:tc>
      </w:tr>
      <w:tr>
        <w:tc>
          <w:tcPr>
            <w:tcW w:type="dxa" w:w="2160"/>
            <w:vAlign w:val="center"/>
          </w:tcPr>
          <w:p>
            <w:pPr>
              <w:spacing w:after="0"/>
            </w:pPr>
            <w:r/>
            <w:r>
              <w:rPr>
                <w:rFonts w:ascii="Aptos" w:hAnsi="Aptos"/>
                <w:b w:val="0"/>
                <w:color w:val="111827"/>
                <w:sz w:val="17"/>
              </w:rPr>
              <w:t>Audit</w:t>
            </w:r>
          </w:p>
        </w:tc>
        <w:tc>
          <w:tcPr>
            <w:tcW w:type="dxa" w:w="7632"/>
            <w:vAlign w:val="center"/>
          </w:tcPr>
          <w:p>
            <w:pPr>
              <w:spacing w:after="0"/>
            </w:pPr>
            <w:r/>
            <w:r>
              <w:rPr>
                <w:rFonts w:ascii="Aptos" w:hAnsi="Aptos"/>
                <w:b w:val="0"/>
                <w:color w:val="111827"/>
                <w:sz w:val="17"/>
              </w:rPr>
              <w:t>Input hash • output hash • policy version • audit-chain status</w:t>
            </w:r>
          </w:p>
        </w:tc>
      </w:tr>
    </w:tbl>
    <w:p>
      <w:pPr>
        <w:spacing w:after="20"/>
      </w:pPr>
    </w:p>
    <w:p>
      <w:pPr>
        <w:pStyle w:val="Heading1"/>
        <w:keepNext/>
      </w:pPr>
      <w:r>
        <w:t>21. Advanced Extensions &amp; Research Opportunities</w:t>
      </w:r>
    </w:p>
    <w:p>
      <w:pPr>
        <w:pStyle w:val="ListBullet"/>
        <w:spacing w:after="40"/>
        <w:ind w:left="288"/>
      </w:pPr>
      <w:r>
        <w:rPr>
          <w:b/>
        </w:rPr>
        <w:t xml:space="preserve">Federated model improvement: </w:t>
      </w:r>
      <w:r>
        <w:t>Train text/PHI detectors across institutions without centralizing raw images, using federated learning where governance permits.</w:t>
      </w:r>
    </w:p>
    <w:p>
      <w:pPr>
        <w:pStyle w:val="ListBullet"/>
        <w:spacing w:after="40"/>
        <w:ind w:left="288"/>
      </w:pPr>
      <w:r>
        <w:rPr>
          <w:b/>
        </w:rPr>
        <w:t xml:space="preserve">Active learning loop: </w:t>
      </w:r>
      <w:r>
        <w:t>Use reviewer edits as labeled examples to improve the detector on site-specific overlay patterns.</w:t>
      </w:r>
    </w:p>
    <w:p>
      <w:pPr>
        <w:pStyle w:val="ListBullet"/>
        <w:spacing w:after="40"/>
        <w:ind w:left="288"/>
      </w:pPr>
      <w:r>
        <w:rPr>
          <w:b/>
        </w:rPr>
        <w:t xml:space="preserve">Policy-aware redaction templates: </w:t>
      </w:r>
      <w:r>
        <w:t>Institution-specific overlays, private creators, date rules, and research cohort requirements can be versioned as policy packs.</w:t>
      </w:r>
    </w:p>
    <w:p>
      <w:pPr>
        <w:pStyle w:val="ListBullet"/>
        <w:spacing w:after="40"/>
        <w:ind w:left="288"/>
      </w:pPr>
      <w:r>
        <w:rPr>
          <w:b/>
        </w:rPr>
        <w:t xml:space="preserve">Dataset-level uniqueness analysis: </w:t>
      </w:r>
      <w:r>
        <w:t>Flag unusual combinations of age, dates, institution, rare procedure, and other quasi-identifiers for expert review.</w:t>
      </w:r>
    </w:p>
    <w:p>
      <w:pPr>
        <w:pStyle w:val="ListBullet"/>
        <w:spacing w:after="40"/>
        <w:ind w:left="288"/>
      </w:pPr>
      <w:r>
        <w:rPr>
          <w:b/>
        </w:rPr>
        <w:t xml:space="preserve">Secure enclaves: </w:t>
      </w:r>
      <w:r>
        <w:t>Run the re-identification key service in an isolated host while keeping the research dataset irreversible.</w:t>
      </w:r>
    </w:p>
    <w:p>
      <w:pPr>
        <w:pStyle w:val="ListBullet"/>
        <w:spacing w:after="40"/>
        <w:ind w:left="288"/>
      </w:pPr>
      <w:r>
        <w:rPr>
          <w:b/>
        </w:rPr>
        <w:t xml:space="preserve">External validation harness: </w:t>
      </w:r>
      <w:r>
        <w:t>Benchmark the same anonymized cohort with independent DICOM parsers and OCR stacks to reduce single-tool blind spots.</w:t>
      </w:r>
    </w:p>
    <w:p>
      <w:pPr>
        <w:pStyle w:val="Heading2"/>
        <w:keepNext/>
      </w:pPr>
      <w:r>
        <w:t>21.1 Main technical risks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Risk</w:t>
            </w:r>
          </w:p>
        </w:tc>
        <w:tc>
          <w:tcPr>
            <w:tcW w:type="dxa" w:w="705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Mitigation</w:t>
            </w:r>
          </w:p>
        </w:tc>
      </w:tr>
      <w:tr>
        <w:tc>
          <w:tcPr>
            <w:tcW w:type="dxa" w:w="3168"/>
            <w:vAlign w:val="center"/>
          </w:tcPr>
          <w:p>
            <w:pPr>
              <w:spacing w:after="0"/>
            </w:pPr>
            <w:r/>
            <w:r>
              <w:rPr>
                <w:rFonts w:ascii="Aptos" w:hAnsi="Aptos"/>
                <w:b w:val="0"/>
                <w:color w:val="111827"/>
                <w:sz w:val="16"/>
              </w:rPr>
              <w:t>OCR false negatives</w:t>
            </w:r>
          </w:p>
        </w:tc>
        <w:tc>
          <w:tcPr>
            <w:tcW w:type="dxa" w:w="7056"/>
            <w:vAlign w:val="center"/>
          </w:tcPr>
          <w:p>
            <w:pPr>
              <w:spacing w:after="0"/>
            </w:pPr>
            <w:r/>
            <w:r>
              <w:rPr>
                <w:rFonts w:ascii="Aptos" w:hAnsi="Aptos"/>
                <w:b w:val="0"/>
                <w:color w:val="111827"/>
                <w:sz w:val="16"/>
              </w:rPr>
              <w:t>Multi-engine detection, metadata cross-correlation, modality-specific routing, human review.</w:t>
            </w:r>
          </w:p>
        </w:tc>
      </w:tr>
      <w:tr>
        <w:tc>
          <w:tcPr>
            <w:tcW w:type="dxa" w:w="3168"/>
            <w:vAlign w:val="center"/>
            <w:shd w:fill="F5F7FA"/>
          </w:tcPr>
          <w:p>
            <w:pPr>
              <w:spacing w:after="0"/>
            </w:pPr>
            <w:r/>
            <w:r>
              <w:rPr>
                <w:rFonts w:ascii="Aptos" w:hAnsi="Aptos"/>
                <w:b w:val="0"/>
                <w:color w:val="111827"/>
                <w:sz w:val="16"/>
              </w:rPr>
              <w:t>OCR false positives</w:t>
            </w:r>
          </w:p>
        </w:tc>
        <w:tc>
          <w:tcPr>
            <w:tcW w:type="dxa" w:w="7056"/>
            <w:vAlign w:val="center"/>
            <w:shd w:fill="F5F7FA"/>
          </w:tcPr>
          <w:p>
            <w:pPr>
              <w:spacing w:after="0"/>
            </w:pPr>
            <w:r/>
            <w:r>
              <w:rPr>
                <w:rFonts w:ascii="Aptos" w:hAnsi="Aptos"/>
                <w:b w:val="0"/>
                <w:color w:val="111827"/>
                <w:sz w:val="16"/>
              </w:rPr>
              <w:t>Context sieve and preservation rules for clinical markers.</w:t>
            </w:r>
          </w:p>
        </w:tc>
      </w:tr>
      <w:tr>
        <w:tc>
          <w:tcPr>
            <w:tcW w:type="dxa" w:w="3168"/>
            <w:vAlign w:val="center"/>
          </w:tcPr>
          <w:p>
            <w:pPr>
              <w:spacing w:after="0"/>
            </w:pPr>
            <w:r/>
            <w:r>
              <w:rPr>
                <w:rFonts w:ascii="Aptos" w:hAnsi="Aptos"/>
                <w:b w:val="0"/>
                <w:color w:val="111827"/>
                <w:sz w:val="16"/>
              </w:rPr>
              <w:t>Over-redaction</w:t>
            </w:r>
          </w:p>
        </w:tc>
        <w:tc>
          <w:tcPr>
            <w:tcW w:type="dxa" w:w="7056"/>
            <w:vAlign w:val="center"/>
          </w:tcPr>
          <w:p>
            <w:pPr>
              <w:spacing w:after="0"/>
            </w:pPr>
            <w:r/>
            <w:r>
              <w:rPr>
                <w:rFonts w:ascii="Aptos" w:hAnsi="Aptos"/>
                <w:b w:val="0"/>
                <w:color w:val="111827"/>
                <w:sz w:val="16"/>
              </w:rPr>
              <w:t>Diagnostic overlap scoring + changed-pixel containment.</w:t>
            </w:r>
          </w:p>
        </w:tc>
      </w:tr>
      <w:tr>
        <w:tc>
          <w:tcPr>
            <w:tcW w:type="dxa" w:w="3168"/>
            <w:vAlign w:val="center"/>
            <w:shd w:fill="F5F7FA"/>
          </w:tcPr>
          <w:p>
            <w:pPr>
              <w:spacing w:after="0"/>
            </w:pPr>
            <w:r/>
            <w:r>
              <w:rPr>
                <w:rFonts w:ascii="Aptos" w:hAnsi="Aptos"/>
                <w:b w:val="0"/>
                <w:color w:val="111827"/>
                <w:sz w:val="16"/>
              </w:rPr>
              <w:t>Under-redaction</w:t>
            </w:r>
          </w:p>
        </w:tc>
        <w:tc>
          <w:tcPr>
            <w:tcW w:type="dxa" w:w="7056"/>
            <w:vAlign w:val="center"/>
            <w:shd w:fill="F5F7FA"/>
          </w:tcPr>
          <w:p>
            <w:pPr>
              <w:spacing w:after="0"/>
            </w:pPr>
            <w:r/>
            <w:r>
              <w:rPr>
                <w:rFonts w:ascii="Aptos" w:hAnsi="Aptos"/>
                <w:b w:val="0"/>
                <w:color w:val="111827"/>
                <w:sz w:val="16"/>
              </w:rPr>
              <w:t>Post-transform independent attack scan.</w:t>
            </w:r>
          </w:p>
        </w:tc>
      </w:tr>
      <w:tr>
        <w:tc>
          <w:tcPr>
            <w:tcW w:type="dxa" w:w="3168"/>
            <w:vAlign w:val="center"/>
          </w:tcPr>
          <w:p>
            <w:pPr>
              <w:spacing w:after="0"/>
            </w:pPr>
            <w:r/>
            <w:r>
              <w:rPr>
                <w:rFonts w:ascii="Aptos" w:hAnsi="Aptos"/>
                <w:b w:val="0"/>
                <w:color w:val="111827"/>
                <w:sz w:val="16"/>
              </w:rPr>
              <w:t>Vendor-specific DICOM variation</w:t>
            </w:r>
          </w:p>
        </w:tc>
        <w:tc>
          <w:tcPr>
            <w:tcW w:type="dxa" w:w="7056"/>
            <w:vAlign w:val="center"/>
          </w:tcPr>
          <w:p>
            <w:pPr>
              <w:spacing w:after="0"/>
            </w:pPr>
            <w:r/>
            <w:r>
              <w:rPr>
                <w:rFonts w:ascii="Aptos" w:hAnsi="Aptos"/>
                <w:b w:val="0"/>
                <w:color w:val="111827"/>
                <w:sz w:val="16"/>
              </w:rPr>
              <w:t>Strict quarantine/allowlist model + growing vendor test corpus.</w:t>
            </w:r>
          </w:p>
        </w:tc>
      </w:tr>
      <w:tr>
        <w:tc>
          <w:tcPr>
            <w:tcW w:type="dxa" w:w="3168"/>
            <w:vAlign w:val="center"/>
            <w:shd w:fill="F5F7FA"/>
          </w:tcPr>
          <w:p>
            <w:pPr>
              <w:spacing w:after="0"/>
            </w:pPr>
            <w:r/>
            <w:r>
              <w:rPr>
                <w:rFonts w:ascii="Aptos" w:hAnsi="Aptos"/>
                <w:b w:val="0"/>
                <w:color w:val="111827"/>
                <w:sz w:val="16"/>
              </w:rPr>
              <w:t>Performance on large cohorts</w:t>
            </w:r>
          </w:p>
        </w:tc>
        <w:tc>
          <w:tcPr>
            <w:tcW w:type="dxa" w:w="7056"/>
            <w:vAlign w:val="center"/>
            <w:shd w:fill="F5F7FA"/>
          </w:tcPr>
          <w:p>
            <w:pPr>
              <w:spacing w:after="0"/>
            </w:pPr>
            <w:r/>
            <w:r>
              <w:rPr>
                <w:rFonts w:ascii="Aptos" w:hAnsi="Aptos"/>
                <w:b w:val="0"/>
                <w:color w:val="111827"/>
                <w:sz w:val="16"/>
              </w:rPr>
              <w:t>Risk-adaptive pixel scanning, temporal caching, worker pool, native codecs.</w:t>
            </w:r>
          </w:p>
        </w:tc>
      </w:tr>
      <w:tr>
        <w:tc>
          <w:tcPr>
            <w:tcW w:type="dxa" w:w="3168"/>
            <w:vAlign w:val="center"/>
          </w:tcPr>
          <w:p>
            <w:pPr>
              <w:spacing w:after="0"/>
            </w:pPr>
            <w:r/>
            <w:r>
              <w:rPr>
                <w:rFonts w:ascii="Aptos" w:hAnsi="Aptos"/>
                <w:b w:val="0"/>
                <w:color w:val="111827"/>
                <w:sz w:val="16"/>
              </w:rPr>
              <w:t>Key compromise</w:t>
            </w:r>
          </w:p>
        </w:tc>
        <w:tc>
          <w:tcPr>
            <w:tcW w:type="dxa" w:w="7056"/>
            <w:vAlign w:val="center"/>
          </w:tcPr>
          <w:p>
            <w:pPr>
              <w:spacing w:after="0"/>
            </w:pPr>
            <w:r/>
            <w:r>
              <w:rPr>
                <w:rFonts w:ascii="Aptos" w:hAnsi="Aptos"/>
                <w:b w:val="0"/>
                <w:color w:val="111827"/>
                <w:sz w:val="16"/>
              </w:rPr>
              <w:t>HSM/secure enclave, separate key purposes, rotation and access audit.</w:t>
            </w:r>
          </w:p>
        </w:tc>
      </w:tr>
      <w:tr>
        <w:tc>
          <w:tcPr>
            <w:tcW w:type="dxa" w:w="3168"/>
            <w:vAlign w:val="center"/>
            <w:shd w:fill="F5F7FA"/>
          </w:tcPr>
          <w:p>
            <w:pPr>
              <w:spacing w:after="0"/>
            </w:pPr>
            <w:r/>
            <w:r>
              <w:rPr>
                <w:rFonts w:ascii="Aptos" w:hAnsi="Aptos"/>
                <w:b w:val="0"/>
                <w:color w:val="111827"/>
                <w:sz w:val="16"/>
              </w:rPr>
              <w:t>Reviewer inconsistency</w:t>
            </w:r>
          </w:p>
        </w:tc>
        <w:tc>
          <w:tcPr>
            <w:tcW w:type="dxa" w:w="7056"/>
            <w:vAlign w:val="center"/>
            <w:shd w:fill="F5F7FA"/>
          </w:tcPr>
          <w:p>
            <w:pPr>
              <w:spacing w:after="0"/>
            </w:pPr>
            <w:r/>
            <w:r>
              <w:rPr>
                <w:rFonts w:ascii="Aptos" w:hAnsi="Aptos"/>
                <w:b w:val="0"/>
                <w:color w:val="111827"/>
                <w:sz w:val="16"/>
              </w:rPr>
              <w:t>Decision guidelines, evidence panel, reason codes, and periodic adjudication.</w:t>
            </w:r>
          </w:p>
        </w:tc>
      </w:tr>
    </w:tbl>
    <w:p>
      <w:pPr>
        <w:spacing w:after="20"/>
      </w:pPr>
    </w:p>
    <w:p>
      <w:pPr>
        <w:pStyle w:val="Heading1"/>
        <w:keepNext/>
      </w:pPr>
      <w:r>
        <w:t>22. Final Architecture Statement</w:t>
      </w:r>
    </w:p>
    <w:tbl>
      <w:tblPr>
        <w:tblW w:type="auto" w:w="0"/>
        <w:jc w:val="center"/>
        <w:tblLook w:firstColumn="1" w:firstRow="1" w:lastColumn="0" w:lastRow="0" w:noHBand="0" w:noVBand="1" w:val="04A0"/>
      </w:tblPr>
      <w:tblGrid>
        <w:gridCol w:w="10080"/>
      </w:tblGrid>
      <w:tr>
        <w:tc>
          <w:tcPr>
            <w:tcW w:type="dxa" w:w="10080"/>
            <w:shd w:fill="EAF4EE"/>
            <w:tcBorders>
              <w:top w:val="single" w:sz="8" w:color="4B7A65"/>
              <w:left w:val="single" w:sz="8" w:color="4B7A65"/>
              <w:bottom w:val="single" w:sz="8" w:color="4B7A65"/>
              <w:right w:val="single" w:sz="8" w:color="4B7A65"/>
            </w:tcBorders>
          </w:tcPr>
          <w:p>
            <w:pPr>
              <w:spacing w:after="40"/>
            </w:pPr>
            <w:r/>
            <w:r>
              <w:rPr>
                <w:rFonts w:ascii="Aptos Display" w:hAnsi="Aptos Display"/>
                <w:b/>
                <w:color w:val="4B7A65"/>
                <w:sz w:val="20"/>
              </w:rPr>
              <w:t>SentinelDICOM VeilGuard</w:t>
            </w:r>
          </w:p>
          <w:p>
            <w:pPr>
              <w:spacing w:after="60"/>
            </w:pPr>
            <w:r>
              <w:rPr>
                <w:rFonts w:ascii="Aptos" w:hAnsi="Aptos"/>
                <w:color w:val="243447"/>
                <w:sz w:val="18"/>
              </w:rPr>
              <w:t>A privacy-first DICOM release platform that discovers identity across metadata, embedded structures, pixels and machine-readable overlays; transforms only what the active policy requires; preserves study relationships and clinical signal; sends uncertainty to a human; and proves the final output through independent privacy and integrity validation.</w:t>
            </w:r>
          </w:p>
        </w:tc>
      </w:tr>
    </w:tbl>
    <w:p>
      <w:pPr>
        <w:spacing w:after="40"/>
      </w:pPr>
    </w:p>
    <w:p>
      <w:pPr>
        <w:spacing w:after="120" w:line="259" w:lineRule="auto"/>
      </w:pPr>
      <w:r>
        <w:t>The strongest originality of the merged idea is therefore not a specific OCR model or a specific redaction algorithm. It is the architecture around them: a dual-plane de-identification engine governed by a fail-safe decision system and an independent three-truth release gate.</w:t>
      </w:r>
    </w:p>
    <w:p>
      <w:pPr>
        <w:pStyle w:val="Heading2"/>
        <w:keepNext/>
      </w:pPr>
      <w:r>
        <w:t>22.1 One-line pitch</w:t>
      </w:r>
    </w:p>
    <w:p>
      <w:pPr>
        <w:spacing w:after="120" w:line="259" w:lineRule="auto"/>
      </w:pPr>
      <w:r>
        <w:t>“We do not just anonymize the DICOM—we challenge the output, verify the image, preserve the clinical structure, and refuse to release what we cannot prove is safe.”</w:t>
      </w:r>
    </w:p>
    <w:p>
      <w:pPr>
        <w:pStyle w:val="Heading1"/>
        <w:keepNext/>
      </w:pPr>
      <w:r>
        <w:t>Appendix A — Recommended Policy Skeleton</w:t>
      </w:r>
    </w:p>
    <w:tbl>
      <w:tblPr>
        <w:tblW w:type="auto" w:w="0"/>
        <w:tblLook w:firstColumn="1" w:firstRow="1" w:lastColumn="0" w:lastRow="0" w:noHBand="0" w:noVBand="1" w:val="04A0"/>
      </w:tblPr>
      <w:tblGrid>
        <w:gridCol w:w="10080"/>
      </w:tblGrid>
      <w:t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policy:</w:t>
              <w:br/>
            </w:r>
            <w:r>
              <w:rPr>
                <w:rFonts w:ascii="Consolas" w:hAnsi="Consolas"/>
                <w:color w:val="1F2937"/>
                <w:sz w:val="16"/>
              </w:rPr>
              <w:t xml:space="preserve">  id: strict_research_v1</w:t>
              <w:br/>
            </w:r>
            <w:r>
              <w:rPr>
                <w:rFonts w:ascii="Consolas" w:hAnsi="Consolas"/>
                <w:color w:val="1F2937"/>
                <w:sz w:val="16"/>
              </w:rPr>
              <w:t xml:space="preserve">  metadata:</w:t>
              <w:br/>
            </w:r>
            <w:r>
              <w:rPr>
                <w:rFonts w:ascii="Consolas" w:hAnsi="Consolas"/>
                <w:color w:val="1F2937"/>
                <w:sz w:val="16"/>
              </w:rPr>
              <w:t xml:space="preserve">    default_unknown_public: REVIEW</w:t>
              <w:br/>
            </w:r>
            <w:r>
              <w:rPr>
                <w:rFonts w:ascii="Consolas" w:hAnsi="Consolas"/>
                <w:color w:val="1F2937"/>
                <w:sz w:val="16"/>
              </w:rPr>
              <w:t xml:space="preserve">    default_private: REMOVE</w:t>
              <w:br/>
            </w:r>
            <w:r>
              <w:rPr>
                <w:rFonts w:ascii="Consolas" w:hAnsi="Consolas"/>
                <w:color w:val="1F2937"/>
                <w:sz w:val="16"/>
              </w:rPr>
              <w:t xml:space="preserve">    patient_identity: REMOVE</w:t>
              <w:br/>
            </w:r>
            <w:r>
              <w:rPr>
                <w:rFonts w:ascii="Consolas" w:hAnsi="Consolas"/>
                <w:color w:val="1F2937"/>
                <w:sz w:val="16"/>
              </w:rPr>
              <w:t xml:space="preserve">    patient_id: PSEUDONYMIZE</w:t>
              <w:br/>
            </w:r>
            <w:r>
              <w:rPr>
                <w:rFonts w:ascii="Consolas" w:hAnsi="Consolas"/>
                <w:color w:val="1F2937"/>
                <w:sz w:val="16"/>
              </w:rPr>
              <w:t xml:space="preserve">    dates: PATIENT_CONSISTENT_SHIFT</w:t>
              <w:br/>
            </w:r>
            <w:r>
              <w:rPr>
                <w:rFonts w:ascii="Consolas" w:hAnsi="Consolas"/>
                <w:color w:val="1F2937"/>
                <w:sz w:val="16"/>
              </w:rPr>
              <w:t xml:space="preserve">  uids:</w:t>
              <w:br/>
            </w:r>
            <w:r>
              <w:rPr>
                <w:rFonts w:ascii="Consolas" w:hAnsi="Consolas"/>
                <w:color w:val="1F2937"/>
                <w:sz w:val="16"/>
              </w:rPr>
              <w:t xml:space="preserve">    mode: HMAC_PSEUDONYM</w:t>
              <w:br/>
            </w:r>
            <w:r>
              <w:rPr>
                <w:rFonts w:ascii="Consolas" w:hAnsi="Consolas"/>
                <w:color w:val="1F2937"/>
                <w:sz w:val="16"/>
              </w:rPr>
              <w:t xml:space="preserve">    scope: STUDY_AND_COHORT</w:t>
              <w:br/>
            </w:r>
            <w:r>
              <w:rPr>
                <w:rFonts w:ascii="Consolas" w:hAnsi="Consolas"/>
                <w:color w:val="1F2937"/>
                <w:sz w:val="16"/>
              </w:rPr>
              <w:t xml:space="preserve">    preserve_reference_closure: true</w:t>
              <w:br/>
            </w:r>
            <w:r>
              <w:rPr>
                <w:rFonts w:ascii="Consolas" w:hAnsi="Consolas"/>
                <w:color w:val="1F2937"/>
                <w:sz w:val="16"/>
              </w:rPr>
              <w:t xml:space="preserve">  pixel:</w:t>
              <w:br/>
            </w:r>
            <w:r>
              <w:rPr>
                <w:rFonts w:ascii="Consolas" w:hAnsi="Consolas"/>
                <w:color w:val="1F2937"/>
                <w:sz w:val="16"/>
              </w:rPr>
              <w:t xml:space="preserve">    modality_routing: true</w:t>
              <w:br/>
            </w:r>
            <w:r>
              <w:rPr>
                <w:rFonts w:ascii="Consolas" w:hAnsi="Consolas"/>
                <w:color w:val="1F2937"/>
                <w:sz w:val="16"/>
              </w:rPr>
              <w:t xml:space="preserve">    ocr: true</w:t>
              <w:br/>
            </w:r>
            <w:r>
              <w:rPr>
                <w:rFonts w:ascii="Consolas" w:hAnsi="Consolas"/>
                <w:color w:val="1F2937"/>
                <w:sz w:val="16"/>
              </w:rPr>
              <w:t xml:space="preserve">    barcode_qr: true</w:t>
              <w:br/>
            </w:r>
            <w:r>
              <w:rPr>
                <w:rFonts w:ascii="Consolas" w:hAnsi="Consolas"/>
                <w:color w:val="1F2937"/>
                <w:sz w:val="16"/>
              </w:rPr>
              <w:t xml:space="preserve">    metadata_pixel_correlation: true</w:t>
              <w:br/>
            </w:r>
            <w:r>
              <w:rPr>
                <w:rFonts w:ascii="Consolas" w:hAnsi="Consolas"/>
                <w:color w:val="1F2937"/>
                <w:sz w:val="16"/>
              </w:rPr>
              <w:t xml:space="preserve">    diagnostic_overlap_review: true</w:t>
              <w:br/>
            </w:r>
            <w:r>
              <w:rPr>
                <w:rFonts w:ascii="Consolas" w:hAnsi="Consolas"/>
                <w:color w:val="1F2937"/>
                <w:sz w:val="16"/>
              </w:rPr>
              <w:t xml:space="preserve">    generative_inpainting: false</w:t>
              <w:br/>
            </w:r>
            <w:r>
              <w:rPr>
                <w:rFonts w:ascii="Consolas" w:hAnsi="Consolas"/>
                <w:color w:val="1F2937"/>
                <w:sz w:val="16"/>
              </w:rPr>
              <w:t xml:space="preserve">  validation:</w:t>
              <w:br/>
            </w:r>
            <w:r>
              <w:rPr>
                <w:rFonts w:ascii="Consolas" w:hAnsi="Consolas"/>
                <w:color w:val="1F2937"/>
                <w:sz w:val="16"/>
              </w:rPr>
              <w:t xml:space="preserve">    rescan_phi: true</w:t>
              <w:br/>
            </w:r>
            <w:r>
              <w:rPr>
                <w:rFonts w:ascii="Consolas" w:hAnsi="Consolas"/>
                <w:color w:val="1F2937"/>
                <w:sz w:val="16"/>
              </w:rPr>
              <w:t xml:space="preserve">    validate_dicom: true</w:t>
              <w:br/>
            </w:r>
            <w:r>
              <w:rPr>
                <w:rFonts w:ascii="Consolas" w:hAnsi="Consolas"/>
                <w:color w:val="1F2937"/>
                <w:sz w:val="16"/>
              </w:rPr>
              <w:t xml:space="preserve">    validate_uids: true</w:t>
              <w:br/>
            </w:r>
            <w:r>
              <w:rPr>
                <w:rFonts w:ascii="Consolas" w:hAnsi="Consolas"/>
                <w:color w:val="1F2937"/>
                <w:sz w:val="16"/>
              </w:rPr>
              <w:t xml:space="preserve">    validate_changed_pixel_containment: true</w:t>
              <w:br/>
            </w:r>
            <w:r>
              <w:rPr>
                <w:rFonts w:ascii="Consolas" w:hAnsi="Consolas"/>
                <w:color w:val="1F2937"/>
                <w:sz w:val="16"/>
              </w:rPr>
              <w:t xml:space="preserve">  export:</w:t>
              <w:br/>
            </w:r>
            <w:r>
              <w:rPr>
                <w:rFonts w:ascii="Consolas" w:hAnsi="Consolas"/>
                <w:color w:val="1F2937"/>
                <w:sz w:val="16"/>
              </w:rPr>
              <w:t xml:space="preserve">    quarantine_on_failure: true</w:t>
              <w:br/>
            </w:r>
            <w:r>
              <w:rPr>
                <w:rFonts w:ascii="Consolas" w:hAnsi="Consolas"/>
                <w:color w:val="1F2937"/>
                <w:sz w:val="16"/>
              </w:rPr>
              <w:t xml:space="preserve">    never_overwrite_original: true</w:t>
              <w:br/>
            </w:r>
            <w:r>
              <w:rPr>
                <w:rFonts w:ascii="Consolas" w:hAnsi="Consolas"/>
                <w:color w:val="1F2937"/>
                <w:sz w:val="16"/>
              </w:rPr>
              <w:t xml:space="preserve">  audit:</w:t>
              <w:br/>
            </w:r>
            <w:r>
              <w:rPr>
                <w:rFonts w:ascii="Consolas" w:hAnsi="Consolas"/>
                <w:color w:val="1F2937"/>
                <w:sz w:val="16"/>
              </w:rPr>
              <w:t xml:space="preserve">    hash_chain: true</w:t>
              <w:br/>
            </w:r>
            <w:r>
              <w:rPr>
                <w:rFonts w:ascii="Consolas" w:hAnsi="Consolas"/>
                <w:color w:val="1F2937"/>
                <w:sz w:val="16"/>
              </w:rPr>
              <w:t xml:space="preserve">    raw_phi_in_logs: false</w:t>
            </w:r>
          </w:p>
        </w:tc>
      </w:tr>
    </w:tbl>
    <w:p>
      <w:pPr>
        <w:spacing w:after="40"/>
      </w:pPr>
    </w:p>
    <w:p>
      <w:pPr>
        <w:pStyle w:val="Heading1"/>
        <w:keepNext/>
      </w:pPr>
      <w:r>
        <w:t>Appendix B — Example De-Identification Certificate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Field</w:t>
            </w:r>
          </w:p>
        </w:tc>
        <w:tc>
          <w:tcPr>
            <w:tcW w:type="dxa" w:w="705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Example</w:t>
            </w:r>
          </w:p>
        </w:tc>
      </w:tr>
      <w:tr>
        <w:tc>
          <w:tcPr>
            <w:tcW w:type="dxa" w:w="3168"/>
            <w:vAlign w:val="center"/>
          </w:tcPr>
          <w:p>
            <w:pPr>
              <w:spacing w:after="0"/>
            </w:pPr>
            <w:r/>
            <w:r>
              <w:rPr>
                <w:rFonts w:ascii="Aptos" w:hAnsi="Aptos"/>
                <w:b w:val="0"/>
                <w:color w:val="111827"/>
                <w:sz w:val="16"/>
              </w:rPr>
              <w:t>Job ID</w:t>
            </w:r>
          </w:p>
        </w:tc>
        <w:tc>
          <w:tcPr>
            <w:tcW w:type="dxa" w:w="7056"/>
            <w:vAlign w:val="center"/>
          </w:tcPr>
          <w:p>
            <w:pPr>
              <w:spacing w:after="0"/>
            </w:pPr>
            <w:r/>
            <w:r>
              <w:rPr>
                <w:rFonts w:ascii="Aptos" w:hAnsi="Aptos"/>
                <w:b w:val="0"/>
                <w:color w:val="111827"/>
                <w:sz w:val="16"/>
              </w:rPr>
              <w:t>JOB-2026-000182</w:t>
            </w:r>
          </w:p>
        </w:tc>
      </w:tr>
      <w:tr>
        <w:tc>
          <w:tcPr>
            <w:tcW w:type="dxa" w:w="3168"/>
            <w:vAlign w:val="center"/>
            <w:shd w:fill="F5F7FA"/>
          </w:tcPr>
          <w:p>
            <w:pPr>
              <w:spacing w:after="0"/>
            </w:pPr>
            <w:r/>
            <w:r>
              <w:rPr>
                <w:rFonts w:ascii="Aptos" w:hAnsi="Aptos"/>
                <w:b w:val="0"/>
                <w:color w:val="111827"/>
                <w:sz w:val="16"/>
              </w:rPr>
              <w:t>Policy</w:t>
            </w:r>
          </w:p>
        </w:tc>
        <w:tc>
          <w:tcPr>
            <w:tcW w:type="dxa" w:w="7056"/>
            <w:vAlign w:val="center"/>
            <w:shd w:fill="F5F7FA"/>
          </w:tcPr>
          <w:p>
            <w:pPr>
              <w:spacing w:after="0"/>
            </w:pPr>
            <w:r/>
            <w:r>
              <w:rPr>
                <w:rFonts w:ascii="Aptos" w:hAnsi="Aptos"/>
                <w:b w:val="0"/>
                <w:color w:val="111827"/>
                <w:sz w:val="16"/>
              </w:rPr>
              <w:t>strict_research_v1</w:t>
            </w:r>
          </w:p>
        </w:tc>
      </w:tr>
      <w:tr>
        <w:tc>
          <w:tcPr>
            <w:tcW w:type="dxa" w:w="3168"/>
            <w:vAlign w:val="center"/>
          </w:tcPr>
          <w:p>
            <w:pPr>
              <w:spacing w:after="0"/>
            </w:pPr>
            <w:r/>
            <w:r>
              <w:rPr>
                <w:rFonts w:ascii="Aptos" w:hAnsi="Aptos"/>
                <w:b w:val="0"/>
                <w:color w:val="111827"/>
                <w:sz w:val="16"/>
              </w:rPr>
              <w:t>Input SHA-256</w:t>
            </w:r>
          </w:p>
        </w:tc>
        <w:tc>
          <w:tcPr>
            <w:tcW w:type="dxa" w:w="7056"/>
            <w:vAlign w:val="center"/>
          </w:tcPr>
          <w:p>
            <w:pPr>
              <w:spacing w:after="0"/>
            </w:pPr>
            <w:r/>
            <w:r>
              <w:rPr>
                <w:rFonts w:ascii="Aptos" w:hAnsi="Aptos"/>
                <w:b w:val="0"/>
                <w:color w:val="111827"/>
                <w:sz w:val="16"/>
              </w:rPr>
              <w:t>e3b0c442…</w:t>
            </w:r>
          </w:p>
        </w:tc>
      </w:tr>
      <w:tr>
        <w:tc>
          <w:tcPr>
            <w:tcW w:type="dxa" w:w="3168"/>
            <w:vAlign w:val="center"/>
            <w:shd w:fill="F5F7FA"/>
          </w:tcPr>
          <w:p>
            <w:pPr>
              <w:spacing w:after="0"/>
            </w:pPr>
            <w:r/>
            <w:r>
              <w:rPr>
                <w:rFonts w:ascii="Aptos" w:hAnsi="Aptos"/>
                <w:b w:val="0"/>
                <w:color w:val="111827"/>
                <w:sz w:val="16"/>
              </w:rPr>
              <w:t>Output SHA-256</w:t>
            </w:r>
          </w:p>
        </w:tc>
        <w:tc>
          <w:tcPr>
            <w:tcW w:type="dxa" w:w="7056"/>
            <w:vAlign w:val="center"/>
            <w:shd w:fill="F5F7FA"/>
          </w:tcPr>
          <w:p>
            <w:pPr>
              <w:spacing w:after="0"/>
            </w:pPr>
            <w:r/>
            <w:r>
              <w:rPr>
                <w:rFonts w:ascii="Aptos" w:hAnsi="Aptos"/>
                <w:b w:val="0"/>
                <w:color w:val="111827"/>
                <w:sz w:val="16"/>
              </w:rPr>
              <w:t>4bf5122f…</w:t>
            </w:r>
          </w:p>
        </w:tc>
      </w:tr>
      <w:tr>
        <w:tc>
          <w:tcPr>
            <w:tcW w:type="dxa" w:w="3168"/>
            <w:vAlign w:val="center"/>
          </w:tcPr>
          <w:p>
            <w:pPr>
              <w:spacing w:after="0"/>
            </w:pPr>
            <w:r/>
            <w:r>
              <w:rPr>
                <w:rFonts w:ascii="Aptos" w:hAnsi="Aptos"/>
                <w:b w:val="0"/>
                <w:color w:val="111827"/>
                <w:sz w:val="16"/>
              </w:rPr>
              <w:t>Metadata actions</w:t>
            </w:r>
          </w:p>
        </w:tc>
        <w:tc>
          <w:tcPr>
            <w:tcW w:type="dxa" w:w="7056"/>
            <w:vAlign w:val="center"/>
          </w:tcPr>
          <w:p>
            <w:pPr>
              <w:spacing w:after="0"/>
            </w:pPr>
            <w:r/>
            <w:r>
              <w:rPr>
                <w:rFonts w:ascii="Aptos" w:hAnsi="Aptos"/>
                <w:b w:val="0"/>
                <w:color w:val="111827"/>
                <w:sz w:val="16"/>
              </w:rPr>
              <w:t>28</w:t>
            </w:r>
          </w:p>
        </w:tc>
      </w:tr>
      <w:tr>
        <w:tc>
          <w:tcPr>
            <w:tcW w:type="dxa" w:w="3168"/>
            <w:vAlign w:val="center"/>
            <w:shd w:fill="F5F7FA"/>
          </w:tcPr>
          <w:p>
            <w:pPr>
              <w:spacing w:after="0"/>
            </w:pPr>
            <w:r/>
            <w:r>
              <w:rPr>
                <w:rFonts w:ascii="Aptos" w:hAnsi="Aptos"/>
                <w:b w:val="0"/>
                <w:color w:val="111827"/>
                <w:sz w:val="16"/>
              </w:rPr>
              <w:t>Private tags removed</w:t>
            </w:r>
          </w:p>
        </w:tc>
        <w:tc>
          <w:tcPr>
            <w:tcW w:type="dxa" w:w="7056"/>
            <w:vAlign w:val="center"/>
            <w:shd w:fill="F5F7FA"/>
          </w:tcPr>
          <w:p>
            <w:pPr>
              <w:spacing w:after="0"/>
            </w:pPr>
            <w:r/>
            <w:r>
              <w:rPr>
                <w:rFonts w:ascii="Aptos" w:hAnsi="Aptos"/>
                <w:b w:val="0"/>
                <w:color w:val="111827"/>
                <w:sz w:val="16"/>
              </w:rPr>
              <w:t>6</w:t>
            </w:r>
          </w:p>
        </w:tc>
      </w:tr>
      <w:tr>
        <w:tc>
          <w:tcPr>
            <w:tcW w:type="dxa" w:w="3168"/>
            <w:vAlign w:val="center"/>
          </w:tcPr>
          <w:p>
            <w:pPr>
              <w:spacing w:after="0"/>
            </w:pPr>
            <w:r/>
            <w:r>
              <w:rPr>
                <w:rFonts w:ascii="Aptos" w:hAnsi="Aptos"/>
                <w:b w:val="0"/>
                <w:color w:val="111827"/>
                <w:sz w:val="16"/>
              </w:rPr>
              <w:t>Pixel PHI regions</w:t>
            </w:r>
          </w:p>
        </w:tc>
        <w:tc>
          <w:tcPr>
            <w:tcW w:type="dxa" w:w="7056"/>
            <w:vAlign w:val="center"/>
          </w:tcPr>
          <w:p>
            <w:pPr>
              <w:spacing w:after="0"/>
            </w:pPr>
            <w:r/>
            <w:r>
              <w:rPr>
                <w:rFonts w:ascii="Aptos" w:hAnsi="Aptos"/>
                <w:b w:val="0"/>
                <w:color w:val="111827"/>
                <w:sz w:val="16"/>
              </w:rPr>
              <w:t>2</w:t>
            </w:r>
          </w:p>
        </w:tc>
      </w:tr>
      <w:tr>
        <w:tc>
          <w:tcPr>
            <w:tcW w:type="dxa" w:w="3168"/>
            <w:vAlign w:val="center"/>
            <w:shd w:fill="F5F7FA"/>
          </w:tcPr>
          <w:p>
            <w:pPr>
              <w:spacing w:after="0"/>
            </w:pPr>
            <w:r/>
            <w:r>
              <w:rPr>
                <w:rFonts w:ascii="Aptos" w:hAnsi="Aptos"/>
                <w:b w:val="0"/>
                <w:color w:val="111827"/>
                <w:sz w:val="16"/>
              </w:rPr>
              <w:t>UID references checked</w:t>
            </w:r>
          </w:p>
        </w:tc>
        <w:tc>
          <w:tcPr>
            <w:tcW w:type="dxa" w:w="7056"/>
            <w:vAlign w:val="center"/>
            <w:shd w:fill="F5F7FA"/>
          </w:tcPr>
          <w:p>
            <w:pPr>
              <w:spacing w:after="0"/>
            </w:pPr>
            <w:r/>
            <w:r>
              <w:rPr>
                <w:rFonts w:ascii="Aptos" w:hAnsi="Aptos"/>
                <w:b w:val="0"/>
                <w:color w:val="111827"/>
                <w:sz w:val="16"/>
              </w:rPr>
              <w:t>PASS</w:t>
            </w:r>
          </w:p>
        </w:tc>
      </w:tr>
      <w:tr>
        <w:tc>
          <w:tcPr>
            <w:tcW w:type="dxa" w:w="3168"/>
            <w:vAlign w:val="center"/>
          </w:tcPr>
          <w:p>
            <w:pPr>
              <w:spacing w:after="0"/>
            </w:pPr>
            <w:r/>
            <w:r>
              <w:rPr>
                <w:rFonts w:ascii="Aptos" w:hAnsi="Aptos"/>
                <w:b w:val="0"/>
                <w:color w:val="111827"/>
                <w:sz w:val="16"/>
              </w:rPr>
              <w:t>Changed-pixel containment</w:t>
            </w:r>
          </w:p>
        </w:tc>
        <w:tc>
          <w:tcPr>
            <w:tcW w:type="dxa" w:w="7056"/>
            <w:vAlign w:val="center"/>
          </w:tcPr>
          <w:p>
            <w:pPr>
              <w:spacing w:after="0"/>
            </w:pPr>
            <w:r/>
            <w:r>
              <w:rPr>
                <w:rFonts w:ascii="Aptos" w:hAnsi="Aptos"/>
                <w:b w:val="0"/>
                <w:color w:val="111827"/>
                <w:sz w:val="16"/>
              </w:rPr>
              <w:t>PASS</w:t>
            </w:r>
          </w:p>
        </w:tc>
      </w:tr>
      <w:tr>
        <w:tc>
          <w:tcPr>
            <w:tcW w:type="dxa" w:w="3168"/>
            <w:vAlign w:val="center"/>
            <w:shd w:fill="F5F7FA"/>
          </w:tcPr>
          <w:p>
            <w:pPr>
              <w:spacing w:after="0"/>
            </w:pPr>
            <w:r/>
            <w:r>
              <w:rPr>
                <w:rFonts w:ascii="Aptos" w:hAnsi="Aptos"/>
                <w:b w:val="0"/>
                <w:color w:val="111827"/>
                <w:sz w:val="16"/>
              </w:rPr>
              <w:t>Residual PHI re-scan</w:t>
            </w:r>
          </w:p>
        </w:tc>
        <w:tc>
          <w:tcPr>
            <w:tcW w:type="dxa" w:w="7056"/>
            <w:vAlign w:val="center"/>
            <w:shd w:fill="F5F7FA"/>
          </w:tcPr>
          <w:p>
            <w:pPr>
              <w:spacing w:after="0"/>
            </w:pPr>
            <w:r/>
            <w:r>
              <w:rPr>
                <w:rFonts w:ascii="Aptos" w:hAnsi="Aptos"/>
                <w:b w:val="0"/>
                <w:color w:val="111827"/>
                <w:sz w:val="16"/>
              </w:rPr>
              <w:t>PASS</w:t>
            </w:r>
          </w:p>
        </w:tc>
      </w:tr>
      <w:tr>
        <w:tc>
          <w:tcPr>
            <w:tcW w:type="dxa" w:w="3168"/>
            <w:vAlign w:val="center"/>
          </w:tcPr>
          <w:p>
            <w:pPr>
              <w:spacing w:after="0"/>
            </w:pPr>
            <w:r/>
            <w:r>
              <w:rPr>
                <w:rFonts w:ascii="Aptos" w:hAnsi="Aptos"/>
                <w:b w:val="0"/>
                <w:color w:val="111827"/>
                <w:sz w:val="16"/>
              </w:rPr>
              <w:t>Human review</w:t>
            </w:r>
          </w:p>
        </w:tc>
        <w:tc>
          <w:tcPr>
            <w:tcW w:type="dxa" w:w="7056"/>
            <w:vAlign w:val="center"/>
          </w:tcPr>
          <w:p>
            <w:pPr>
              <w:spacing w:after="0"/>
            </w:pPr>
            <w:r/>
            <w:r>
              <w:rPr>
                <w:rFonts w:ascii="Aptos" w:hAnsi="Aptos"/>
                <w:b w:val="0"/>
                <w:color w:val="111827"/>
                <w:sz w:val="16"/>
              </w:rPr>
              <w:t>1 case approved</w:t>
            </w:r>
          </w:p>
        </w:tc>
      </w:tr>
      <w:tr>
        <w:tc>
          <w:tcPr>
            <w:tcW w:type="dxa" w:w="3168"/>
            <w:vAlign w:val="center"/>
            <w:shd w:fill="F5F7FA"/>
          </w:tcPr>
          <w:p>
            <w:pPr>
              <w:spacing w:after="0"/>
            </w:pPr>
            <w:r/>
            <w:r>
              <w:rPr>
                <w:rFonts w:ascii="Aptos" w:hAnsi="Aptos"/>
                <w:b w:val="0"/>
                <w:color w:val="111827"/>
                <w:sz w:val="16"/>
              </w:rPr>
              <w:t>Release status</w:t>
            </w:r>
          </w:p>
        </w:tc>
        <w:tc>
          <w:tcPr>
            <w:tcW w:type="dxa" w:w="7056"/>
            <w:vAlign w:val="center"/>
            <w:shd w:fill="F5F7FA"/>
          </w:tcPr>
          <w:p>
            <w:pPr>
              <w:spacing w:after="0"/>
            </w:pPr>
            <w:r/>
            <w:r>
              <w:rPr>
                <w:rFonts w:ascii="Aptos" w:hAnsi="Aptos"/>
                <w:b w:val="0"/>
                <w:color w:val="111827"/>
                <w:sz w:val="16"/>
              </w:rPr>
              <w:t>APPROVED</w:t>
            </w:r>
          </w:p>
        </w:tc>
      </w:tr>
      <w:tr>
        <w:tc>
          <w:tcPr>
            <w:tcW w:type="dxa" w:w="3168"/>
            <w:vAlign w:val="center"/>
          </w:tcPr>
          <w:p>
            <w:pPr>
              <w:spacing w:after="0"/>
            </w:pPr>
            <w:r/>
            <w:r>
              <w:rPr>
                <w:rFonts w:ascii="Aptos" w:hAnsi="Aptos"/>
                <w:b w:val="0"/>
                <w:color w:val="111827"/>
                <w:sz w:val="16"/>
              </w:rPr>
              <w:t>Audit-chain head</w:t>
            </w:r>
          </w:p>
        </w:tc>
        <w:tc>
          <w:tcPr>
            <w:tcW w:type="dxa" w:w="7056"/>
            <w:vAlign w:val="center"/>
          </w:tcPr>
          <w:p>
            <w:pPr>
              <w:spacing w:after="0"/>
            </w:pPr>
            <w:r/>
            <w:r>
              <w:rPr>
                <w:rFonts w:ascii="Aptos" w:hAnsi="Aptos"/>
                <w:b w:val="0"/>
                <w:color w:val="111827"/>
                <w:sz w:val="16"/>
              </w:rPr>
              <w:t>9ac7…</w:t>
            </w:r>
          </w:p>
        </w:tc>
      </w:tr>
    </w:tbl>
    <w:p>
      <w:pPr>
        <w:spacing w:after="20"/>
      </w:pPr>
    </w:p>
    <w:p>
      <w:pPr>
        <w:pStyle w:val="Heading1"/>
        <w:keepNext/>
      </w:pPr>
      <w:r>
        <w:t>Appendix C — Source Basis &amp; Terminology</w:t>
      </w:r>
    </w:p>
    <w:p>
      <w:pPr>
        <w:spacing w:after="120" w:line="259" w:lineRule="auto"/>
      </w:pPr>
      <w:r>
        <w:t>This blueprint consolidates the two SentinelDICOM technical blueprints supplied in the conversation. Source concepts retained include the four-layer PHI model, PS3.15-oriented metadata handling, private-tag quarantine, deterministic pseudonymization and date shifting, modality-gated OCR, context-aware preservation of clinical annotations, encapsulated-payload inspection, tamper-evident logging, human review, PACS/batch modes, and a phased implementation plan. The merged design adds explicit co-validation, study-graph handling, adversarial output testing, and quarantine-based release control.</w:t>
      </w:r>
    </w:p>
    <w:p>
      <w:pPr>
        <w:spacing w:after="120" w:line="259" w:lineRule="auto"/>
      </w:pPr>
      <w:r>
        <w:t>The document deliberately uses “policy profile,” “validation,” and “processing certificate” language rather than asserting automatic legal compliance. Any production deployment should be reviewed against its jurisdiction, organizational governance, security controls, and intended research use.</w:t>
      </w: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Concept &amp; Technical Blueprint  •  26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SentinelDICOM VeilGuard  |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5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0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