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Boston House Price Prediction</w:t>
      </w:r>
    </w:p>
    <w:p>
      <w:pPr>
        <w:spacing w:after="400"/>
        <w:jc w:val="center"/>
      </w:pPr>
      <w:r>
        <w:rPr>
          <w:i/>
          <w:iCs/>
          <w:sz w:val="26"/>
          <w:szCs w:val="26"/>
        </w:rPr>
        <w:t xml:space="preserve">End-to-End Machine Learning Project Report</w:t>
      </w:r>
    </w:p>
    <w:p>
      <w:pPr>
        <w:pStyle w:val="Heading1"/>
        <w:spacing w:after="150" w:before="300"/>
      </w:pPr>
      <w:r>
        <w:t xml:space="preserve">1. Project Overview</w:t>
      </w:r>
    </w:p>
    <w:p>
      <w:pPr>
        <w:spacing w:after="150"/>
      </w:pPr>
      <w:r>
        <w:t xml:space="preserve">This project builds a machine learning model to predict the median house value (MEDV) for towns in the Boston housing dataset, using structural and socio-economic attributes of each area. The workflow covers data cleaning, exploratory data analysis (EDA), outlier treatment, model training and comparison, hyperparameter tuning, and finally deployment of the trained model through an interactive Streamlit web application.</w:t>
      </w:r>
    </w:p>
    <w:p>
      <w:pPr>
        <w:pStyle w:val="Heading2"/>
        <w:spacing w:after="100" w:before="200"/>
      </w:pPr>
      <w:r>
        <w:t xml:space="preserve">1.1 Objective</w:t>
      </w:r>
    </w:p>
    <w:p>
      <w:pPr>
        <w:spacing w:after="150"/>
      </w:pPr>
      <w:r>
        <w:t xml:space="preserve">Predict the median value of owner-occupied homes (MEDV) using 11 input features describing housing and neighborhood characteristics.</w:t>
      </w:r>
    </w:p>
    <w:p>
      <w:pPr>
        <w:pStyle w:val="Heading2"/>
        <w:spacing w:after="100" w:before="200"/>
      </w:pPr>
      <w:r>
        <w:t xml:space="preserve">1.2 Tools &amp; Libraries Used</w:t>
      </w:r>
    </w:p>
    <w:p>
      <w:pPr>
        <w:pStyle w:val="ListParagraph"/>
        <w:numPr>
          <w:ilvl w:val="0"/>
          <w:numId w:val="1"/>
        </w:numPr>
        <w:spacing w:after="80"/>
      </w:pPr>
      <w:r>
        <w:t xml:space="preserve">Python: pandas, numpy for data handling</w:t>
      </w:r>
    </w:p>
    <w:p>
      <w:pPr>
        <w:pStyle w:val="ListParagraph"/>
        <w:numPr>
          <w:ilvl w:val="0"/>
          <w:numId w:val="1"/>
        </w:numPr>
        <w:spacing w:after="80"/>
      </w:pPr>
      <w:r>
        <w:t xml:space="preserve">matplotlib, seaborn for visualization</w:t>
      </w:r>
    </w:p>
    <w:p>
      <w:pPr>
        <w:pStyle w:val="ListParagraph"/>
        <w:numPr>
          <w:ilvl w:val="0"/>
          <w:numId w:val="1"/>
        </w:numPr>
        <w:spacing w:after="80"/>
      </w:pPr>
      <w:r>
        <w:t xml:space="preserve">scikit-learn for modeling (DecisionTreeRegressor, KNeighborsRegressor, RandomForestRegressor, GridSearchCV)</w:t>
      </w:r>
    </w:p>
    <w:p>
      <w:pPr>
        <w:pStyle w:val="ListParagraph"/>
        <w:numPr>
          <w:ilvl w:val="0"/>
          <w:numId w:val="1"/>
        </w:numPr>
        <w:spacing w:after="80"/>
      </w:pPr>
      <w:r>
        <w:t xml:space="preserve">joblib / pickle for model persistence</w:t>
      </w:r>
    </w:p>
    <w:p>
      <w:pPr>
        <w:pStyle w:val="ListParagraph"/>
        <w:numPr>
          <w:ilvl w:val="0"/>
          <w:numId w:val="1"/>
        </w:numPr>
        <w:spacing w:after="80"/>
      </w:pPr>
      <w:r>
        <w:t xml:space="preserve">Streamlit for deployment as a web application</w:t>
      </w:r>
    </w:p>
    <w:p>
      <w:pPr>
        <w:pStyle w:val="Heading1"/>
        <w:spacing w:after="150" w:before="300"/>
      </w:pPr>
      <w:r>
        <w:t xml:space="preserve">2. Dataset Description</w:t>
      </w:r>
    </w:p>
    <w:p>
      <w:pPr>
        <w:spacing w:after="150"/>
      </w:pPr>
      <w:r>
        <w:t xml:space="preserve">The dataset contains 333 records and 12 columns (11 features + 1 target variable) with no missing values and no duplicate rows.</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tblGrid>
      <w:tr>
        <w:tc>
          <w:tcPr>
            <w:tcW w:type="dxa" w:w="1800"/>
            <w:shd w:fill="2E5395" w:color="auto" w:val="clear"/>
          </w:tcPr>
          <w:p>
            <w:pPr>
              <w:jc w:val="center"/>
            </w:pPr>
            <w:r>
              <w:rPr>
                <w:b/>
                <w:bCs/>
                <w:color w:val="FFFFFF"/>
                <w:sz w:val="20"/>
                <w:szCs w:val="20"/>
              </w:rPr>
              <w:t xml:space="preserve">Column</w:t>
            </w:r>
          </w:p>
        </w:tc>
        <w:tc>
          <w:tcPr>
            <w:tcW w:type="dxa" w:w="4700"/>
            <w:shd w:fill="2E5395" w:color="auto" w:val="clear"/>
          </w:tcPr>
          <w:p>
            <w:pPr>
              <w:jc w:val="center"/>
            </w:pPr>
            <w:r>
              <w:rPr>
                <w:b/>
                <w:bCs/>
                <w:color w:val="FFFFFF"/>
                <w:sz w:val="20"/>
                <w:szCs w:val="20"/>
              </w:rPr>
              <w:t xml:space="preserve">Description</w:t>
            </w:r>
          </w:p>
        </w:tc>
      </w:tr>
      <w:tr>
        <w:tc>
          <w:tcPr>
            <w:tcW w:type="dxa" w:w="1800"/>
          </w:tcPr>
          <w:p>
            <w:pPr>
              <w:jc w:val="center"/>
            </w:pPr>
            <w:r>
              <w:rPr>
                <w:b w:val="false"/>
                <w:bCs w:val="false"/>
                <w:color w:val="000000"/>
                <w:sz w:val="20"/>
                <w:szCs w:val="20"/>
              </w:rPr>
              <w:t xml:space="preserve">ID</w:t>
            </w:r>
          </w:p>
        </w:tc>
        <w:tc>
          <w:tcPr>
            <w:tcW w:type="dxa" w:w="4700"/>
          </w:tcPr>
          <w:p>
            <w:pPr>
              <w:jc w:val="center"/>
            </w:pPr>
            <w:r>
              <w:rPr>
                <w:b w:val="false"/>
                <w:bCs w:val="false"/>
                <w:color w:val="000000"/>
                <w:sz w:val="20"/>
                <w:szCs w:val="20"/>
              </w:rPr>
              <w:t xml:space="preserve">Record identifier (used here as a numeric feature)</w:t>
            </w:r>
          </w:p>
        </w:tc>
      </w:tr>
      <w:tr>
        <w:tc>
          <w:tcPr>
            <w:tcW w:type="dxa" w:w="1800"/>
          </w:tcPr>
          <w:p>
            <w:pPr>
              <w:jc w:val="center"/>
            </w:pPr>
            <w:r>
              <w:rPr>
                <w:b w:val="false"/>
                <w:bCs w:val="false"/>
                <w:color w:val="000000"/>
                <w:sz w:val="20"/>
                <w:szCs w:val="20"/>
              </w:rPr>
              <w:t xml:space="preserve">indus</w:t>
            </w:r>
          </w:p>
        </w:tc>
        <w:tc>
          <w:tcPr>
            <w:tcW w:type="dxa" w:w="4700"/>
          </w:tcPr>
          <w:p>
            <w:pPr>
              <w:jc w:val="center"/>
            </w:pPr>
            <w:r>
              <w:rPr>
                <w:b w:val="false"/>
                <w:bCs w:val="false"/>
                <w:color w:val="000000"/>
                <w:sz w:val="20"/>
                <w:szCs w:val="20"/>
              </w:rPr>
              <w:t xml:space="preserve">Proportion of non-retail business acres per town</w:t>
            </w:r>
          </w:p>
        </w:tc>
      </w:tr>
      <w:tr>
        <w:tc>
          <w:tcPr>
            <w:tcW w:type="dxa" w:w="1800"/>
          </w:tcPr>
          <w:p>
            <w:pPr>
              <w:jc w:val="center"/>
            </w:pPr>
            <w:r>
              <w:rPr>
                <w:b w:val="false"/>
                <w:bCs w:val="false"/>
                <w:color w:val="000000"/>
                <w:sz w:val="20"/>
                <w:szCs w:val="20"/>
              </w:rPr>
              <w:t xml:space="preserve">chas</w:t>
            </w:r>
          </w:p>
        </w:tc>
        <w:tc>
          <w:tcPr>
            <w:tcW w:type="dxa" w:w="4700"/>
          </w:tcPr>
          <w:p>
            <w:pPr>
              <w:jc w:val="center"/>
            </w:pPr>
            <w:r>
              <w:rPr>
                <w:b w:val="false"/>
                <w:bCs w:val="false"/>
                <w:color w:val="000000"/>
                <w:sz w:val="20"/>
                <w:szCs w:val="20"/>
              </w:rPr>
              <w:t xml:space="preserve">Charles River dummy variable (1 if tract bounds river, else 0)</w:t>
            </w:r>
          </w:p>
        </w:tc>
      </w:tr>
      <w:tr>
        <w:tc>
          <w:tcPr>
            <w:tcW w:type="dxa" w:w="1800"/>
          </w:tcPr>
          <w:p>
            <w:pPr>
              <w:jc w:val="center"/>
            </w:pPr>
            <w:r>
              <w:rPr>
                <w:b w:val="false"/>
                <w:bCs w:val="false"/>
                <w:color w:val="000000"/>
                <w:sz w:val="20"/>
                <w:szCs w:val="20"/>
              </w:rPr>
              <w:t xml:space="preserve">nox</w:t>
            </w:r>
          </w:p>
        </w:tc>
        <w:tc>
          <w:tcPr>
            <w:tcW w:type="dxa" w:w="4700"/>
          </w:tcPr>
          <w:p>
            <w:pPr>
              <w:jc w:val="center"/>
            </w:pPr>
            <w:r>
              <w:rPr>
                <w:b w:val="false"/>
                <w:bCs w:val="false"/>
                <w:color w:val="000000"/>
                <w:sz w:val="20"/>
                <w:szCs w:val="20"/>
              </w:rPr>
              <w:t xml:space="preserve">Nitric oxide concentration (parts per 10 million)</w:t>
            </w:r>
          </w:p>
        </w:tc>
      </w:tr>
      <w:tr>
        <w:tc>
          <w:tcPr>
            <w:tcW w:type="dxa" w:w="1800"/>
          </w:tcPr>
          <w:p>
            <w:pPr>
              <w:jc w:val="center"/>
            </w:pPr>
            <w:r>
              <w:rPr>
                <w:b w:val="false"/>
                <w:bCs w:val="false"/>
                <w:color w:val="000000"/>
                <w:sz w:val="20"/>
                <w:szCs w:val="20"/>
              </w:rPr>
              <w:t xml:space="preserve">rm</w:t>
            </w:r>
          </w:p>
        </w:tc>
        <w:tc>
          <w:tcPr>
            <w:tcW w:type="dxa" w:w="4700"/>
          </w:tcPr>
          <w:p>
            <w:pPr>
              <w:jc w:val="center"/>
            </w:pPr>
            <w:r>
              <w:rPr>
                <w:b w:val="false"/>
                <w:bCs w:val="false"/>
                <w:color w:val="000000"/>
                <w:sz w:val="20"/>
                <w:szCs w:val="20"/>
              </w:rPr>
              <w:t xml:space="preserve">Average number of rooms per dwelling</w:t>
            </w:r>
          </w:p>
        </w:tc>
      </w:tr>
      <w:tr>
        <w:tc>
          <w:tcPr>
            <w:tcW w:type="dxa" w:w="1800"/>
          </w:tcPr>
          <w:p>
            <w:pPr>
              <w:jc w:val="center"/>
            </w:pPr>
            <w:r>
              <w:rPr>
                <w:b w:val="false"/>
                <w:bCs w:val="false"/>
                <w:color w:val="000000"/>
                <w:sz w:val="20"/>
                <w:szCs w:val="20"/>
              </w:rPr>
              <w:t xml:space="preserve">age</w:t>
            </w:r>
          </w:p>
        </w:tc>
        <w:tc>
          <w:tcPr>
            <w:tcW w:type="dxa" w:w="4700"/>
          </w:tcPr>
          <w:p>
            <w:pPr>
              <w:jc w:val="center"/>
            </w:pPr>
            <w:r>
              <w:rPr>
                <w:b w:val="false"/>
                <w:bCs w:val="false"/>
                <w:color w:val="000000"/>
                <w:sz w:val="20"/>
                <w:szCs w:val="20"/>
              </w:rPr>
              <w:t xml:space="preserve">Proportion of owner-occupied units built before 1940</w:t>
            </w:r>
          </w:p>
        </w:tc>
      </w:tr>
      <w:tr>
        <w:tc>
          <w:tcPr>
            <w:tcW w:type="dxa" w:w="1800"/>
          </w:tcPr>
          <w:p>
            <w:pPr>
              <w:jc w:val="center"/>
            </w:pPr>
            <w:r>
              <w:rPr>
                <w:b w:val="false"/>
                <w:bCs w:val="false"/>
                <w:color w:val="000000"/>
                <w:sz w:val="20"/>
                <w:szCs w:val="20"/>
              </w:rPr>
              <w:t xml:space="preserve">dis</w:t>
            </w:r>
          </w:p>
        </w:tc>
        <w:tc>
          <w:tcPr>
            <w:tcW w:type="dxa" w:w="4700"/>
          </w:tcPr>
          <w:p>
            <w:pPr>
              <w:jc w:val="center"/>
            </w:pPr>
            <w:r>
              <w:rPr>
                <w:b w:val="false"/>
                <w:bCs w:val="false"/>
                <w:color w:val="000000"/>
                <w:sz w:val="20"/>
                <w:szCs w:val="20"/>
              </w:rPr>
              <w:t xml:space="preserve">Weighted distance to five Boston employment centres</w:t>
            </w:r>
          </w:p>
        </w:tc>
      </w:tr>
      <w:tr>
        <w:tc>
          <w:tcPr>
            <w:tcW w:type="dxa" w:w="1800"/>
          </w:tcPr>
          <w:p>
            <w:pPr>
              <w:jc w:val="center"/>
            </w:pPr>
            <w:r>
              <w:rPr>
                <w:b w:val="false"/>
                <w:bCs w:val="false"/>
                <w:color w:val="000000"/>
                <w:sz w:val="20"/>
                <w:szCs w:val="20"/>
              </w:rPr>
              <w:t xml:space="preserve">rad</w:t>
            </w:r>
          </w:p>
        </w:tc>
        <w:tc>
          <w:tcPr>
            <w:tcW w:type="dxa" w:w="4700"/>
          </w:tcPr>
          <w:p>
            <w:pPr>
              <w:jc w:val="center"/>
            </w:pPr>
            <w:r>
              <w:rPr>
                <w:b w:val="false"/>
                <w:bCs w:val="false"/>
                <w:color w:val="000000"/>
                <w:sz w:val="20"/>
                <w:szCs w:val="20"/>
              </w:rPr>
              <w:t xml:space="preserve">Index of accessibility to radial highways</w:t>
            </w:r>
          </w:p>
        </w:tc>
      </w:tr>
      <w:tr>
        <w:tc>
          <w:tcPr>
            <w:tcW w:type="dxa" w:w="1800"/>
          </w:tcPr>
          <w:p>
            <w:pPr>
              <w:jc w:val="center"/>
            </w:pPr>
            <w:r>
              <w:rPr>
                <w:b w:val="false"/>
                <w:bCs w:val="false"/>
                <w:color w:val="000000"/>
                <w:sz w:val="20"/>
                <w:szCs w:val="20"/>
              </w:rPr>
              <w:t xml:space="preserve">tax</w:t>
            </w:r>
          </w:p>
        </w:tc>
        <w:tc>
          <w:tcPr>
            <w:tcW w:type="dxa" w:w="4700"/>
          </w:tcPr>
          <w:p>
            <w:pPr>
              <w:jc w:val="center"/>
            </w:pPr>
            <w:r>
              <w:rPr>
                <w:b w:val="false"/>
                <w:bCs w:val="false"/>
                <w:color w:val="000000"/>
                <w:sz w:val="20"/>
                <w:szCs w:val="20"/>
              </w:rPr>
              <w:t xml:space="preserve">Full-value property tax rate per $10,000</w:t>
            </w:r>
          </w:p>
        </w:tc>
      </w:tr>
      <w:tr>
        <w:tc>
          <w:tcPr>
            <w:tcW w:type="dxa" w:w="1800"/>
          </w:tcPr>
          <w:p>
            <w:pPr>
              <w:jc w:val="center"/>
            </w:pPr>
            <w:r>
              <w:rPr>
                <w:b w:val="false"/>
                <w:bCs w:val="false"/>
                <w:color w:val="000000"/>
                <w:sz w:val="20"/>
                <w:szCs w:val="20"/>
              </w:rPr>
              <w:t xml:space="preserve">ptratio</w:t>
            </w:r>
          </w:p>
        </w:tc>
        <w:tc>
          <w:tcPr>
            <w:tcW w:type="dxa" w:w="4700"/>
          </w:tcPr>
          <w:p>
            <w:pPr>
              <w:jc w:val="center"/>
            </w:pPr>
            <w:r>
              <w:rPr>
                <w:b w:val="false"/>
                <w:bCs w:val="false"/>
                <w:color w:val="000000"/>
                <w:sz w:val="20"/>
                <w:szCs w:val="20"/>
              </w:rPr>
              <w:t xml:space="preserve">Pupil-teacher ratio by town</w:t>
            </w:r>
          </w:p>
        </w:tc>
      </w:tr>
      <w:tr>
        <w:tc>
          <w:tcPr>
            <w:tcW w:type="dxa" w:w="1800"/>
          </w:tcPr>
          <w:p>
            <w:pPr>
              <w:jc w:val="center"/>
            </w:pPr>
            <w:r>
              <w:rPr>
                <w:b w:val="false"/>
                <w:bCs w:val="false"/>
                <w:color w:val="000000"/>
                <w:sz w:val="20"/>
                <w:szCs w:val="20"/>
              </w:rPr>
              <w:t xml:space="preserve">lstat</w:t>
            </w:r>
          </w:p>
        </w:tc>
        <w:tc>
          <w:tcPr>
            <w:tcW w:type="dxa" w:w="4700"/>
          </w:tcPr>
          <w:p>
            <w:pPr>
              <w:jc w:val="center"/>
            </w:pPr>
            <w:r>
              <w:rPr>
                <w:b w:val="false"/>
                <w:bCs w:val="false"/>
                <w:color w:val="000000"/>
                <w:sz w:val="20"/>
                <w:szCs w:val="20"/>
              </w:rPr>
              <w:t xml:space="preserve">% lower status of the population</w:t>
            </w:r>
          </w:p>
        </w:tc>
      </w:tr>
      <w:tr>
        <w:tc>
          <w:tcPr>
            <w:tcW w:type="dxa" w:w="1800"/>
          </w:tcPr>
          <w:p>
            <w:pPr>
              <w:jc w:val="center"/>
            </w:pPr>
            <w:r>
              <w:rPr>
                <w:b w:val="false"/>
                <w:bCs w:val="false"/>
                <w:color w:val="000000"/>
                <w:sz w:val="20"/>
                <w:szCs w:val="20"/>
              </w:rPr>
              <w:t xml:space="preserve">medv (target)</w:t>
            </w:r>
          </w:p>
        </w:tc>
        <w:tc>
          <w:tcPr>
            <w:tcW w:type="dxa" w:w="4700"/>
          </w:tcPr>
          <w:p>
            <w:pPr>
              <w:jc w:val="center"/>
            </w:pPr>
            <w:r>
              <w:rPr>
                <w:b w:val="false"/>
                <w:bCs w:val="false"/>
                <w:color w:val="000000"/>
                <w:sz w:val="20"/>
                <w:szCs w:val="20"/>
              </w:rPr>
              <w:t xml:space="preserve">Median value of owner-occupied homes, in $1000s</w:t>
            </w:r>
          </w:p>
        </w:tc>
      </w:tr>
    </w:tbl>
    <w:p>
      <w:pPr>
        <w:pStyle w:val="Heading1"/>
        <w:spacing w:after="150" w:before="300"/>
      </w:pPr>
      <w:r>
        <w:t xml:space="preserve">3. Data Cleaning &amp; Exploratory Data Analysis</w:t>
      </w:r>
    </w:p>
    <w:p>
      <w:pPr>
        <w:pStyle w:val="Heading2"/>
        <w:spacing w:after="100" w:before="200"/>
      </w:pPr>
      <w:r>
        <w:t xml:space="preserve">3.1 Data Quality Checks</w:t>
      </w:r>
    </w:p>
    <w:p>
      <w:pPr>
        <w:pStyle w:val="ListParagraph"/>
        <w:numPr>
          <w:ilvl w:val="0"/>
          <w:numId w:val="1"/>
        </w:numPr>
        <w:spacing w:after="80"/>
      </w:pPr>
      <w:r>
        <w:t xml:space="preserve">Missing values: none found across all 12 columns</w:t>
      </w:r>
    </w:p>
    <w:p>
      <w:pPr>
        <w:pStyle w:val="ListParagraph"/>
        <w:numPr>
          <w:ilvl w:val="0"/>
          <w:numId w:val="1"/>
        </w:numPr>
        <w:spacing w:after="80"/>
      </w:pPr>
      <w:r>
        <w:t xml:space="preserve">Duplicate rows: none found</w:t>
      </w:r>
    </w:p>
    <w:p>
      <w:pPr>
        <w:pStyle w:val="ListParagraph"/>
        <w:numPr>
          <w:ilvl w:val="0"/>
          <w:numId w:val="1"/>
        </w:numPr>
        <w:spacing w:after="80"/>
      </w:pPr>
      <w:r>
        <w:t xml:space="preserve">Final cleaned dataset saved as Boston_Clean.csv, retaining all 333 rows after dropping duplicates/nulls</w:t>
      </w:r>
    </w:p>
    <w:p>
      <w:pPr>
        <w:pStyle w:val="Heading2"/>
        <w:spacing w:after="100" w:before="200"/>
      </w:pPr>
      <w:r>
        <w:t xml:space="preserve">3.2 Exploratory Analysis</w:t>
      </w:r>
    </w:p>
    <w:p>
      <w:pPr>
        <w:spacing w:after="150"/>
      </w:pPr>
      <w:r>
        <w:t xml:space="preserve">Distribution plots (histograms), scatter plots, a correlation heatmap, and pairplots were generated to understand relationships between features and the target variable. Key observations:</w:t>
      </w:r>
    </w:p>
    <w:p>
      <w:pPr>
        <w:pStyle w:val="ListParagraph"/>
        <w:numPr>
          <w:ilvl w:val="0"/>
          <w:numId w:val="1"/>
        </w:numPr>
        <w:spacing w:after="80"/>
      </w:pPr>
      <w:r>
        <w:t xml:space="preserve">rm (average rooms per dwelling) shows a strong positive relationship with medv</w:t>
      </w:r>
    </w:p>
    <w:p>
      <w:pPr>
        <w:pStyle w:val="ListParagraph"/>
        <w:numPr>
          <w:ilvl w:val="0"/>
          <w:numId w:val="1"/>
        </w:numPr>
        <w:spacing w:after="80"/>
      </w:pPr>
      <w:r>
        <w:t xml:space="preserve">lstat (% lower status population) shows a strong negative relationship with medv</w:t>
      </w:r>
    </w:p>
    <w:p>
      <w:pPr>
        <w:pStyle w:val="ListParagraph"/>
        <w:numPr>
          <w:ilvl w:val="0"/>
          <w:numId w:val="1"/>
        </w:numPr>
        <w:spacing w:after="80"/>
      </w:pPr>
      <w:r>
        <w:t xml:space="preserve">indus and nox are strongly positively correlated with each other (~0.75), indicating industrial areas tend to have higher pollution</w:t>
      </w:r>
    </w:p>
    <w:p>
      <w:pPr>
        <w:pStyle w:val="ListParagraph"/>
        <w:numPr>
          <w:ilvl w:val="0"/>
          <w:numId w:val="1"/>
        </w:numPr>
        <w:spacing w:after="80"/>
      </w:pPr>
      <w:r>
        <w:t xml:space="preserve">nox and dis are strongly negatively correlated (~-0.77), consistent with pollution decreasing further from employment centres</w:t>
      </w:r>
    </w:p>
    <w:p>
      <w:pPr>
        <w:pStyle w:val="Heading2"/>
        <w:spacing w:after="100" w:before="200"/>
      </w:pPr>
      <w:r>
        <w:t xml:space="preserve">3.3 Outlier Analysis (IQR Method)</w:t>
      </w:r>
    </w:p>
    <w:p>
      <w:pPr>
        <w:spacing w:after="150"/>
      </w:pPr>
      <w:r>
        <w:t xml:space="preserve">Outliers were examined feature-by-feature using the IQR (Interquartile Range) method on rm, lstat, dis, and ptratio, and boxplots were used to visualize spread. An iterative IQR-based filtering pass across all numeric columns reduced the dataset from 333 to 265 rows. For the final modeling pipeline, the notebook proceeded with the deduplicated/null-free dataset (333 rows) rather than the aggressively outlier-filtered version, to preserve more data for training.</w:t>
      </w:r>
    </w:p>
    <w:p>
      <w:pPr>
        <w:pStyle w:val="Heading1"/>
        <w:spacing w:after="150" w:before="300"/>
      </w:pPr>
      <w:r>
        <w:t xml:space="preserve">4. Model Building &amp; Comparison</w:t>
      </w:r>
    </w:p>
    <w:p>
      <w:pPr>
        <w:spacing w:after="150"/>
      </w:pPr>
      <w:r>
        <w:t xml:space="preserve">The cleaned data was split into training and test sets (80/20 split: 266 training rows, 67 test rows). Three regression algorithms were trained and evaluated, each with a default configuration and a GridSearchCV-tuned configuration: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550"/>
        <w:gridCol w:w="1550"/>
        <w:gridCol w:w="1550"/>
        <w:gridCol w:w="1550"/>
      </w:tblGrid>
      <w:tr>
        <w:tc>
          <w:tcPr>
            <w:tcW w:type="dxa" w:w="2400"/>
            <w:shd w:fill="2E5395" w:color="auto" w:val="clear"/>
          </w:tcPr>
          <w:p>
            <w:pPr>
              <w:jc w:val="center"/>
            </w:pPr>
            <w:r>
              <w:rPr>
                <w:b/>
                <w:bCs/>
                <w:color w:val="FFFFFF"/>
                <w:sz w:val="20"/>
                <w:szCs w:val="20"/>
              </w:rPr>
              <w:t xml:space="preserve">Model</w:t>
            </w:r>
          </w:p>
        </w:tc>
        <w:tc>
          <w:tcPr>
            <w:tcW w:type="dxa" w:w="1550"/>
            <w:shd w:fill="2E5395" w:color="auto" w:val="clear"/>
          </w:tcPr>
          <w:p>
            <w:pPr>
              <w:jc w:val="center"/>
            </w:pPr>
            <w:r>
              <w:rPr>
                <w:b/>
                <w:bCs/>
                <w:color w:val="FFFFFF"/>
                <w:sz w:val="20"/>
                <w:szCs w:val="20"/>
              </w:rPr>
              <w:t xml:space="preserve">MAE</w:t>
            </w:r>
          </w:p>
        </w:tc>
        <w:tc>
          <w:tcPr>
            <w:tcW w:type="dxa" w:w="1550"/>
            <w:shd w:fill="2E5395" w:color="auto" w:val="clear"/>
          </w:tcPr>
          <w:p>
            <w:pPr>
              <w:jc w:val="center"/>
            </w:pPr>
            <w:r>
              <w:rPr>
                <w:b/>
                <w:bCs/>
                <w:color w:val="FFFFFF"/>
                <w:sz w:val="20"/>
                <w:szCs w:val="20"/>
              </w:rPr>
              <w:t xml:space="preserve">MSE</w:t>
            </w:r>
          </w:p>
        </w:tc>
        <w:tc>
          <w:tcPr>
            <w:tcW w:type="dxa" w:w="1550"/>
            <w:shd w:fill="2E5395" w:color="auto" w:val="clear"/>
          </w:tcPr>
          <w:p>
            <w:pPr>
              <w:jc w:val="center"/>
            </w:pPr>
            <w:r>
              <w:rPr>
                <w:b/>
                <w:bCs/>
                <w:color w:val="FFFFFF"/>
                <w:sz w:val="20"/>
                <w:szCs w:val="20"/>
              </w:rPr>
              <w:t xml:space="preserve">RMSE</w:t>
            </w:r>
          </w:p>
        </w:tc>
        <w:tc>
          <w:tcPr>
            <w:tcW w:type="dxa" w:w="1550"/>
            <w:shd w:fill="2E5395" w:color="auto" w:val="clear"/>
          </w:tcPr>
          <w:p>
            <w:pPr>
              <w:jc w:val="center"/>
            </w:pPr>
            <w:r>
              <w:rPr>
                <w:b/>
                <w:bCs/>
                <w:color w:val="FFFFFF"/>
                <w:sz w:val="20"/>
                <w:szCs w:val="20"/>
              </w:rPr>
              <w:t xml:space="preserve">R2 Score</w:t>
            </w:r>
          </w:p>
        </w:tc>
      </w:tr>
      <w:tr>
        <w:tc>
          <w:tcPr>
            <w:tcW w:type="dxa" w:w="2400"/>
          </w:tcPr>
          <w:p>
            <w:pPr>
              <w:jc w:val="center"/>
            </w:pPr>
            <w:r>
              <w:rPr>
                <w:b w:val="false"/>
                <w:bCs w:val="false"/>
                <w:color w:val="000000"/>
                <w:sz w:val="20"/>
                <w:szCs w:val="20"/>
              </w:rPr>
              <w:t xml:space="preserve">Decision Tree (default)</w:t>
            </w:r>
          </w:p>
        </w:tc>
        <w:tc>
          <w:tcPr>
            <w:tcW w:type="dxa" w:w="1550"/>
          </w:tcPr>
          <w:p>
            <w:pPr>
              <w:jc w:val="center"/>
            </w:pPr>
            <w:r>
              <w:rPr>
                <w:b w:val="false"/>
                <w:bCs w:val="false"/>
                <w:color w:val="000000"/>
                <w:sz w:val="20"/>
                <w:szCs w:val="20"/>
              </w:rPr>
              <w:t xml:space="preserve">4.73</w:t>
            </w:r>
          </w:p>
        </w:tc>
        <w:tc>
          <w:tcPr>
            <w:tcW w:type="dxa" w:w="1550"/>
          </w:tcPr>
          <w:p>
            <w:pPr>
              <w:jc w:val="center"/>
            </w:pPr>
            <w:r>
              <w:rPr>
                <w:b w:val="false"/>
                <w:bCs w:val="false"/>
                <w:color w:val="000000"/>
                <w:sz w:val="20"/>
                <w:szCs w:val="20"/>
              </w:rPr>
              <w:t xml:space="preserve">47.10</w:t>
            </w:r>
          </w:p>
        </w:tc>
        <w:tc>
          <w:tcPr>
            <w:tcW w:type="dxa" w:w="1550"/>
          </w:tcPr>
          <w:p>
            <w:pPr>
              <w:jc w:val="center"/>
            </w:pPr>
            <w:r>
              <w:rPr>
                <w:b w:val="false"/>
                <w:bCs w:val="false"/>
                <w:color w:val="000000"/>
                <w:sz w:val="20"/>
                <w:szCs w:val="20"/>
              </w:rPr>
              <w:t xml:space="preserve">6.86</w:t>
            </w:r>
          </w:p>
        </w:tc>
        <w:tc>
          <w:tcPr>
            <w:tcW w:type="dxa" w:w="1550"/>
          </w:tcPr>
          <w:p>
            <w:pPr>
              <w:jc w:val="center"/>
            </w:pPr>
            <w:r>
              <w:rPr>
                <w:b w:val="false"/>
                <w:bCs w:val="false"/>
                <w:color w:val="000000"/>
                <w:sz w:val="20"/>
                <w:szCs w:val="20"/>
              </w:rPr>
              <w:t xml:space="preserve">0.620</w:t>
            </w:r>
          </w:p>
        </w:tc>
      </w:tr>
      <w:tr>
        <w:tc>
          <w:tcPr>
            <w:tcW w:type="dxa" w:w="2400"/>
          </w:tcPr>
          <w:p>
            <w:pPr>
              <w:jc w:val="center"/>
            </w:pPr>
            <w:r>
              <w:rPr>
                <w:b w:val="false"/>
                <w:bCs w:val="false"/>
                <w:color w:val="000000"/>
                <w:sz w:val="20"/>
                <w:szCs w:val="20"/>
              </w:rPr>
              <w:t xml:space="preserve">Decision Tree (tuned, GridSearchCV)</w:t>
            </w:r>
          </w:p>
        </w:tc>
        <w:tc>
          <w:tcPr>
            <w:tcW w:type="dxa" w:w="1550"/>
          </w:tcPr>
          <w:p>
            <w:pPr>
              <w:jc w:val="center"/>
            </w:pPr>
            <w:r>
              <w:rPr>
                <w:b w:val="false"/>
                <w:bCs w:val="false"/>
                <w:color w:val="000000"/>
                <w:sz w:val="20"/>
                <w:szCs w:val="20"/>
              </w:rPr>
              <w:t xml:space="preserve">4.16</w:t>
            </w:r>
          </w:p>
        </w:tc>
        <w:tc>
          <w:tcPr>
            <w:tcW w:type="dxa" w:w="1550"/>
          </w:tcPr>
          <w:p>
            <w:pPr>
              <w:jc w:val="center"/>
            </w:pPr>
            <w:r>
              <w:rPr>
                <w:b w:val="false"/>
                <w:bCs w:val="false"/>
                <w:color w:val="000000"/>
                <w:sz w:val="20"/>
                <w:szCs w:val="20"/>
              </w:rPr>
              <w:t xml:space="preserve">48.87</w:t>
            </w:r>
          </w:p>
        </w:tc>
        <w:tc>
          <w:tcPr>
            <w:tcW w:type="dxa" w:w="1550"/>
          </w:tcPr>
          <w:p>
            <w:pPr>
              <w:jc w:val="center"/>
            </w:pPr>
            <w:r>
              <w:rPr>
                <w:b w:val="false"/>
                <w:bCs w:val="false"/>
                <w:color w:val="000000"/>
                <w:sz w:val="20"/>
                <w:szCs w:val="20"/>
              </w:rPr>
              <w:t xml:space="preserve">6.99</w:t>
            </w:r>
          </w:p>
        </w:tc>
        <w:tc>
          <w:tcPr>
            <w:tcW w:type="dxa" w:w="1550"/>
          </w:tcPr>
          <w:p>
            <w:pPr>
              <w:jc w:val="center"/>
            </w:pPr>
            <w:r>
              <w:rPr>
                <w:b w:val="false"/>
                <w:bCs w:val="false"/>
                <w:color w:val="000000"/>
                <w:sz w:val="20"/>
                <w:szCs w:val="20"/>
              </w:rPr>
              <w:t xml:space="preserve">0.606</w:t>
            </w:r>
          </w:p>
        </w:tc>
      </w:tr>
      <w:tr>
        <w:tc>
          <w:tcPr>
            <w:tcW w:type="dxa" w:w="2400"/>
          </w:tcPr>
          <w:p>
            <w:pPr>
              <w:jc w:val="center"/>
            </w:pPr>
            <w:r>
              <w:rPr>
                <w:b w:val="false"/>
                <w:bCs w:val="false"/>
                <w:color w:val="000000"/>
                <w:sz w:val="20"/>
                <w:szCs w:val="20"/>
              </w:rPr>
              <w:t xml:space="preserve">KNN (k=3, default)</w:t>
            </w:r>
          </w:p>
        </w:tc>
        <w:tc>
          <w:tcPr>
            <w:tcW w:type="dxa" w:w="1550"/>
          </w:tcPr>
          <w:p>
            <w:pPr>
              <w:jc w:val="center"/>
            </w:pPr>
            <w:r>
              <w:rPr>
                <w:b w:val="false"/>
                <w:bCs w:val="false"/>
                <w:color w:val="000000"/>
                <w:sz w:val="20"/>
                <w:szCs w:val="20"/>
              </w:rPr>
              <w:t xml:space="preserve">4.85</w:t>
            </w:r>
          </w:p>
        </w:tc>
        <w:tc>
          <w:tcPr>
            <w:tcW w:type="dxa" w:w="1550"/>
          </w:tcPr>
          <w:p>
            <w:pPr>
              <w:jc w:val="center"/>
            </w:pPr>
            <w:r>
              <w:rPr>
                <w:b w:val="false"/>
                <w:bCs w:val="false"/>
                <w:color w:val="000000"/>
                <w:sz w:val="20"/>
                <w:szCs w:val="20"/>
              </w:rPr>
              <w:t xml:space="preserve">74.13</w:t>
            </w:r>
          </w:p>
        </w:tc>
        <w:tc>
          <w:tcPr>
            <w:tcW w:type="dxa" w:w="1550"/>
          </w:tcPr>
          <w:p>
            <w:pPr>
              <w:jc w:val="center"/>
            </w:pPr>
            <w:r>
              <w:rPr>
                <w:b w:val="false"/>
                <w:bCs w:val="false"/>
                <w:color w:val="000000"/>
                <w:sz w:val="20"/>
                <w:szCs w:val="20"/>
              </w:rPr>
              <w:t xml:space="preserve">8.61</w:t>
            </w:r>
          </w:p>
        </w:tc>
        <w:tc>
          <w:tcPr>
            <w:tcW w:type="dxa" w:w="1550"/>
          </w:tcPr>
          <w:p>
            <w:pPr>
              <w:jc w:val="center"/>
            </w:pPr>
            <w:r>
              <w:rPr>
                <w:b w:val="false"/>
                <w:bCs w:val="false"/>
                <w:color w:val="000000"/>
                <w:sz w:val="20"/>
                <w:szCs w:val="20"/>
              </w:rPr>
              <w:t xml:space="preserve">0.402</w:t>
            </w:r>
          </w:p>
        </w:tc>
      </w:tr>
      <w:tr>
        <w:tc>
          <w:tcPr>
            <w:tcW w:type="dxa" w:w="2400"/>
          </w:tcPr>
          <w:p>
            <w:pPr>
              <w:jc w:val="center"/>
            </w:pPr>
            <w:r>
              <w:rPr>
                <w:b w:val="false"/>
                <w:bCs w:val="false"/>
                <w:color w:val="000000"/>
                <w:sz w:val="20"/>
                <w:szCs w:val="20"/>
              </w:rPr>
              <w:t xml:space="preserve">KNN (tuned, GridSearchCV)</w:t>
            </w:r>
          </w:p>
        </w:tc>
        <w:tc>
          <w:tcPr>
            <w:tcW w:type="dxa" w:w="1550"/>
          </w:tcPr>
          <w:p>
            <w:pPr>
              <w:jc w:val="center"/>
            </w:pPr>
            <w:r>
              <w:rPr>
                <w:b w:val="false"/>
                <w:bCs w:val="false"/>
                <w:color w:val="000000"/>
                <w:sz w:val="20"/>
                <w:szCs w:val="20"/>
              </w:rPr>
              <w:t xml:space="preserve">5.10</w:t>
            </w:r>
          </w:p>
        </w:tc>
        <w:tc>
          <w:tcPr>
            <w:tcW w:type="dxa" w:w="1550"/>
          </w:tcPr>
          <w:p>
            <w:pPr>
              <w:jc w:val="center"/>
            </w:pPr>
            <w:r>
              <w:rPr>
                <w:b w:val="false"/>
                <w:bCs w:val="false"/>
                <w:color w:val="000000"/>
                <w:sz w:val="20"/>
                <w:szCs w:val="20"/>
              </w:rPr>
              <w:t xml:space="preserve">82.34</w:t>
            </w:r>
          </w:p>
        </w:tc>
        <w:tc>
          <w:tcPr>
            <w:tcW w:type="dxa" w:w="1550"/>
          </w:tcPr>
          <w:p>
            <w:pPr>
              <w:jc w:val="center"/>
            </w:pPr>
            <w:r>
              <w:rPr>
                <w:b w:val="false"/>
                <w:bCs w:val="false"/>
                <w:color w:val="000000"/>
                <w:sz w:val="20"/>
                <w:szCs w:val="20"/>
              </w:rPr>
              <w:t xml:space="preserve">9.07</w:t>
            </w:r>
          </w:p>
        </w:tc>
        <w:tc>
          <w:tcPr>
            <w:tcW w:type="dxa" w:w="1550"/>
          </w:tcPr>
          <w:p>
            <w:pPr>
              <w:jc w:val="center"/>
            </w:pPr>
            <w:r>
              <w:rPr>
                <w:b w:val="false"/>
                <w:bCs w:val="false"/>
                <w:color w:val="000000"/>
                <w:sz w:val="20"/>
                <w:szCs w:val="20"/>
              </w:rPr>
              <w:t xml:space="preserve">0.336</w:t>
            </w:r>
          </w:p>
        </w:tc>
      </w:tr>
      <w:tr>
        <w:tc>
          <w:tcPr>
            <w:tcW w:type="dxa" w:w="2400"/>
          </w:tcPr>
          <w:p>
            <w:pPr>
              <w:jc w:val="center"/>
            </w:pPr>
            <w:r>
              <w:rPr>
                <w:b w:val="false"/>
                <w:bCs w:val="false"/>
                <w:color w:val="000000"/>
                <w:sz w:val="20"/>
                <w:szCs w:val="20"/>
              </w:rPr>
              <w:t xml:space="preserve">Random Forest (default)</w:t>
            </w:r>
          </w:p>
        </w:tc>
        <w:tc>
          <w:tcPr>
            <w:tcW w:type="dxa" w:w="1550"/>
          </w:tcPr>
          <w:p>
            <w:pPr>
              <w:jc w:val="center"/>
            </w:pPr>
            <w:r>
              <w:rPr>
                <w:b w:val="false"/>
                <w:bCs w:val="false"/>
                <w:color w:val="000000"/>
                <w:sz w:val="20"/>
                <w:szCs w:val="20"/>
              </w:rPr>
              <w:t xml:space="preserve">3.57</w:t>
            </w:r>
          </w:p>
        </w:tc>
        <w:tc>
          <w:tcPr>
            <w:tcW w:type="dxa" w:w="1550"/>
          </w:tcPr>
          <w:p>
            <w:pPr>
              <w:jc w:val="center"/>
            </w:pPr>
            <w:r>
              <w:rPr>
                <w:b w:val="false"/>
                <w:bCs w:val="false"/>
                <w:color w:val="000000"/>
                <w:sz w:val="20"/>
                <w:szCs w:val="20"/>
              </w:rPr>
              <w:t xml:space="preserve">45.28</w:t>
            </w:r>
          </w:p>
        </w:tc>
        <w:tc>
          <w:tcPr>
            <w:tcW w:type="dxa" w:w="1550"/>
          </w:tcPr>
          <w:p>
            <w:pPr>
              <w:jc w:val="center"/>
            </w:pPr>
            <w:r>
              <w:rPr>
                <w:b w:val="false"/>
                <w:bCs w:val="false"/>
                <w:color w:val="000000"/>
                <w:sz w:val="20"/>
                <w:szCs w:val="20"/>
              </w:rPr>
              <w:t xml:space="preserve">6.73</w:t>
            </w:r>
          </w:p>
        </w:tc>
        <w:tc>
          <w:tcPr>
            <w:tcW w:type="dxa" w:w="1550"/>
          </w:tcPr>
          <w:p>
            <w:pPr>
              <w:jc w:val="center"/>
            </w:pPr>
            <w:r>
              <w:rPr>
                <w:b w:val="false"/>
                <w:bCs w:val="false"/>
                <w:color w:val="000000"/>
                <w:sz w:val="20"/>
                <w:szCs w:val="20"/>
              </w:rPr>
              <w:t xml:space="preserve">0.635</w:t>
            </w:r>
          </w:p>
        </w:tc>
      </w:tr>
      <w:tr>
        <w:tc>
          <w:tcPr>
            <w:tcW w:type="dxa" w:w="2400"/>
          </w:tcPr>
          <w:p>
            <w:pPr>
              <w:jc w:val="center"/>
            </w:pPr>
            <w:r>
              <w:rPr>
                <w:b w:val="false"/>
                <w:bCs w:val="false"/>
                <w:color w:val="000000"/>
                <w:sz w:val="20"/>
                <w:szCs w:val="20"/>
              </w:rPr>
              <w:t xml:space="preserve">Random Forest (tuned, GridSearchCV)</w:t>
            </w:r>
          </w:p>
        </w:tc>
        <w:tc>
          <w:tcPr>
            <w:tcW w:type="dxa" w:w="1550"/>
          </w:tcPr>
          <w:p>
            <w:pPr>
              <w:jc w:val="center"/>
            </w:pPr>
            <w:r>
              <w:rPr>
                <w:b w:val="false"/>
                <w:bCs w:val="false"/>
                <w:color w:val="000000"/>
                <w:sz w:val="20"/>
                <w:szCs w:val="20"/>
              </w:rPr>
              <w:t xml:space="preserve">3.53</w:t>
            </w:r>
          </w:p>
        </w:tc>
        <w:tc>
          <w:tcPr>
            <w:tcW w:type="dxa" w:w="1550"/>
          </w:tcPr>
          <w:p>
            <w:pPr>
              <w:jc w:val="center"/>
            </w:pPr>
            <w:r>
              <w:rPr>
                <w:b w:val="false"/>
                <w:bCs w:val="false"/>
                <w:color w:val="000000"/>
                <w:sz w:val="20"/>
                <w:szCs w:val="20"/>
              </w:rPr>
              <w:t xml:space="preserve">46.26</w:t>
            </w:r>
          </w:p>
        </w:tc>
        <w:tc>
          <w:tcPr>
            <w:tcW w:type="dxa" w:w="1550"/>
          </w:tcPr>
          <w:p>
            <w:pPr>
              <w:jc w:val="center"/>
            </w:pPr>
            <w:r>
              <w:rPr>
                <w:b w:val="false"/>
                <w:bCs w:val="false"/>
                <w:color w:val="000000"/>
                <w:sz w:val="20"/>
                <w:szCs w:val="20"/>
              </w:rPr>
              <w:t xml:space="preserve">6.80</w:t>
            </w:r>
          </w:p>
        </w:tc>
        <w:tc>
          <w:tcPr>
            <w:tcW w:type="dxa" w:w="1550"/>
          </w:tcPr>
          <w:p>
            <w:pPr>
              <w:jc w:val="center"/>
            </w:pPr>
            <w:r>
              <w:rPr>
                <w:b w:val="false"/>
                <w:bCs w:val="false"/>
                <w:color w:val="000000"/>
                <w:sz w:val="20"/>
                <w:szCs w:val="20"/>
              </w:rPr>
              <w:t xml:space="preserve">0.627</w:t>
            </w:r>
          </w:p>
        </w:tc>
      </w:tr>
    </w:tbl>
    <w:p>
      <w:pPr>
        <w:spacing w:after="150"/>
      </w:pPr>
      <w:r>
        <w:t xml:space="preserve"/>
      </w:r>
    </w:p>
    <w:p>
      <w:pPr>
        <w:spacing w:after="150"/>
      </w:pPr>
      <w:r>
        <w:t xml:space="preserve">Random Forest (default) delivered the best test-set performance (highest R2 = 0.635, lowest MAE = 3.57), slightly ahead of its own GridSearchCV-tuned version and clearly ahead of Decision Tree and KNN. KNN performed weakest, and its tuned version underperformed the default, suggesting the search grid didn't generalize better on this particular split.</w:t>
      </w:r>
    </w:p>
    <w:p>
      <w:pPr>
        <w:pStyle w:val="Heading2"/>
        <w:spacing w:after="100" w:before="200"/>
      </w:pPr>
      <w:r>
        <w:t xml:space="preserve">4.1 Overfitting Check</w:t>
      </w:r>
    </w:p>
    <w:p>
      <w:pPr>
        <w:pStyle w:val="ListParagraph"/>
        <w:numPr>
          <w:ilvl w:val="0"/>
          <w:numId w:val="1"/>
        </w:numPr>
        <w:spacing w:after="80"/>
      </w:pPr>
      <w:r>
        <w:t xml:space="preserve">Default Decision Tree: training R2 = 1.0 vs test R2 = 0.620 — clear overfitting</w:t>
      </w:r>
    </w:p>
    <w:p>
      <w:pPr>
        <w:pStyle w:val="ListParagraph"/>
        <w:numPr>
          <w:ilvl w:val="0"/>
          <w:numId w:val="1"/>
        </w:numPr>
        <w:spacing w:after="80"/>
      </w:pPr>
      <w:r>
        <w:t xml:space="preserve">Depth-limited Decision Tree (max_depth=5): training R2 = 0.936 — better generalization gap</w:t>
      </w:r>
    </w:p>
    <w:p>
      <w:pPr>
        <w:pStyle w:val="ListParagraph"/>
        <w:numPr>
          <w:ilvl w:val="0"/>
          <w:numId w:val="1"/>
        </w:numPr>
        <w:spacing w:after="80"/>
      </w:pPr>
      <w:r>
        <w:t xml:space="preserve">Random Forest (default): training R2 = 0.981 vs test R2 = 0.635 — some overfitting, but still the strongest test performance among all models tried</w:t>
      </w:r>
    </w:p>
    <w:p>
      <w:pPr>
        <w:pStyle w:val="Heading1"/>
        <w:spacing w:after="150" w:before="300"/>
      </w:pPr>
      <w:r>
        <w:t xml:space="preserve">5. Final Model</w:t>
      </w:r>
    </w:p>
    <w:p>
      <w:pPr>
        <w:spacing w:after="150"/>
      </w:pPr>
      <w:r>
        <w:t xml:space="preserve">The Random Forest Regressor was selected as the final model and saved as Boston_Project_Model.pkl, trained on 11 input features: ID, indus, chas, nox, rm, age, dis, rad, tax, ptratio, lstat.</w:t>
      </w:r>
    </w:p>
    <w:p>
      <w:pPr>
        <w:pStyle w:val="Heading2"/>
        <w:spacing w:after="100" w:before="200"/>
      </w:pPr>
      <w:r>
        <w:t xml:space="preserve">5.1 Feature Importance (from Decision Tree analysis)</w:t>
      </w:r>
    </w:p>
    <w:p>
      <w:pPr>
        <w:spacing w:after="150"/>
      </w:pPr>
      <w:r>
        <w:t xml:space="preserve">rm and lstat emerged as by far the most influential predictors of house price:</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tblGrid>
      <w:tr>
        <w:tc>
          <w:tcPr>
            <w:tcW w:type="dxa" w:w="3000"/>
            <w:shd w:fill="2E5395" w:color="auto" w:val="clear"/>
          </w:tcPr>
          <w:p>
            <w:pPr>
              <w:jc w:val="center"/>
            </w:pPr>
            <w:r>
              <w:rPr>
                <w:b/>
                <w:bCs/>
                <w:color w:val="FFFFFF"/>
                <w:sz w:val="20"/>
                <w:szCs w:val="20"/>
              </w:rPr>
              <w:t xml:space="preserve">Feature</w:t>
            </w:r>
          </w:p>
        </w:tc>
        <w:tc>
          <w:tcPr>
            <w:tcW w:type="dxa" w:w="2500"/>
            <w:shd w:fill="2E5395" w:color="auto" w:val="clear"/>
          </w:tcPr>
          <w:p>
            <w:pPr>
              <w:jc w:val="center"/>
            </w:pPr>
            <w:r>
              <w:rPr>
                <w:b/>
                <w:bCs/>
                <w:color w:val="FFFFFF"/>
                <w:sz w:val="20"/>
                <w:szCs w:val="20"/>
              </w:rPr>
              <w:t xml:space="preserve">Importance (Decision Tree)</w:t>
            </w:r>
          </w:p>
        </w:tc>
      </w:tr>
      <w:tr>
        <w:tc>
          <w:tcPr>
            <w:tcW w:type="dxa" w:w="3000"/>
          </w:tcPr>
          <w:p>
            <w:pPr>
              <w:jc w:val="center"/>
            </w:pPr>
            <w:r>
              <w:rPr>
                <w:b w:val="false"/>
                <w:bCs w:val="false"/>
                <w:color w:val="000000"/>
                <w:sz w:val="20"/>
                <w:szCs w:val="20"/>
              </w:rPr>
              <w:t xml:space="preserve">rm (avg rooms per dwelling)</w:t>
            </w:r>
          </w:p>
        </w:tc>
        <w:tc>
          <w:tcPr>
            <w:tcW w:type="dxa" w:w="2500"/>
          </w:tcPr>
          <w:p>
            <w:pPr>
              <w:jc w:val="center"/>
            </w:pPr>
            <w:r>
              <w:rPr>
                <w:b w:val="false"/>
                <w:bCs w:val="false"/>
                <w:color w:val="000000"/>
                <w:sz w:val="20"/>
                <w:szCs w:val="20"/>
              </w:rPr>
              <w:t xml:space="preserve">0.635</w:t>
            </w:r>
          </w:p>
        </w:tc>
      </w:tr>
      <w:tr>
        <w:tc>
          <w:tcPr>
            <w:tcW w:type="dxa" w:w="3000"/>
          </w:tcPr>
          <w:p>
            <w:pPr>
              <w:jc w:val="center"/>
            </w:pPr>
            <w:r>
              <w:rPr>
                <w:b w:val="false"/>
                <w:bCs w:val="false"/>
                <w:color w:val="000000"/>
                <w:sz w:val="20"/>
                <w:szCs w:val="20"/>
              </w:rPr>
              <w:t xml:space="preserve">lstat (% lower status population)</w:t>
            </w:r>
          </w:p>
        </w:tc>
        <w:tc>
          <w:tcPr>
            <w:tcW w:type="dxa" w:w="2500"/>
          </w:tcPr>
          <w:p>
            <w:pPr>
              <w:jc w:val="center"/>
            </w:pPr>
            <w:r>
              <w:rPr>
                <w:b w:val="false"/>
                <w:bCs w:val="false"/>
                <w:color w:val="000000"/>
                <w:sz w:val="20"/>
                <w:szCs w:val="20"/>
              </w:rPr>
              <w:t xml:space="preserve">0.230</w:t>
            </w:r>
          </w:p>
        </w:tc>
      </w:tr>
      <w:tr>
        <w:tc>
          <w:tcPr>
            <w:tcW w:type="dxa" w:w="3000"/>
          </w:tcPr>
          <w:p>
            <w:pPr>
              <w:jc w:val="center"/>
            </w:pPr>
            <w:r>
              <w:rPr>
                <w:b w:val="false"/>
                <w:bCs w:val="false"/>
                <w:color w:val="000000"/>
                <w:sz w:val="20"/>
                <w:szCs w:val="20"/>
              </w:rPr>
              <w:t xml:space="preserve">ID</w:t>
            </w:r>
          </w:p>
        </w:tc>
        <w:tc>
          <w:tcPr>
            <w:tcW w:type="dxa" w:w="2500"/>
          </w:tcPr>
          <w:p>
            <w:pPr>
              <w:jc w:val="center"/>
            </w:pPr>
            <w:r>
              <w:rPr>
                <w:b w:val="false"/>
                <w:bCs w:val="false"/>
                <w:color w:val="000000"/>
                <w:sz w:val="20"/>
                <w:szCs w:val="20"/>
              </w:rPr>
              <w:t xml:space="preserve">0.044</w:t>
            </w:r>
          </w:p>
        </w:tc>
      </w:tr>
      <w:tr>
        <w:tc>
          <w:tcPr>
            <w:tcW w:type="dxa" w:w="3000"/>
          </w:tcPr>
          <w:p>
            <w:pPr>
              <w:jc w:val="center"/>
            </w:pPr>
            <w:r>
              <w:rPr>
                <w:b w:val="false"/>
                <w:bCs w:val="false"/>
                <w:color w:val="000000"/>
                <w:sz w:val="20"/>
                <w:szCs w:val="20"/>
              </w:rPr>
              <w:t xml:space="preserve">dis (distance to employment centres)</w:t>
            </w:r>
          </w:p>
        </w:tc>
        <w:tc>
          <w:tcPr>
            <w:tcW w:type="dxa" w:w="2500"/>
          </w:tcPr>
          <w:p>
            <w:pPr>
              <w:jc w:val="center"/>
            </w:pPr>
            <w:r>
              <w:rPr>
                <w:b w:val="false"/>
                <w:bCs w:val="false"/>
                <w:color w:val="000000"/>
                <w:sz w:val="20"/>
                <w:szCs w:val="20"/>
              </w:rPr>
              <w:t xml:space="preserve">0.028</w:t>
            </w:r>
          </w:p>
        </w:tc>
      </w:tr>
      <w:tr>
        <w:tc>
          <w:tcPr>
            <w:tcW w:type="dxa" w:w="3000"/>
          </w:tcPr>
          <w:p>
            <w:pPr>
              <w:jc w:val="center"/>
            </w:pPr>
            <w:r>
              <w:rPr>
                <w:b w:val="false"/>
                <w:bCs w:val="false"/>
                <w:color w:val="000000"/>
                <w:sz w:val="20"/>
                <w:szCs w:val="20"/>
              </w:rPr>
              <w:t xml:space="preserve">tax (property tax rate)</w:t>
            </w:r>
          </w:p>
        </w:tc>
        <w:tc>
          <w:tcPr>
            <w:tcW w:type="dxa" w:w="2500"/>
          </w:tcPr>
          <w:p>
            <w:pPr>
              <w:jc w:val="center"/>
            </w:pPr>
            <w:r>
              <w:rPr>
                <w:b w:val="false"/>
                <w:bCs w:val="false"/>
                <w:color w:val="000000"/>
                <w:sz w:val="20"/>
                <w:szCs w:val="20"/>
              </w:rPr>
              <w:t xml:space="preserve">0.017</w:t>
            </w:r>
          </w:p>
        </w:tc>
      </w:tr>
      <w:tr>
        <w:tc>
          <w:tcPr>
            <w:tcW w:type="dxa" w:w="3000"/>
          </w:tcPr>
          <w:p>
            <w:pPr>
              <w:jc w:val="center"/>
            </w:pPr>
            <w:r>
              <w:rPr>
                <w:b w:val="false"/>
                <w:bCs w:val="false"/>
                <w:color w:val="000000"/>
                <w:sz w:val="20"/>
                <w:szCs w:val="20"/>
              </w:rPr>
              <w:t xml:space="preserve">indus (non-retail business acres)</w:t>
            </w:r>
          </w:p>
        </w:tc>
        <w:tc>
          <w:tcPr>
            <w:tcW w:type="dxa" w:w="2500"/>
          </w:tcPr>
          <w:p>
            <w:pPr>
              <w:jc w:val="center"/>
            </w:pPr>
            <w:r>
              <w:rPr>
                <w:b w:val="false"/>
                <w:bCs w:val="false"/>
                <w:color w:val="000000"/>
                <w:sz w:val="20"/>
                <w:szCs w:val="20"/>
              </w:rPr>
              <w:t xml:space="preserve">0.012</w:t>
            </w:r>
          </w:p>
        </w:tc>
      </w:tr>
      <w:tr>
        <w:tc>
          <w:tcPr>
            <w:tcW w:type="dxa" w:w="3000"/>
          </w:tcPr>
          <w:p>
            <w:pPr>
              <w:jc w:val="center"/>
            </w:pPr>
            <w:r>
              <w:rPr>
                <w:b w:val="false"/>
                <w:bCs w:val="false"/>
                <w:color w:val="000000"/>
                <w:sz w:val="20"/>
                <w:szCs w:val="20"/>
              </w:rPr>
              <w:t xml:space="preserve">ptratio (pupil-teacher ratio)</w:t>
            </w:r>
          </w:p>
        </w:tc>
        <w:tc>
          <w:tcPr>
            <w:tcW w:type="dxa" w:w="2500"/>
          </w:tcPr>
          <w:p>
            <w:pPr>
              <w:jc w:val="center"/>
            </w:pPr>
            <w:r>
              <w:rPr>
                <w:b w:val="false"/>
                <w:bCs w:val="false"/>
                <w:color w:val="000000"/>
                <w:sz w:val="20"/>
                <w:szCs w:val="20"/>
              </w:rPr>
              <w:t xml:space="preserve">0.008</w:t>
            </w:r>
          </w:p>
        </w:tc>
      </w:tr>
      <w:tr>
        <w:tc>
          <w:tcPr>
            <w:tcW w:type="dxa" w:w="3000"/>
          </w:tcPr>
          <w:p>
            <w:pPr>
              <w:jc w:val="center"/>
            </w:pPr>
            <w:r>
              <w:rPr>
                <w:b w:val="false"/>
                <w:bCs w:val="false"/>
                <w:color w:val="000000"/>
                <w:sz w:val="20"/>
                <w:szCs w:val="20"/>
              </w:rPr>
              <w:t xml:space="preserve">nox (nitric oxide concentration)</w:t>
            </w:r>
          </w:p>
        </w:tc>
        <w:tc>
          <w:tcPr>
            <w:tcW w:type="dxa" w:w="2500"/>
          </w:tcPr>
          <w:p>
            <w:pPr>
              <w:jc w:val="center"/>
            </w:pPr>
            <w:r>
              <w:rPr>
                <w:b w:val="false"/>
                <w:bCs w:val="false"/>
                <w:color w:val="000000"/>
                <w:sz w:val="20"/>
                <w:szCs w:val="20"/>
              </w:rPr>
              <w:t xml:space="preserve">0.009</w:t>
            </w:r>
          </w:p>
        </w:tc>
      </w:tr>
      <w:tr>
        <w:tc>
          <w:tcPr>
            <w:tcW w:type="dxa" w:w="3000"/>
          </w:tcPr>
          <w:p>
            <w:pPr>
              <w:jc w:val="center"/>
            </w:pPr>
            <w:r>
              <w:rPr>
                <w:b w:val="false"/>
                <w:bCs w:val="false"/>
                <w:color w:val="000000"/>
                <w:sz w:val="20"/>
                <w:szCs w:val="20"/>
              </w:rPr>
              <w:t xml:space="preserve">rad (highway accessibility index)</w:t>
            </w:r>
          </w:p>
        </w:tc>
        <w:tc>
          <w:tcPr>
            <w:tcW w:type="dxa" w:w="2500"/>
          </w:tcPr>
          <w:p>
            <w:pPr>
              <w:jc w:val="center"/>
            </w:pPr>
            <w:r>
              <w:rPr>
                <w:b w:val="false"/>
                <w:bCs w:val="false"/>
                <w:color w:val="000000"/>
                <w:sz w:val="20"/>
                <w:szCs w:val="20"/>
              </w:rPr>
              <w:t xml:space="preserve">0.006</w:t>
            </w:r>
          </w:p>
        </w:tc>
      </w:tr>
      <w:tr>
        <w:tc>
          <w:tcPr>
            <w:tcW w:type="dxa" w:w="3000"/>
          </w:tcPr>
          <w:p>
            <w:pPr>
              <w:jc w:val="center"/>
            </w:pPr>
            <w:r>
              <w:rPr>
                <w:b w:val="false"/>
                <w:bCs w:val="false"/>
                <w:color w:val="000000"/>
                <w:sz w:val="20"/>
                <w:szCs w:val="20"/>
              </w:rPr>
              <w:t xml:space="preserve">age (% built before 1940)</w:t>
            </w:r>
          </w:p>
        </w:tc>
        <w:tc>
          <w:tcPr>
            <w:tcW w:type="dxa" w:w="2500"/>
          </w:tcPr>
          <w:p>
            <w:pPr>
              <w:jc w:val="center"/>
            </w:pPr>
            <w:r>
              <w:rPr>
                <w:b w:val="false"/>
                <w:bCs w:val="false"/>
                <w:color w:val="000000"/>
                <w:sz w:val="20"/>
                <w:szCs w:val="20"/>
              </w:rPr>
              <w:t xml:space="preserve">0.008</w:t>
            </w:r>
          </w:p>
        </w:tc>
      </w:tr>
      <w:tr>
        <w:tc>
          <w:tcPr>
            <w:tcW w:type="dxa" w:w="3000"/>
          </w:tcPr>
          <w:p>
            <w:pPr>
              <w:jc w:val="center"/>
            </w:pPr>
            <w:r>
              <w:rPr>
                <w:b w:val="false"/>
                <w:bCs w:val="false"/>
                <w:color w:val="000000"/>
                <w:sz w:val="20"/>
                <w:szCs w:val="20"/>
              </w:rPr>
              <w:t xml:space="preserve">chas (Charles River dummy)</w:t>
            </w:r>
          </w:p>
        </w:tc>
        <w:tc>
          <w:tcPr>
            <w:tcW w:type="dxa" w:w="2500"/>
          </w:tcPr>
          <w:p>
            <w:pPr>
              <w:jc w:val="center"/>
            </w:pPr>
            <w:r>
              <w:rPr>
                <w:b w:val="false"/>
                <w:bCs w:val="false"/>
                <w:color w:val="000000"/>
                <w:sz w:val="20"/>
                <w:szCs w:val="20"/>
              </w:rPr>
              <w:t xml:space="preserve">0.003</w:t>
            </w:r>
          </w:p>
        </w:tc>
      </w:tr>
    </w:tbl>
    <w:p>
      <w:pPr>
        <w:pStyle w:val="Heading1"/>
        <w:spacing w:after="150" w:before="300"/>
      </w:pPr>
      <w:r>
        <w:t xml:space="preserve">6. Deployment</w:t>
      </w:r>
    </w:p>
    <w:p>
      <w:pPr>
        <w:spacing w:after="150"/>
      </w:pPr>
      <w:r>
        <w:t xml:space="preserve">The final model was deployed as an interactive Streamlit web application (app.py), allowing users to input property characteristics through a form and receive an instant MEDV prediction.</w:t>
      </w:r>
    </w:p>
    <w:p>
      <w:pPr>
        <w:pStyle w:val="ListParagraph"/>
        <w:numPr>
          <w:ilvl w:val="0"/>
          <w:numId w:val="1"/>
        </w:numPr>
        <w:spacing w:after="80"/>
      </w:pPr>
      <w:r>
        <w:t xml:space="preserve">Model is loaded once via joblib and cached using @st.cache_resource</w:t>
      </w:r>
    </w:p>
    <w:p>
      <w:pPr>
        <w:pStyle w:val="ListParagraph"/>
        <w:numPr>
          <w:ilvl w:val="0"/>
          <w:numId w:val="1"/>
        </w:numPr>
        <w:spacing w:after="80"/>
      </w:pPr>
      <w:r>
        <w:t xml:space="preserve">User enters the 11 feature values through numeric input fields</w:t>
      </w:r>
    </w:p>
    <w:p>
      <w:pPr>
        <w:pStyle w:val="ListParagraph"/>
        <w:numPr>
          <w:ilvl w:val="0"/>
          <w:numId w:val="1"/>
        </w:numPr>
        <w:spacing w:after="80"/>
      </w:pPr>
      <w:r>
        <w:t xml:space="preserve">On clicking "Predict", the app constructs a single-row DataFrame matching the model's expected feature names/order and returns the predicted median house value</w:t>
      </w:r>
    </w:p>
    <w:p>
      <w:pPr>
        <w:pStyle w:val="ListParagraph"/>
        <w:numPr>
          <w:ilvl w:val="0"/>
          <w:numId w:val="1"/>
        </w:numPr>
        <w:spacing w:after="80"/>
      </w:pPr>
      <w:r>
        <w:t xml:space="preserve">Run locally with: streamlit run app.py</w:t>
      </w:r>
    </w:p>
    <w:p>
      <w:pPr>
        <w:pStyle w:val="Heading1"/>
        <w:spacing w:after="150" w:before="300"/>
      </w:pPr>
      <w:r>
        <w:t xml:space="preserve">7. Conclusion</w:t>
      </w:r>
    </w:p>
    <w:p>
      <w:pPr>
        <w:spacing w:after="150"/>
      </w:pPr>
      <w:r>
        <w:t xml:space="preserve">Random Forest Regression provided the best balance of accuracy and generalization for predicting Boston housing prices, achieving an R2 of approximately 0.63 on unseen test data. The strongest predictors of house price were the average number of rooms (rm) and the percentage of lower-status population (lstat) in the area. The trained model has been successfully packaged into a Streamlit application for interactive, real-time predictions.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2026-09-05T09:21:46.453Z</dcterms:created>
  <dcterms:modified xsi:type="dcterms:W3CDTF">2026-09-05T09:21:46.463Z</dcterms:modified>
</cp:coreProperties>
</file>

<file path=docProps/custom.xml><?xml version="1.0" encoding="utf-8"?>
<Properties xmlns="http://schemas.openxmlformats.org/officeDocument/2006/custom-properties" xmlns:vt="http://schemas.openxmlformats.org/officeDocument/2006/docPropsVTypes"/>
</file>