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20"/>
        <w:jc w:val="center"/>
      </w:pPr>
      <w:r>
        <w:rPr>
          <w:rFonts w:ascii="Calibri" w:cs="Calibri" w:eastAsia="Calibri" w:hAnsi="Calibri"/>
          <w:b/>
          <w:bCs/>
          <w:color w:val="454545"/>
          <w:sz w:val="52"/>
          <w:szCs w:val="52"/>
        </w:rPr>
        <w:t xml:space="preserve">S.MART RETAIL AI</w:t>
      </w:r>
    </w:p>
    <w:p>
      <w:pPr>
        <w:spacing w:after="400"/>
        <w:jc w:val="center"/>
      </w:pPr>
      <w:r>
        <w:rPr>
          <w:rFonts w:ascii="Calibri" w:cs="Calibri" w:eastAsia="Calibri" w:hAnsi="Calibri"/>
          <w:color w:val="595959"/>
          <w:sz w:val="26"/>
          <w:szCs w:val="26"/>
        </w:rPr>
        <w:t xml:space="preserve">Amalgamating SAP Customer Checkout Data with a Synthesized Store Network</w:t>
      </w:r>
    </w:p>
    <w:p>
      <w:pPr>
        <w:spacing w:after="900"/>
        <w:jc w:val="center"/>
      </w:pPr>
      <w:r>
        <w:rPr>
          <w:rFonts w:ascii="Calibri" w:cs="Calibri" w:eastAsia="Calibri" w:hAnsi="Calibri"/>
          <w:i/>
          <w:iCs/>
          <w:color w:val="595959"/>
          <w:sz w:val="22"/>
          <w:szCs w:val="22"/>
        </w:rPr>
        <w:t xml:space="preserve">Six AI Scenarios, OData V4 Services and SAP Fiori Dashboards on SAP HANA Cloud</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6675"/>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r>
      <w:tr>
        <w:tc>
          <w:tcPr>
            <w:tcW w:type="dxa" w:w="2345"/>
            <w:tcMar>
              <w:top w:type="dxa" w:w="70"/>
              <w:left w:type="dxa" w:w="110"/>
              <w:bottom w:type="dxa" w:w="70"/>
              <w:right w:type="dxa" w:w="110"/>
            </w:tcMar>
          </w:tcPr>
          <w:p>
            <w:pPr>
              <w:spacing w:after="0" w:line="250"/>
            </w:pPr>
            <w:r>
              <w:rPr>
                <w:rFonts w:ascii="Calibri" w:cs="Calibri" w:eastAsia="Calibri" w:hAnsi="Calibri"/>
                <w:sz w:val="19"/>
                <w:szCs w:val="19"/>
              </w:rPr>
              <w:t xml:space="preserve">Project</w:t>
            </w:r>
          </w:p>
        </w:tc>
        <w:tc>
          <w:tcPr>
            <w:tcW w:type="dxa" w:w="6675"/>
            <w:tcMar>
              <w:top w:type="dxa" w:w="70"/>
              <w:left w:type="dxa" w:w="110"/>
              <w:bottom w:type="dxa" w:w="70"/>
              <w:right w:type="dxa" w:w="110"/>
            </w:tcMar>
          </w:tcPr>
          <w:p>
            <w:pPr>
              <w:spacing w:after="0" w:line="250"/>
            </w:pPr>
            <w:r>
              <w:rPr>
                <w:rFonts w:ascii="Calibri" w:cs="Calibri" w:eastAsia="Calibri" w:hAnsi="Calibri"/>
                <w:sz w:val="19"/>
                <w:szCs w:val="19"/>
              </w:rPr>
              <w:t xml:space="preserve">S.Mart Retail AI (repository: retailapp1)</w:t>
            </w:r>
          </w:p>
        </w:tc>
      </w:tr>
      <w:tr>
        <w:tc>
          <w:tcPr>
            <w:tcW w:type="dxa" w:w="234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Platform</w:t>
            </w:r>
          </w:p>
        </w:tc>
        <w:tc>
          <w:tcPr>
            <w:tcW w:type="dxa" w:w="667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SAP Cloud Application Programming Model, Node.js 22, SAP HANA Cloud</w:t>
            </w:r>
          </w:p>
        </w:tc>
      </w:tr>
      <w:tr>
        <w:tc>
          <w:tcPr>
            <w:tcW w:type="dxa" w:w="2345"/>
            <w:tcMar>
              <w:top w:type="dxa" w:w="70"/>
              <w:left w:type="dxa" w:w="110"/>
              <w:bottom w:type="dxa" w:w="70"/>
              <w:right w:type="dxa" w:w="110"/>
            </w:tcMar>
          </w:tcPr>
          <w:p>
            <w:pPr>
              <w:spacing w:after="0" w:line="250"/>
            </w:pPr>
            <w:r>
              <w:rPr>
                <w:rFonts w:ascii="Calibri" w:cs="Calibri" w:eastAsia="Calibri" w:hAnsi="Calibri"/>
                <w:sz w:val="19"/>
                <w:szCs w:val="19"/>
              </w:rPr>
              <w:t xml:space="preserve">Source data</w:t>
            </w:r>
          </w:p>
        </w:tc>
        <w:tc>
          <w:tcPr>
            <w:tcW w:type="dxa" w:w="6675"/>
            <w:tcMar>
              <w:top w:type="dxa" w:w="70"/>
              <w:left w:type="dxa" w:w="110"/>
              <w:bottom w:type="dxa" w:w="70"/>
              <w:right w:type="dxa" w:w="110"/>
            </w:tcMar>
          </w:tcPr>
          <w:p>
            <w:pPr>
              <w:spacing w:after="0" w:line="250"/>
            </w:pPr>
            <w:r>
              <w:rPr>
                <w:rFonts w:ascii="Calibri" w:cs="Calibri" w:eastAsia="Calibri" w:hAnsi="Calibri"/>
                <w:sz w:val="19"/>
                <w:szCs w:val="19"/>
              </w:rPr>
              <w:t xml:space="preserve">SAP Customer Checkout — Complete Sales Report, S.Mart Walldorf</w:t>
            </w:r>
          </w:p>
        </w:tc>
      </w:tr>
      <w:tr>
        <w:tc>
          <w:tcPr>
            <w:tcW w:type="dxa" w:w="234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Reporting period</w:t>
            </w:r>
          </w:p>
        </w:tc>
        <w:tc>
          <w:tcPr>
            <w:tcW w:type="dxa" w:w="667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 January 2026 to 3 July 2026 (179 trading days)</w:t>
            </w:r>
          </w:p>
        </w:tc>
      </w:tr>
      <w:tr>
        <w:tc>
          <w:tcPr>
            <w:tcW w:type="dxa" w:w="2345"/>
            <w:tcMar>
              <w:top w:type="dxa" w:w="70"/>
              <w:left w:type="dxa" w:w="110"/>
              <w:bottom w:type="dxa" w:w="70"/>
              <w:right w:type="dxa" w:w="110"/>
            </w:tcMar>
          </w:tcPr>
          <w:p>
            <w:pPr>
              <w:spacing w:after="0" w:line="250"/>
            </w:pPr>
            <w:r>
              <w:rPr>
                <w:rFonts w:ascii="Calibri" w:cs="Calibri" w:eastAsia="Calibri" w:hAnsi="Calibri"/>
                <w:sz w:val="19"/>
                <w:szCs w:val="19"/>
              </w:rPr>
              <w:t xml:space="preserve">Document</w:t>
            </w:r>
          </w:p>
        </w:tc>
        <w:tc>
          <w:tcPr>
            <w:tcW w:type="dxa" w:w="6675"/>
            <w:tcMar>
              <w:top w:type="dxa" w:w="70"/>
              <w:left w:type="dxa" w:w="110"/>
              <w:bottom w:type="dxa" w:w="70"/>
              <w:right w:type="dxa" w:w="110"/>
            </w:tcMar>
          </w:tcPr>
          <w:p>
            <w:pPr>
              <w:spacing w:after="0" w:line="250"/>
            </w:pPr>
            <w:r>
              <w:rPr>
                <w:rFonts w:ascii="Calibri" w:cs="Calibri" w:eastAsia="Calibri" w:hAnsi="Calibri"/>
                <w:sz w:val="19"/>
                <w:szCs w:val="19"/>
              </w:rPr>
              <w:t xml:space="preserve">Technical project report, revision 1.1</w:t>
            </w:r>
          </w:p>
        </w:tc>
      </w:tr>
      <w:tr>
        <w:tc>
          <w:tcPr>
            <w:tcW w:type="dxa" w:w="234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Date</w:t>
            </w:r>
          </w:p>
        </w:tc>
        <w:tc>
          <w:tcPr>
            <w:tcW w:type="dxa" w:w="667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29 July 2026</w:t>
            </w:r>
          </w:p>
        </w:tc>
      </w:tr>
      <w:tr>
        <w:tc>
          <w:tcPr>
            <w:tcW w:type="dxa" w:w="2345"/>
            <w:tcMar>
              <w:top w:type="dxa" w:w="70"/>
              <w:left w:type="dxa" w:w="110"/>
              <w:bottom w:type="dxa" w:w="70"/>
              <w:right w:type="dxa" w:w="110"/>
            </w:tcMar>
          </w:tcPr>
          <w:p>
            <w:pPr>
              <w:spacing w:after="0" w:line="250"/>
            </w:pPr>
            <w:r>
              <w:rPr>
                <w:rFonts w:ascii="Calibri" w:cs="Calibri" w:eastAsia="Calibri" w:hAnsi="Calibri"/>
                <w:sz w:val="19"/>
                <w:szCs w:val="19"/>
              </w:rPr>
              <w:t xml:space="preserve">Author</w:t>
            </w:r>
          </w:p>
        </w:tc>
        <w:tc>
          <w:tcPr>
            <w:tcW w:type="dxa" w:w="6675"/>
            <w:tcMar>
              <w:top w:type="dxa" w:w="70"/>
              <w:left w:type="dxa" w:w="110"/>
              <w:bottom w:type="dxa" w:w="70"/>
              <w:right w:type="dxa" w:w="110"/>
            </w:tcMar>
          </w:tcPr>
          <w:p>
            <w:pPr>
              <w:spacing w:after="0" w:line="250"/>
            </w:pPr>
            <w:r>
              <w:rPr>
                <w:rFonts w:ascii="Calibri" w:cs="Calibri" w:eastAsia="Calibri" w:hAnsi="Calibri"/>
                <w:sz w:val="19"/>
                <w:szCs w:val="19"/>
              </w:rPr>
              <w:t xml:space="preserve">Divyansh Maurya</w:t>
            </w:r>
          </w:p>
        </w:tc>
      </w:tr>
    </w:tbl>
    <w:p>
      <w:r>
        <w:br w:type="page"/>
      </w:r>
    </w:p>
    <w:p>
      <w:pPr>
        <w:pStyle w:val="Heading1"/>
        <w:spacing w:after="160" w:before="360"/>
      </w:pPr>
      <w:r>
        <w:rPr>
          <w:rFonts w:ascii="Calibri" w:cs="Calibri" w:eastAsia="Calibri" w:hAnsi="Calibri"/>
          <w:b/>
          <w:bCs/>
          <w:color w:val="454545"/>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454545"/>
          <w:sz w:val="30"/>
          <w:szCs w:val="30"/>
        </w:rPr>
        <w:t xml:space="preserve">1. Executive Summary</w:t>
      </w:r>
    </w:p>
    <w:p>
      <w:pPr>
        <w:pBdr>
          <w:bottom w:val="single" w:color="454545" w:sz="6"/>
        </w:pBdr>
        <w:spacing w:after="200" w:before="60"/>
      </w:pPr>
      <w:r>
        <w:rPr>
          <w:sz w:val="2"/>
          <w:szCs w:val="2"/>
        </w:rPr>
        <w:t xml:space="preserve"/>
      </w:r>
    </w:p>
    <w:p>
      <w:pPr>
        <w:spacing w:after="140" w:line="276"/>
      </w:pPr>
      <w:r>
        <w:rPr>
          <w:rFonts w:ascii="Calibri" w:cs="Calibri" w:eastAsia="Calibri" w:hAnsi="Calibri"/>
          <w:sz w:val="21"/>
          <w:szCs w:val="21"/>
        </w:rPr>
        <w:t xml:space="preserve">We were given two spreadsheets exported straight out of SAP Customer Checkout and asked to see what could be done with them: enrich the data, invent some retail scenarios worth demonstrating, and put the results behind Fiori dashboards backed by HANA Cloud. This report covers what the data turned out to be, what we built on top of it, and where the result is solid versus where it still has rough edges.</w:t>
      </w:r>
    </w:p>
    <w:p>
      <w:pPr>
        <w:spacing w:after="140" w:line="276"/>
      </w:pPr>
      <w:r>
        <w:rPr>
          <w:rFonts w:ascii="Calibri" w:cs="Calibri" w:eastAsia="Calibri" w:hAnsi="Calibri"/>
          <w:sz w:val="21"/>
          <w:szCs w:val="21"/>
        </w:rPr>
        <w:t xml:space="preserve">The short version is that the export is from the S.Mart store on the SAP campus in Walldorf. That is a genuinely unusual shop, and it shaped everything that followed. It runs around the clock with nobody behind a counter. You get in by showing a QR code from the S.Mart Grocery App, RFID tags on the products do the scanning, and the payfree gate closes the transaction. SAP Customer Checkout sits behind it recording receipts.</w:t>
      </w:r>
    </w:p>
    <w:p>
      <w:pPr>
        <w:spacing w:after="140" w:line="276"/>
      </w:pPr>
      <w:r>
        <w:rPr>
          <w:rFonts w:ascii="Calibri" w:cs="Calibri" w:eastAsia="Calibri" w:hAnsi="Calibri"/>
          <w:sz w:val="21"/>
          <w:szCs w:val="21"/>
        </w:rPr>
        <w:t xml:space="preserve">One number in the export decided the direction of the whole project. Across the six months covered, the store rang up 2,550 receipts worth EUR 10,588.86. Over the same period it recorded 3,217 cancellations worth EUR 5,830.73, and 2,274 of those happened on the unstaffed payfree gate. More than half the value of completed sales was voided somewhere along the way. In a shop with a cashier, a voided line is usually a customer changing their mind at the till. In a shop with no cashier, it usually means a tag did not read, or somebody walked out with something, or a basket was abandoned at the gate, and there was nobody standing there to notice which.</w:t>
      </w:r>
    </w:p>
    <w:p>
      <w:pPr>
        <w:spacing w:after="140" w:line="276"/>
      </w:pPr>
      <w:r>
        <w:rPr>
          <w:rFonts w:ascii="Calibri" w:cs="Calibri" w:eastAsia="Calibri" w:hAnsi="Calibri"/>
          <w:sz w:val="21"/>
          <w:szCs w:val="21"/>
        </w:rPr>
        <w:t xml:space="preserve">That gap between what the system thinks happened and what actually happened is the most interesting problem in the data, so we built the checkout integrity scenario around it and let the other five scenarios fill out the picture: hourly demand forecasting, replenishment, fresh food markdown, basket affinity, and personalised offers, plus cold chain monitoring on the chiller probes.</w:t>
      </w:r>
    </w:p>
    <w:p>
      <w:pPr>
        <w:pStyle w:val="Heading2"/>
        <w:spacing w:after="120" w:before="260"/>
      </w:pPr>
      <w:r>
        <w:rPr>
          <w:rFonts w:ascii="Calibri" w:cs="Calibri" w:eastAsia="Calibri" w:hAnsi="Calibri"/>
          <w:b/>
          <w:bCs/>
          <w:color w:val="454545"/>
          <w:sz w:val="24"/>
          <w:szCs w:val="24"/>
        </w:rPr>
        <w:t xml:space="preserve">A note on scope</w:t>
      </w:r>
    </w:p>
    <w:p>
      <w:pPr>
        <w:spacing w:after="140" w:line="276"/>
      </w:pPr>
      <w:r>
        <w:rPr>
          <w:rFonts w:ascii="Calibri" w:cs="Calibri" w:eastAsia="Calibri" w:hAnsi="Calibri"/>
          <w:sz w:val="21"/>
          <w:szCs w:val="21"/>
        </w:rPr>
        <w:t xml:space="preserve">The brief asked us to amalgamate the SAP export with the existing synthesized data for the Retail app. That turned out not to be possible, and it is worth recording why: the repository was empty when we started - no commits at all, just a bare git directory - so there was no prior dataset to merge with. Nothing was found elsewhere either.</w:t>
      </w:r>
    </w:p>
    <w:p>
      <w:pPr>
        <w:spacing w:after="140" w:line="276"/>
      </w:pPr>
      <w:r>
        <w:rPr>
          <w:rFonts w:ascii="Calibri" w:cs="Calibri" w:eastAsia="Calibri" w:hAnsi="Calibri"/>
          <w:sz w:val="21"/>
          <w:szCs w:val="21"/>
        </w:rPr>
        <w:t xml:space="preserve">We therefore treated the export as the seed and enriched outward from it, which meets the intent of the brief but is not literally what was asked. If a Retail app dataset does exist somewhere, the pipeline is built to take it: stage two consumes the canonical extract and could just as easily consume a second source alongside it. Section 3.5 sets out exactly what the enrichment added.</w:t>
      </w:r>
    </w:p>
    <w:p>
      <w:pPr>
        <w:pStyle w:val="Heading2"/>
        <w:spacing w:after="120" w:before="260"/>
      </w:pPr>
      <w:r>
        <w:rPr>
          <w:rFonts w:ascii="Calibri" w:cs="Calibri" w:eastAsia="Calibri" w:hAnsi="Calibri"/>
          <w:b/>
          <w:bCs/>
          <w:color w:val="454545"/>
          <w:sz w:val="24"/>
          <w:szCs w:val="24"/>
        </w:rPr>
        <w:t xml:space="preserve">What was delivered</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165"/>
        <w:gridCol w:w="6855"/>
      </w:tblGrid>
      <w:tr>
        <w:trPr>
          <w:tblHeader/>
        </w:trPr>
        <w:tc>
          <w:tcPr>
            <w:tcW w:type="dxa" w:w="2165"/>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Component</w:t>
            </w:r>
          </w:p>
        </w:tc>
        <w:tc>
          <w:tcPr>
            <w:tcW w:type="dxa" w:w="6855"/>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Detail</w:t>
            </w:r>
          </w:p>
        </w:tc>
      </w:tr>
      <w:tr>
        <w:tc>
          <w:tcPr>
            <w:tcW w:type="dxa" w:w="2165"/>
            <w:tcMar>
              <w:top w:type="dxa" w:w="70"/>
              <w:left w:type="dxa" w:w="110"/>
              <w:bottom w:type="dxa" w:w="70"/>
              <w:right w:type="dxa" w:w="110"/>
            </w:tcMar>
          </w:tcPr>
          <w:p>
            <w:pPr>
              <w:spacing w:after="0" w:line="250"/>
            </w:pPr>
            <w:r>
              <w:rPr>
                <w:rFonts w:ascii="Calibri" w:cs="Calibri" w:eastAsia="Calibri" w:hAnsi="Calibri"/>
                <w:sz w:val="19"/>
                <w:szCs w:val="19"/>
              </w:rPr>
              <w:t xml:space="preserve">Data pipeline</w:t>
            </w:r>
          </w:p>
        </w:tc>
        <w:tc>
          <w:tcPr>
            <w:tcW w:type="dxa" w:w="6855"/>
            <w:tcMar>
              <w:top w:type="dxa" w:w="70"/>
              <w:left w:type="dxa" w:w="110"/>
              <w:bottom w:type="dxa" w:w="70"/>
              <w:right w:type="dxa" w:w="110"/>
            </w:tcMar>
          </w:tcPr>
          <w:p>
            <w:pPr>
              <w:spacing w:after="0" w:line="250"/>
            </w:pPr>
            <w:r>
              <w:rPr>
                <w:rFonts w:ascii="Calibri" w:cs="Calibri" w:eastAsia="Calibri" w:hAnsi="Calibri"/>
                <w:sz w:val="19"/>
                <w:szCs w:val="19"/>
              </w:rPr>
              <w:t xml:space="preserve">Three stages: extraction from the SAP workbooks, synthesis of a six-store network, scoring by the AI engines. Fully reproducible from a fixed seed.</w:t>
            </w:r>
          </w:p>
        </w:tc>
      </w:tr>
      <w:tr>
        <w:tc>
          <w:tcPr>
            <w:tcW w:type="dxa" w:w="216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Data model</w:t>
            </w:r>
          </w:p>
        </w:tc>
        <w:tc>
          <w:tcPr>
            <w:tcW w:type="dxa" w:w="685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25 CDS entities across operational and scenario-output schemas, 1,476 lines of CDS</w:t>
            </w:r>
          </w:p>
        </w:tc>
      </w:tr>
      <w:tr>
        <w:tc>
          <w:tcPr>
            <w:tcW w:type="dxa" w:w="2165"/>
            <w:tcMar>
              <w:top w:type="dxa" w:w="70"/>
              <w:left w:type="dxa" w:w="110"/>
              <w:bottom w:type="dxa" w:w="70"/>
              <w:right w:type="dxa" w:w="110"/>
            </w:tcMar>
          </w:tcPr>
          <w:p>
            <w:pPr>
              <w:spacing w:after="0" w:line="250"/>
            </w:pPr>
            <w:r>
              <w:rPr>
                <w:rFonts w:ascii="Calibri" w:cs="Calibri" w:eastAsia="Calibri" w:hAnsi="Calibri"/>
                <w:sz w:val="19"/>
                <w:szCs w:val="19"/>
              </w:rPr>
              <w:t xml:space="preserve">Dataset</w:t>
            </w:r>
          </w:p>
        </w:tc>
        <w:tc>
          <w:tcPr>
            <w:tcW w:type="dxa" w:w="6855"/>
            <w:tcMar>
              <w:top w:type="dxa" w:w="70"/>
              <w:left w:type="dxa" w:w="110"/>
              <w:bottom w:type="dxa" w:w="70"/>
              <w:right w:type="dxa" w:w="110"/>
            </w:tcMar>
          </w:tcPr>
          <w:p>
            <w:pPr>
              <w:spacing w:after="0" w:line="250"/>
            </w:pPr>
            <w:r>
              <w:rPr>
                <w:rFonts w:ascii="Calibri" w:cs="Calibri" w:eastAsia="Calibri" w:hAnsi="Calibri"/>
                <w:sz w:val="19"/>
                <w:szCs w:val="19"/>
              </w:rPr>
              <w:t xml:space="preserve">27,118 hourly sales rows (4,926 of them real), 18,401 receipts, 29,054 line items, and supporting inventory, sensor and footfall data</w:t>
            </w:r>
          </w:p>
        </w:tc>
      </w:tr>
      <w:tr>
        <w:tc>
          <w:tcPr>
            <w:tcW w:type="dxa" w:w="216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AI engines</w:t>
            </w:r>
          </w:p>
        </w:tc>
        <w:tc>
          <w:tcPr>
            <w:tcW w:type="dxa" w:w="685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Six scenarios plus cold chain and a unified insight feed, 1,792 lines of JavaScript, shared between the build pipeline and the live service</w:t>
            </w:r>
          </w:p>
        </w:tc>
      </w:tr>
      <w:tr>
        <w:tc>
          <w:tcPr>
            <w:tcW w:type="dxa" w:w="2165"/>
            <w:tcMar>
              <w:top w:type="dxa" w:w="70"/>
              <w:left w:type="dxa" w:w="110"/>
              <w:bottom w:type="dxa" w:w="70"/>
              <w:right w:type="dxa" w:w="110"/>
            </w:tcMar>
          </w:tcPr>
          <w:p>
            <w:pPr>
              <w:spacing w:after="0" w:line="250"/>
            </w:pPr>
            <w:r>
              <w:rPr>
                <w:rFonts w:ascii="Calibri" w:cs="Calibri" w:eastAsia="Calibri" w:hAnsi="Calibri"/>
                <w:sz w:val="19"/>
                <w:szCs w:val="19"/>
              </w:rPr>
              <w:t xml:space="preserve">Services</w:t>
            </w:r>
          </w:p>
        </w:tc>
        <w:tc>
          <w:tcPr>
            <w:tcW w:type="dxa" w:w="6855"/>
            <w:tcMar>
              <w:top w:type="dxa" w:w="70"/>
              <w:left w:type="dxa" w:w="110"/>
              <w:bottom w:type="dxa" w:w="70"/>
              <w:right w:type="dxa" w:w="110"/>
            </w:tcMar>
          </w:tcPr>
          <w:p>
            <w:pPr>
              <w:spacing w:after="0" w:line="250"/>
            </w:pPr>
            <w:r>
              <w:rPr>
                <w:rFonts w:ascii="Calibri" w:cs="Calibri" w:eastAsia="Calibri" w:hAnsi="Calibri"/>
                <w:sz w:val="19"/>
                <w:szCs w:val="19"/>
              </w:rPr>
              <w:t xml:space="preserve">Two OData V4 services, 12 entity-bound actions and 3 unbound actions</w:t>
            </w:r>
          </w:p>
        </w:tc>
      </w:tr>
      <w:tr>
        <w:tc>
          <w:tcPr>
            <w:tcW w:type="dxa" w:w="216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Dashboards</w:t>
            </w:r>
          </w:p>
        </w:tc>
        <w:tc>
          <w:tcPr>
            <w:tcW w:type="dxa" w:w="685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 dependency-free AI Command Centre plus eight SAP Fiori elements applications and a launchpad</w:t>
            </w:r>
          </w:p>
        </w:tc>
      </w:tr>
      <w:tr>
        <w:tc>
          <w:tcPr>
            <w:tcW w:type="dxa" w:w="2165"/>
            <w:tcMar>
              <w:top w:type="dxa" w:w="70"/>
              <w:left w:type="dxa" w:w="110"/>
              <w:bottom w:type="dxa" w:w="70"/>
              <w:right w:type="dxa" w:w="110"/>
            </w:tcMar>
          </w:tcPr>
          <w:p>
            <w:pPr>
              <w:spacing w:after="0" w:line="250"/>
            </w:pPr>
            <w:r>
              <w:rPr>
                <w:rFonts w:ascii="Calibri" w:cs="Calibri" w:eastAsia="Calibri" w:hAnsi="Calibri"/>
                <w:sz w:val="19"/>
                <w:szCs w:val="19"/>
              </w:rPr>
              <w:t xml:space="preserve">Deployment</w:t>
            </w:r>
          </w:p>
        </w:tc>
        <w:tc>
          <w:tcPr>
            <w:tcW w:type="dxa" w:w="6855"/>
            <w:tcMar>
              <w:top w:type="dxa" w:w="70"/>
              <w:left w:type="dxa" w:w="110"/>
              <w:bottom w:type="dxa" w:w="70"/>
              <w:right w:type="dxa" w:w="110"/>
            </w:tcMar>
          </w:tcPr>
          <w:p>
            <w:pPr>
              <w:spacing w:after="0" w:line="250"/>
            </w:pPr>
            <w:r>
              <w:rPr>
                <w:rFonts w:ascii="Calibri" w:cs="Calibri" w:eastAsia="Calibri" w:hAnsi="Calibri"/>
                <w:sz w:val="19"/>
                <w:szCs w:val="19"/>
              </w:rPr>
              <w:t xml:space="preserve">MTA descriptor, XSUAA security profile, 30 HANA column tables with 25 seed loaders</w:t>
            </w:r>
          </w:p>
        </w:tc>
      </w:tr>
      <w:tr>
        <w:tc>
          <w:tcPr>
            <w:tcW w:type="dxa" w:w="216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Tests</w:t>
            </w:r>
          </w:p>
        </w:tc>
        <w:tc>
          <w:tcPr>
            <w:tcW w:type="dxa" w:w="685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23 unit tests over the engines, all passing</w:t>
            </w:r>
          </w:p>
        </w:tc>
      </w:tr>
    </w:tbl>
    <w:p>
      <w:pPr>
        <w:spacing w:after="200" w:line="276"/>
      </w:pPr>
      <w:r>
        <w:rPr>
          <w:rFonts w:ascii="Calibri" w:cs="Calibri" w:eastAsia="Calibri" w:hAnsi="Calibri"/>
          <w:sz w:val="21"/>
          <w:szCs w:val="21"/>
        </w:rPr>
        <w:t xml:space="preserve">Everything is committed to the repository under five commits and pushed to both the working branch and main.</w:t>
      </w:r>
    </w:p>
    <w:p>
      <w:r>
        <w:br w:type="page"/>
      </w:r>
    </w:p>
    <w:p>
      <w:pPr>
        <w:pStyle w:val="Heading1"/>
        <w:spacing w:after="160" w:before="360"/>
      </w:pPr>
      <w:r>
        <w:rPr>
          <w:rFonts w:ascii="Calibri" w:cs="Calibri" w:eastAsia="Calibri" w:hAnsi="Calibri"/>
          <w:b/>
          <w:bCs/>
          <w:color w:val="454545"/>
          <w:sz w:val="30"/>
          <w:szCs w:val="30"/>
        </w:rPr>
        <w:t xml:space="preserve">2. The Source Data</w:t>
      </w:r>
    </w:p>
    <w:p>
      <w:pPr>
        <w:pBdr>
          <w:bottom w:val="single" w:color="454545" w:sz="6"/>
        </w:pBdr>
        <w:spacing w:after="200" w:before="60"/>
      </w:pPr>
      <w:r>
        <w:rPr>
          <w:sz w:val="2"/>
          <w:szCs w:val="2"/>
        </w:rPr>
        <w:t xml:space="preserve"/>
      </w:r>
    </w:p>
    <w:p>
      <w:pPr>
        <w:pStyle w:val="Heading2"/>
        <w:spacing w:after="120" w:before="260"/>
      </w:pPr>
      <w:r>
        <w:rPr>
          <w:rFonts w:ascii="Calibri" w:cs="Calibri" w:eastAsia="Calibri" w:hAnsi="Calibri"/>
          <w:b/>
          <w:bCs/>
          <w:color w:val="454545"/>
          <w:sz w:val="24"/>
          <w:szCs w:val="24"/>
        </w:rPr>
        <w:t xml:space="preserve">2.1 What the files actually contain</w:t>
      </w:r>
    </w:p>
    <w:p>
      <w:pPr>
        <w:spacing w:after="140" w:line="276"/>
      </w:pPr>
      <w:r>
        <w:rPr>
          <w:rFonts w:ascii="Calibri" w:cs="Calibri" w:eastAsia="Calibri" w:hAnsi="Calibri"/>
          <w:sz w:val="21"/>
          <w:szCs w:val="21"/>
        </w:rPr>
        <w:t xml:space="preserve">The two files arrived named CompleteSalesReport_2025.xlsx and CompleteSalesReport_YTD2026.xlsx. Neither name is accurate. Reading the report headers inside them shows the larger file covers 1 January to 3 July 2026, and the smaller one covers a single day, 3 July 2026, with three receipts on it. Both were generated by user smart01 at around 11:20 on 3 July 2026.</w:t>
      </w:r>
    </w:p>
    <w:p>
      <w:pPr>
        <w:spacing w:after="140" w:line="276"/>
      </w:pPr>
      <w:r>
        <w:rPr>
          <w:rFonts w:ascii="Calibri" w:cs="Calibri" w:eastAsia="Calibri" w:hAnsi="Calibri"/>
          <w:sz w:val="21"/>
          <w:szCs w:val="21"/>
        </w:rPr>
        <w:t xml:space="preserve">Because of that, the extraction script does not trust the filenames. It opens every workbook it finds, counts the hourly sales rows in each, and treats whichever has the most as the primary source. If somebody re-exports the data next quarter and names the file something else again, the pipeline still picks the right one.</w:t>
      </w:r>
    </w:p>
    <w:p>
      <w:pPr>
        <w:spacing w:after="140" w:line="276"/>
      </w:pPr>
      <w:r>
        <w:rPr>
          <w:rFonts w:ascii="Calibri" w:cs="Calibri" w:eastAsia="Calibri" w:hAnsi="Calibri"/>
          <w:sz w:val="21"/>
          <w:szCs w:val="21"/>
        </w:rPr>
        <w:t xml:space="preserve">Each workbook holds 19 sheets, one per report in the SAP Customer Checkout reporting pack: cash balance, revenue by POS system, by cashier, by sales person, by POS group, by payment method, by article, by article group, by timespan, discounts, cancellations, returns, payment on credit, and taxes.</w:t>
      </w:r>
    </w:p>
    <w:p>
      <w:pPr>
        <w:pStyle w:val="Heading2"/>
        <w:spacing w:after="120" w:before="260"/>
      </w:pPr>
      <w:r>
        <w:rPr>
          <w:rFonts w:ascii="Calibri" w:cs="Calibri" w:eastAsia="Calibri" w:hAnsi="Calibri"/>
          <w:b/>
          <w:bCs/>
          <w:color w:val="454545"/>
          <w:sz w:val="24"/>
          <w:szCs w:val="24"/>
        </w:rPr>
        <w:t xml:space="preserve">2.2 Headline figures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4059"/>
        <w:gridCol w:w="4961"/>
      </w:tblGrid>
      <w:tr>
        <w:trPr>
          <w:tblHeader/>
        </w:trPr>
        <w:tc>
          <w:tcPr>
            <w:tcW w:type="dxa" w:w="4059"/>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Measure</w:t>
            </w:r>
          </w:p>
        </w:tc>
        <w:tc>
          <w:tcPr>
            <w:tcW w:type="dxa" w:w="4961"/>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Value</w:t>
            </w:r>
          </w:p>
        </w:tc>
      </w:tr>
      <w:tr>
        <w:tc>
          <w:tcPr>
            <w:tcW w:type="dxa" w:w="4059"/>
            <w:tcMar>
              <w:top w:type="dxa" w:w="70"/>
              <w:left w:type="dxa" w:w="110"/>
              <w:bottom w:type="dxa" w:w="70"/>
              <w:right w:type="dxa" w:w="110"/>
            </w:tcMar>
          </w:tcPr>
          <w:p>
            <w:pPr>
              <w:spacing w:after="0" w:line="250"/>
            </w:pPr>
            <w:r>
              <w:rPr>
                <w:rFonts w:ascii="Calibri" w:cs="Calibri" w:eastAsia="Calibri" w:hAnsi="Calibri"/>
                <w:sz w:val="19"/>
                <w:szCs w:val="19"/>
              </w:rPr>
              <w:t xml:space="preserve">Reporting period</w:t>
            </w:r>
          </w:p>
        </w:tc>
        <w:tc>
          <w:tcPr>
            <w:tcW w:type="dxa" w:w="4961"/>
            <w:tcMar>
              <w:top w:type="dxa" w:w="70"/>
              <w:left w:type="dxa" w:w="110"/>
              <w:bottom w:type="dxa" w:w="70"/>
              <w:right w:type="dxa" w:w="110"/>
            </w:tcMar>
          </w:tcPr>
          <w:p>
            <w:pPr>
              <w:spacing w:after="0" w:line="250"/>
            </w:pPr>
            <w:r>
              <w:rPr>
                <w:rFonts w:ascii="Calibri" w:cs="Calibri" w:eastAsia="Calibri" w:hAnsi="Calibri"/>
                <w:sz w:val="19"/>
                <w:szCs w:val="19"/>
              </w:rPr>
              <w:t xml:space="preserve">1 Jan 2026 to 3 Jul 2026</w:t>
            </w:r>
          </w:p>
        </w:tc>
      </w:tr>
      <w:tr>
        <w:tc>
          <w:tcPr>
            <w:tcW w:type="dxa" w:w="4059"/>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Trading days with sales</w:t>
            </w:r>
          </w:p>
        </w:tc>
        <w:tc>
          <w:tcPr>
            <w:tcW w:type="dxa" w:w="496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179</w:t>
            </w:r>
          </w:p>
        </w:tc>
      </w:tr>
      <w:tr>
        <w:tc>
          <w:tcPr>
            <w:tcW w:type="dxa" w:w="4059"/>
            <w:tcMar>
              <w:top w:type="dxa" w:w="70"/>
              <w:left w:type="dxa" w:w="110"/>
              <w:bottom w:type="dxa" w:w="70"/>
              <w:right w:type="dxa" w:w="110"/>
            </w:tcMar>
          </w:tcPr>
          <w:p>
            <w:pPr>
              <w:spacing w:after="0" w:line="250"/>
            </w:pPr>
            <w:r>
              <w:rPr>
                <w:rFonts w:ascii="Calibri" w:cs="Calibri" w:eastAsia="Calibri" w:hAnsi="Calibri"/>
                <w:sz w:val="19"/>
                <w:szCs w:val="19"/>
              </w:rPr>
              <w:t xml:space="preserve">Sales receipts</w:t>
            </w:r>
          </w:p>
        </w:tc>
        <w:tc>
          <w:tcPr>
            <w:tcW w:type="dxa" w:w="4961"/>
            <w:tcMar>
              <w:top w:type="dxa" w:w="70"/>
              <w:left w:type="dxa" w:w="110"/>
              <w:bottom w:type="dxa" w:w="70"/>
              <w:right w:type="dxa" w:w="110"/>
            </w:tcMar>
          </w:tcPr>
          <w:p>
            <w:pPr>
              <w:spacing w:after="0" w:line="250"/>
            </w:pPr>
            <w:r>
              <w:rPr>
                <w:rFonts w:ascii="Calibri" w:cs="Calibri" w:eastAsia="Calibri" w:hAnsi="Calibri"/>
                <w:sz w:val="19"/>
                <w:szCs w:val="19"/>
              </w:rPr>
              <w:t xml:space="preserve">2,550</w:t>
            </w:r>
          </w:p>
        </w:tc>
      </w:tr>
      <w:tr>
        <w:tc>
          <w:tcPr>
            <w:tcW w:type="dxa" w:w="4059"/>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Gross sales</w:t>
            </w:r>
          </w:p>
        </w:tc>
        <w:tc>
          <w:tcPr>
            <w:tcW w:type="dxa" w:w="496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EUR 10,588.86</w:t>
            </w:r>
          </w:p>
        </w:tc>
      </w:tr>
      <w:tr>
        <w:tc>
          <w:tcPr>
            <w:tcW w:type="dxa" w:w="4059"/>
            <w:tcMar>
              <w:top w:type="dxa" w:w="70"/>
              <w:left w:type="dxa" w:w="110"/>
              <w:bottom w:type="dxa" w:w="70"/>
              <w:right w:type="dxa" w:w="110"/>
            </w:tcMar>
          </w:tcPr>
          <w:p>
            <w:pPr>
              <w:spacing w:after="0" w:line="250"/>
            </w:pPr>
            <w:r>
              <w:rPr>
                <w:rFonts w:ascii="Calibri" w:cs="Calibri" w:eastAsia="Calibri" w:hAnsi="Calibri"/>
                <w:sz w:val="19"/>
                <w:szCs w:val="19"/>
              </w:rPr>
              <w:t xml:space="preserve">Net revenue</w:t>
            </w:r>
          </w:p>
        </w:tc>
        <w:tc>
          <w:tcPr>
            <w:tcW w:type="dxa" w:w="4961"/>
            <w:tcMar>
              <w:top w:type="dxa" w:w="70"/>
              <w:left w:type="dxa" w:w="110"/>
              <w:bottom w:type="dxa" w:w="70"/>
              <w:right w:type="dxa" w:w="110"/>
            </w:tcMar>
          </w:tcPr>
          <w:p>
            <w:pPr>
              <w:spacing w:after="0" w:line="250"/>
            </w:pPr>
            <w:r>
              <w:rPr>
                <w:rFonts w:ascii="Calibri" w:cs="Calibri" w:eastAsia="Calibri" w:hAnsi="Calibri"/>
                <w:sz w:val="19"/>
                <w:szCs w:val="19"/>
              </w:rPr>
              <w:t xml:space="preserve">EUR 9,563.36</w:t>
            </w:r>
          </w:p>
        </w:tc>
      </w:tr>
      <w:tr>
        <w:tc>
          <w:tcPr>
            <w:tcW w:type="dxa" w:w="4059"/>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Total VAT</w:t>
            </w:r>
          </w:p>
        </w:tc>
        <w:tc>
          <w:tcPr>
            <w:tcW w:type="dxa" w:w="496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EUR 1,025.50</w:t>
            </w:r>
          </w:p>
        </w:tc>
      </w:tr>
      <w:tr>
        <w:tc>
          <w:tcPr>
            <w:tcW w:type="dxa" w:w="4059"/>
            <w:tcMar>
              <w:top w:type="dxa" w:w="70"/>
              <w:left w:type="dxa" w:w="110"/>
              <w:bottom w:type="dxa" w:w="70"/>
              <w:right w:type="dxa" w:w="110"/>
            </w:tcMar>
          </w:tcPr>
          <w:p>
            <w:pPr>
              <w:spacing w:after="0" w:line="250"/>
            </w:pPr>
            <w:r>
              <w:rPr>
                <w:rFonts w:ascii="Calibri" w:cs="Calibri" w:eastAsia="Calibri" w:hAnsi="Calibri"/>
                <w:sz w:val="19"/>
                <w:szCs w:val="19"/>
              </w:rPr>
              <w:t xml:space="preserve">Units sold</w:t>
            </w:r>
          </w:p>
        </w:tc>
        <w:tc>
          <w:tcPr>
            <w:tcW w:type="dxa" w:w="4961"/>
            <w:tcMar>
              <w:top w:type="dxa" w:w="70"/>
              <w:left w:type="dxa" w:w="110"/>
              <w:bottom w:type="dxa" w:w="70"/>
              <w:right w:type="dxa" w:w="110"/>
            </w:tcMar>
          </w:tcPr>
          <w:p>
            <w:pPr>
              <w:spacing w:after="0" w:line="250"/>
            </w:pPr>
            <w:r>
              <w:rPr>
                <w:rFonts w:ascii="Calibri" w:cs="Calibri" w:eastAsia="Calibri" w:hAnsi="Calibri"/>
                <w:sz w:val="19"/>
                <w:szCs w:val="19"/>
              </w:rPr>
              <w:t xml:space="preserve">6,452</w:t>
            </w:r>
          </w:p>
        </w:tc>
      </w:tr>
      <w:tr>
        <w:tc>
          <w:tcPr>
            <w:tcW w:type="dxa" w:w="4059"/>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Distinct articles</w:t>
            </w:r>
          </w:p>
        </w:tc>
        <w:tc>
          <w:tcPr>
            <w:tcW w:type="dxa" w:w="496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327</w:t>
            </w:r>
          </w:p>
        </w:tc>
      </w:tr>
      <w:tr>
        <w:tc>
          <w:tcPr>
            <w:tcW w:type="dxa" w:w="4059"/>
            <w:tcMar>
              <w:top w:type="dxa" w:w="70"/>
              <w:left w:type="dxa" w:w="110"/>
              <w:bottom w:type="dxa" w:w="70"/>
              <w:right w:type="dxa" w:w="110"/>
            </w:tcMar>
          </w:tcPr>
          <w:p>
            <w:pPr>
              <w:spacing w:after="0" w:line="250"/>
            </w:pPr>
            <w:r>
              <w:rPr>
                <w:rFonts w:ascii="Calibri" w:cs="Calibri" w:eastAsia="Calibri" w:hAnsi="Calibri"/>
                <w:sz w:val="19"/>
                <w:szCs w:val="19"/>
              </w:rPr>
              <w:t xml:space="preserve">Article groups</w:t>
            </w:r>
          </w:p>
        </w:tc>
        <w:tc>
          <w:tcPr>
            <w:tcW w:type="dxa" w:w="4961"/>
            <w:tcMar>
              <w:top w:type="dxa" w:w="70"/>
              <w:left w:type="dxa" w:w="110"/>
              <w:bottom w:type="dxa" w:w="70"/>
              <w:right w:type="dxa" w:w="110"/>
            </w:tcMar>
          </w:tcPr>
          <w:p>
            <w:pPr>
              <w:spacing w:after="0" w:line="250"/>
            </w:pPr>
            <w:r>
              <w:rPr>
                <w:rFonts w:ascii="Calibri" w:cs="Calibri" w:eastAsia="Calibri" w:hAnsi="Calibri"/>
                <w:sz w:val="19"/>
                <w:szCs w:val="19"/>
              </w:rPr>
              <w:t xml:space="preserve">63</w:t>
            </w:r>
          </w:p>
        </w:tc>
      </w:tr>
      <w:tr>
        <w:tc>
          <w:tcPr>
            <w:tcW w:type="dxa" w:w="4059"/>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Currency</w:t>
            </w:r>
          </w:p>
        </w:tc>
        <w:tc>
          <w:tcPr>
            <w:tcW w:type="dxa" w:w="496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EUR</w:t>
            </w:r>
          </w:p>
        </w:tc>
      </w:tr>
      <w:tr>
        <w:tc>
          <w:tcPr>
            <w:tcW w:type="dxa" w:w="4059"/>
            <w:tcMar>
              <w:top w:type="dxa" w:w="70"/>
              <w:left w:type="dxa" w:w="110"/>
              <w:bottom w:type="dxa" w:w="70"/>
              <w:right w:type="dxa" w:w="110"/>
            </w:tcMar>
          </w:tcPr>
          <w:p>
            <w:pPr>
              <w:spacing w:after="0" w:line="250"/>
            </w:pPr>
            <w:r>
              <w:rPr>
                <w:rFonts w:ascii="Calibri" w:cs="Calibri" w:eastAsia="Calibri" w:hAnsi="Calibri"/>
                <w:sz w:val="19"/>
                <w:szCs w:val="19"/>
              </w:rPr>
              <w:t xml:space="preserve">Tax bands</w:t>
            </w:r>
          </w:p>
        </w:tc>
        <w:tc>
          <w:tcPr>
            <w:tcW w:type="dxa" w:w="4961"/>
            <w:tcMar>
              <w:top w:type="dxa" w:w="70"/>
              <w:left w:type="dxa" w:w="110"/>
              <w:bottom w:type="dxa" w:w="70"/>
              <w:right w:type="dxa" w:w="110"/>
            </w:tcMar>
          </w:tcPr>
          <w:p>
            <w:pPr>
              <w:spacing w:after="0" w:line="250"/>
            </w:pPr>
            <w:r>
              <w:rPr>
                <w:rFonts w:ascii="Calibri" w:cs="Calibri" w:eastAsia="Calibri" w:hAnsi="Calibri"/>
                <w:sz w:val="19"/>
                <w:szCs w:val="19"/>
              </w:rPr>
              <w:t xml:space="preserve">German standard 19 per cent and reduced 7 per cent</w:t>
            </w:r>
          </w:p>
        </w:tc>
      </w:tr>
    </w:tbl>
    <w:p>
      <w:pPr>
        <w:spacing w:after="160"/>
      </w:pPr>
      <w:r>
        <w:t xml:space="preserve"/>
      </w:r>
    </w:p>
    <w:p>
      <w:pPr>
        <w:spacing w:after="140" w:line="276"/>
      </w:pPr>
      <w:r>
        <w:rPr>
          <w:rFonts w:ascii="Calibri" w:cs="Calibri" w:eastAsia="Calibri" w:hAnsi="Calibri"/>
          <w:sz w:val="21"/>
          <w:szCs w:val="21"/>
        </w:rPr>
        <w:t xml:space="preserve">Three terminals appear in the data, and the split between them says a lot about how the store is used:</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1263"/>
        <w:gridCol w:w="3608"/>
        <w:gridCol w:w="1353"/>
        <w:gridCol w:w="1804"/>
        <w:gridCol w:w="992"/>
      </w:tblGrid>
      <w:tr>
        <w:trPr>
          <w:tblHeader/>
        </w:trPr>
        <w:tc>
          <w:tcPr>
            <w:tcW w:type="dxa" w:w="1263"/>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Terminal</w:t>
            </w:r>
          </w:p>
        </w:tc>
        <w:tc>
          <w:tcPr>
            <w:tcW w:type="dxa" w:w="3608"/>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Type</w:t>
            </w:r>
          </w:p>
        </w:tc>
        <w:tc>
          <w:tcPr>
            <w:tcW w:type="dxa" w:w="1353"/>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Receipts</w:t>
            </w:r>
          </w:p>
        </w:tc>
        <w:tc>
          <w:tcPr>
            <w:tcW w:type="dxa" w:w="1804"/>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Gross sales</w:t>
            </w:r>
          </w:p>
        </w:tc>
        <w:tc>
          <w:tcPr>
            <w:tcW w:type="dxa" w:w="992"/>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Share</w:t>
            </w:r>
          </w:p>
        </w:tc>
      </w:tr>
      <w:tr>
        <w:tc>
          <w:tcPr>
            <w:tcW w:type="dxa" w:w="1263"/>
            <w:tcMar>
              <w:top w:type="dxa" w:w="70"/>
              <w:left w:type="dxa" w:w="110"/>
              <w:bottom w:type="dxa" w:w="70"/>
              <w:right w:type="dxa" w:w="110"/>
            </w:tcMar>
          </w:tcPr>
          <w:p>
            <w:pPr>
              <w:spacing w:after="0" w:line="250"/>
            </w:pPr>
            <w:r>
              <w:rPr>
                <w:rFonts w:ascii="Calibri" w:cs="Calibri" w:eastAsia="Calibri" w:hAnsi="Calibri"/>
                <w:sz w:val="19"/>
                <w:szCs w:val="19"/>
              </w:rPr>
              <w:t xml:space="preserve">PF02</w:t>
            </w:r>
          </w:p>
        </w:tc>
        <w:tc>
          <w:tcPr>
            <w:tcW w:type="dxa" w:w="3608"/>
            <w:tcMar>
              <w:top w:type="dxa" w:w="70"/>
              <w:left w:type="dxa" w:w="110"/>
              <w:bottom w:type="dxa" w:w="70"/>
              <w:right w:type="dxa" w:w="110"/>
            </w:tcMar>
          </w:tcPr>
          <w:p>
            <w:pPr>
              <w:spacing w:after="0" w:line="250"/>
            </w:pPr>
            <w:r>
              <w:rPr>
                <w:rFonts w:ascii="Calibri" w:cs="Calibri" w:eastAsia="Calibri" w:hAnsi="Calibri"/>
                <w:sz w:val="19"/>
                <w:szCs w:val="19"/>
              </w:rPr>
              <w:t xml:space="preserve">payfree autonomous gate</w:t>
            </w:r>
          </w:p>
        </w:tc>
        <w:tc>
          <w:tcPr>
            <w:tcW w:type="dxa" w:w="1353"/>
            <w:tcMar>
              <w:top w:type="dxa" w:w="70"/>
              <w:left w:type="dxa" w:w="110"/>
              <w:bottom w:type="dxa" w:w="70"/>
              <w:right w:type="dxa" w:w="110"/>
            </w:tcMar>
          </w:tcPr>
          <w:p>
            <w:pPr>
              <w:spacing w:after="0" w:line="250"/>
              <w:jc w:val="right"/>
            </w:pPr>
            <w:r>
              <w:rPr>
                <w:rFonts w:ascii="Calibri" w:cs="Calibri" w:eastAsia="Calibri" w:hAnsi="Calibri"/>
                <w:sz w:val="19"/>
                <w:szCs w:val="19"/>
              </w:rPr>
              <w:t xml:space="preserve">1,664</w:t>
            </w:r>
          </w:p>
        </w:tc>
        <w:tc>
          <w:tcPr>
            <w:tcW w:type="dxa" w:w="1804"/>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6,781.21</w:t>
            </w:r>
          </w:p>
        </w:tc>
        <w:tc>
          <w:tcPr>
            <w:tcW w:type="dxa" w:w="992"/>
            <w:tcMar>
              <w:top w:type="dxa" w:w="70"/>
              <w:left w:type="dxa" w:w="110"/>
              <w:bottom w:type="dxa" w:w="70"/>
              <w:right w:type="dxa" w:w="110"/>
            </w:tcMar>
          </w:tcPr>
          <w:p>
            <w:pPr>
              <w:spacing w:after="0" w:line="250"/>
              <w:jc w:val="right"/>
            </w:pPr>
            <w:r>
              <w:rPr>
                <w:rFonts w:ascii="Calibri" w:cs="Calibri" w:eastAsia="Calibri" w:hAnsi="Calibri"/>
                <w:sz w:val="19"/>
                <w:szCs w:val="19"/>
              </w:rPr>
              <w:t xml:space="preserve">65.3%</w:t>
            </w:r>
          </w:p>
        </w:tc>
      </w:tr>
      <w:tr>
        <w:tc>
          <w:tcPr>
            <w:tcW w:type="dxa" w:w="1263"/>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SM01</w:t>
            </w:r>
          </w:p>
        </w:tc>
        <w:tc>
          <w:tcPr>
            <w:tcW w:type="dxa" w:w="3608"/>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Self checkout kiosk</w:t>
            </w:r>
          </w:p>
        </w:tc>
        <w:tc>
          <w:tcPr>
            <w:tcW w:type="dxa" w:w="135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830</w:t>
            </w:r>
          </w:p>
        </w:tc>
        <w:tc>
          <w:tcPr>
            <w:tcW w:type="dxa" w:w="1804"/>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3,567.75</w:t>
            </w:r>
          </w:p>
        </w:tc>
        <w:tc>
          <w:tcPr>
            <w:tcW w:type="dxa" w:w="992"/>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32.5%</w:t>
            </w:r>
          </w:p>
        </w:tc>
      </w:tr>
      <w:tr>
        <w:tc>
          <w:tcPr>
            <w:tcW w:type="dxa" w:w="1263"/>
            <w:tcMar>
              <w:top w:type="dxa" w:w="70"/>
              <w:left w:type="dxa" w:w="110"/>
              <w:bottom w:type="dxa" w:w="70"/>
              <w:right w:type="dxa" w:w="110"/>
            </w:tcMar>
          </w:tcPr>
          <w:p>
            <w:pPr>
              <w:spacing w:after="0" w:line="250"/>
            </w:pPr>
            <w:r>
              <w:rPr>
                <w:rFonts w:ascii="Calibri" w:cs="Calibri" w:eastAsia="Calibri" w:hAnsi="Calibri"/>
                <w:sz w:val="19"/>
                <w:szCs w:val="19"/>
              </w:rPr>
              <w:t xml:space="preserve">MOB1</w:t>
            </w:r>
          </w:p>
        </w:tc>
        <w:tc>
          <w:tcPr>
            <w:tcW w:type="dxa" w:w="3608"/>
            <w:tcMar>
              <w:top w:type="dxa" w:w="70"/>
              <w:left w:type="dxa" w:w="110"/>
              <w:bottom w:type="dxa" w:w="70"/>
              <w:right w:type="dxa" w:w="110"/>
            </w:tcMar>
          </w:tcPr>
          <w:p>
            <w:pPr>
              <w:spacing w:after="0" w:line="250"/>
            </w:pPr>
            <w:r>
              <w:rPr>
                <w:rFonts w:ascii="Calibri" w:cs="Calibri" w:eastAsia="Calibri" w:hAnsi="Calibri"/>
                <w:sz w:val="19"/>
                <w:szCs w:val="19"/>
              </w:rPr>
              <w:t xml:space="preserve">Mobile scan and go</w:t>
            </w:r>
          </w:p>
        </w:tc>
        <w:tc>
          <w:tcPr>
            <w:tcW w:type="dxa" w:w="1353"/>
            <w:tcMar>
              <w:top w:type="dxa" w:w="70"/>
              <w:left w:type="dxa" w:w="110"/>
              <w:bottom w:type="dxa" w:w="70"/>
              <w:right w:type="dxa" w:w="110"/>
            </w:tcMar>
          </w:tcPr>
          <w:p>
            <w:pPr>
              <w:spacing w:after="0" w:line="250"/>
              <w:jc w:val="right"/>
            </w:pPr>
            <w:r>
              <w:rPr>
                <w:rFonts w:ascii="Calibri" w:cs="Calibri" w:eastAsia="Calibri" w:hAnsi="Calibri"/>
                <w:sz w:val="19"/>
                <w:szCs w:val="19"/>
              </w:rPr>
              <w:t xml:space="preserve">56</w:t>
            </w:r>
          </w:p>
        </w:tc>
        <w:tc>
          <w:tcPr>
            <w:tcW w:type="dxa" w:w="1804"/>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239.90</w:t>
            </w:r>
          </w:p>
        </w:tc>
        <w:tc>
          <w:tcPr>
            <w:tcW w:type="dxa" w:w="992"/>
            <w:tcMar>
              <w:top w:type="dxa" w:w="70"/>
              <w:left w:type="dxa" w:w="110"/>
              <w:bottom w:type="dxa" w:w="70"/>
              <w:right w:type="dxa" w:w="110"/>
            </w:tcMar>
          </w:tcPr>
          <w:p>
            <w:pPr>
              <w:spacing w:after="0" w:line="250"/>
              <w:jc w:val="right"/>
            </w:pPr>
            <w:r>
              <w:rPr>
                <w:rFonts w:ascii="Calibri" w:cs="Calibri" w:eastAsia="Calibri" w:hAnsi="Calibri"/>
                <w:sz w:val="19"/>
                <w:szCs w:val="19"/>
              </w:rPr>
              <w:t xml:space="preserve">2.2%</w:t>
            </w:r>
          </w:p>
        </w:tc>
      </w:tr>
    </w:tbl>
    <w:p>
      <w:pPr>
        <w:spacing w:after="160"/>
      </w:pPr>
      <w:r>
        <w:t xml:space="preserve"/>
      </w:r>
    </w:p>
    <w:p>
      <w:pPr>
        <w:spacing w:after="140" w:line="276"/>
      </w:pPr>
      <w:r>
        <w:rPr>
          <w:rFonts w:ascii="Calibri" w:cs="Calibri" w:eastAsia="Calibri" w:hAnsi="Calibri"/>
          <w:sz w:val="21"/>
          <w:szCs w:val="21"/>
        </w:rPr>
        <w:t xml:space="preserve">Every payment in the export is by card. There is no cash at all, which is consistent with an unstaffed store. The card breakdown runs across VISA, Mastercard, American Express and two unnamed card types recorded as "Card payment 10" and "Card payment 20", the latter carrying the payfree traffic.</w:t>
      </w:r>
    </w:p>
    <w:p>
      <w:pPr>
        <w:pStyle w:val="Heading2"/>
        <w:spacing w:after="120" w:before="260"/>
      </w:pPr>
      <w:r>
        <w:rPr>
          <w:rFonts w:ascii="Calibri" w:cs="Calibri" w:eastAsia="Calibri" w:hAnsi="Calibri"/>
          <w:b/>
          <w:bCs/>
          <w:color w:val="454545"/>
          <w:sz w:val="24"/>
          <w:szCs w:val="24"/>
        </w:rPr>
        <w:t xml:space="preserve">2.3 The assortment</w:t>
      </w:r>
    </w:p>
    <w:p>
      <w:pPr>
        <w:spacing w:after="140" w:line="276"/>
      </w:pPr>
      <w:r>
        <w:rPr>
          <w:rFonts w:ascii="Calibri" w:cs="Calibri" w:eastAsia="Calibri" w:hAnsi="Calibri"/>
          <w:sz w:val="21"/>
          <w:szCs w:val="21"/>
        </w:rPr>
        <w:t xml:space="preserve">The 327 articles are a convenience assortment aimed at people working on a campus. Energy drinks, protein bars, sandwiches, homemade buns, ice cream, crisps, chocolate. Article groups are labelled in German (Energydrinks, Protein Riegel, Homemade Buns, Herzhafte Backwaren and so on), which we kept and supplemented with English names.</w:t>
      </w:r>
    </w:p>
    <w:p>
      <w:pPr>
        <w:spacing w:after="140" w:line="276"/>
      </w:pPr>
      <w:r>
        <w:rPr>
          <w:rFonts w:ascii="Calibri" w:cs="Calibri" w:eastAsia="Calibri" w:hAnsi="Calibri"/>
          <w:sz w:val="21"/>
          <w:szCs w:val="21"/>
        </w:rPr>
        <w:t xml:space="preserve">The single highest-volume line in the whole store is not a product at all. It is Leergut 0,25 EUR, the German bottle deposit return, with 920 units. Three of the top four lines by volume are deposit returns. That matters later, and not in a good way.</w:t>
      </w:r>
    </w:p>
    <w:p>
      <w:pPr>
        <w:pStyle w:val="Heading2"/>
        <w:spacing w:after="120" w:before="260"/>
      </w:pPr>
      <w:r>
        <w:rPr>
          <w:rFonts w:ascii="Calibri" w:cs="Calibri" w:eastAsia="Calibri" w:hAnsi="Calibri"/>
          <w:b/>
          <w:bCs/>
          <w:color w:val="454545"/>
          <w:sz w:val="24"/>
          <w:szCs w:val="24"/>
        </w:rPr>
        <w:t xml:space="preserve">2.4 Reconciliation</w:t>
      </w:r>
    </w:p>
    <w:p>
      <w:pPr>
        <w:spacing w:after="140" w:line="276"/>
      </w:pPr>
      <w:r>
        <w:rPr>
          <w:rFonts w:ascii="Calibri" w:cs="Calibri" w:eastAsia="Calibri" w:hAnsi="Calibri"/>
          <w:sz w:val="21"/>
          <w:szCs w:val="21"/>
        </w:rPr>
        <w:t xml:space="preserve">An extraction that quietly loses a few rows is worse than one that fails loudly, so the pipeline checks itself against the totals SAP printed in its own report. It reconciles exactly:</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3067"/>
        <w:gridCol w:w="1984"/>
        <w:gridCol w:w="1984"/>
        <w:gridCol w:w="1985"/>
      </w:tblGrid>
      <w:tr>
        <w:trPr>
          <w:tblHeader/>
        </w:trPr>
        <w:tc>
          <w:tcPr>
            <w:tcW w:type="dxa" w:w="3067"/>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Measure</w:t>
            </w:r>
          </w:p>
        </w:tc>
        <w:tc>
          <w:tcPr>
            <w:tcW w:type="dxa" w:w="1984"/>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SAP report</w:t>
            </w:r>
          </w:p>
        </w:tc>
        <w:tc>
          <w:tcPr>
            <w:tcW w:type="dxa" w:w="1984"/>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Extracted</w:t>
            </w:r>
          </w:p>
        </w:tc>
        <w:tc>
          <w:tcPr>
            <w:tcW w:type="dxa" w:w="1985"/>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Difference</w:t>
            </w:r>
          </w:p>
        </w:tc>
      </w:tr>
      <w:tr>
        <w:tc>
          <w:tcPr>
            <w:tcW w:type="dxa" w:w="3067"/>
            <w:tcMar>
              <w:top w:type="dxa" w:w="70"/>
              <w:left w:type="dxa" w:w="110"/>
              <w:bottom w:type="dxa" w:w="70"/>
              <w:right w:type="dxa" w:w="110"/>
            </w:tcMar>
          </w:tcPr>
          <w:p>
            <w:pPr>
              <w:spacing w:after="0" w:line="250"/>
            </w:pPr>
            <w:r>
              <w:rPr>
                <w:rFonts w:ascii="Calibri" w:cs="Calibri" w:eastAsia="Calibri" w:hAnsi="Calibri"/>
                <w:sz w:val="19"/>
                <w:szCs w:val="19"/>
              </w:rPr>
              <w:t xml:space="preserve">Units</w:t>
            </w:r>
          </w:p>
        </w:tc>
        <w:tc>
          <w:tcPr>
            <w:tcW w:type="dxa" w:w="1984"/>
            <w:tcMar>
              <w:top w:type="dxa" w:w="70"/>
              <w:left w:type="dxa" w:w="110"/>
              <w:bottom w:type="dxa" w:w="70"/>
              <w:right w:type="dxa" w:w="110"/>
            </w:tcMar>
          </w:tcPr>
          <w:p>
            <w:pPr>
              <w:spacing w:after="0" w:line="250"/>
              <w:jc w:val="right"/>
            </w:pPr>
            <w:r>
              <w:rPr>
                <w:rFonts w:ascii="Calibri" w:cs="Calibri" w:eastAsia="Calibri" w:hAnsi="Calibri"/>
                <w:sz w:val="19"/>
                <w:szCs w:val="19"/>
              </w:rPr>
              <w:t xml:space="preserve">6,452</w:t>
            </w:r>
          </w:p>
        </w:tc>
        <w:tc>
          <w:tcPr>
            <w:tcW w:type="dxa" w:w="1984"/>
            <w:tcMar>
              <w:top w:type="dxa" w:w="70"/>
              <w:left w:type="dxa" w:w="110"/>
              <w:bottom w:type="dxa" w:w="70"/>
              <w:right w:type="dxa" w:w="110"/>
            </w:tcMar>
          </w:tcPr>
          <w:p>
            <w:pPr>
              <w:spacing w:after="0" w:line="250"/>
              <w:jc w:val="right"/>
            </w:pPr>
            <w:r>
              <w:rPr>
                <w:rFonts w:ascii="Calibri" w:cs="Calibri" w:eastAsia="Calibri" w:hAnsi="Calibri"/>
                <w:sz w:val="19"/>
                <w:szCs w:val="19"/>
              </w:rPr>
              <w:t xml:space="preserve">6,452</w:t>
            </w:r>
          </w:p>
        </w:tc>
        <w:tc>
          <w:tcPr>
            <w:tcW w:type="dxa" w:w="1985"/>
            <w:tcMar>
              <w:top w:type="dxa" w:w="70"/>
              <w:left w:type="dxa" w:w="110"/>
              <w:bottom w:type="dxa" w:w="70"/>
              <w:right w:type="dxa" w:w="110"/>
            </w:tcMar>
          </w:tcPr>
          <w:p>
            <w:pPr>
              <w:spacing w:after="0" w:line="250"/>
              <w:jc w:val="right"/>
            </w:pPr>
            <w:r>
              <w:rPr>
                <w:rFonts w:ascii="Calibri" w:cs="Calibri" w:eastAsia="Calibri" w:hAnsi="Calibri"/>
                <w:sz w:val="19"/>
                <w:szCs w:val="19"/>
              </w:rPr>
              <w:t xml:space="preserve">0</w:t>
            </w:r>
          </w:p>
        </w:tc>
      </w:tr>
      <w:tr>
        <w:tc>
          <w:tcPr>
            <w:tcW w:type="dxa" w:w="3067"/>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Gross sales</w:t>
            </w:r>
          </w:p>
        </w:tc>
        <w:tc>
          <w:tcPr>
            <w:tcW w:type="dxa" w:w="1984"/>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10,588.86</w:t>
            </w:r>
          </w:p>
        </w:tc>
        <w:tc>
          <w:tcPr>
            <w:tcW w:type="dxa" w:w="1984"/>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10,588.86</w:t>
            </w:r>
          </w:p>
        </w:tc>
        <w:tc>
          <w:tcPr>
            <w:tcW w:type="dxa" w:w="1985"/>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0.00</w:t>
            </w:r>
          </w:p>
        </w:tc>
      </w:tr>
      <w:tr>
        <w:tc>
          <w:tcPr>
            <w:tcW w:type="dxa" w:w="3067"/>
            <w:tcMar>
              <w:top w:type="dxa" w:w="70"/>
              <w:left w:type="dxa" w:w="110"/>
              <w:bottom w:type="dxa" w:w="70"/>
              <w:right w:type="dxa" w:w="110"/>
            </w:tcMar>
          </w:tcPr>
          <w:p>
            <w:pPr>
              <w:spacing w:after="0" w:line="250"/>
            </w:pPr>
            <w:r>
              <w:rPr>
                <w:rFonts w:ascii="Calibri" w:cs="Calibri" w:eastAsia="Calibri" w:hAnsi="Calibri"/>
                <w:sz w:val="19"/>
                <w:szCs w:val="19"/>
              </w:rPr>
              <w:t xml:space="preserve">Net revenue</w:t>
            </w:r>
          </w:p>
        </w:tc>
        <w:tc>
          <w:tcPr>
            <w:tcW w:type="dxa" w:w="1984"/>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9,563.36</w:t>
            </w:r>
          </w:p>
        </w:tc>
        <w:tc>
          <w:tcPr>
            <w:tcW w:type="dxa" w:w="1984"/>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9,563.36</w:t>
            </w:r>
          </w:p>
        </w:tc>
        <w:tc>
          <w:tcPr>
            <w:tcW w:type="dxa" w:w="1985"/>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0.00</w:t>
            </w:r>
          </w:p>
        </w:tc>
      </w:tr>
      <w:tr>
        <w:tc>
          <w:tcPr>
            <w:tcW w:type="dxa" w:w="3067"/>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Total VAT</w:t>
            </w:r>
          </w:p>
        </w:tc>
        <w:tc>
          <w:tcPr>
            <w:tcW w:type="dxa" w:w="1984"/>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1,025.50</w:t>
            </w:r>
          </w:p>
        </w:tc>
        <w:tc>
          <w:tcPr>
            <w:tcW w:type="dxa" w:w="1984"/>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1,025.50</w:t>
            </w:r>
          </w:p>
        </w:tc>
        <w:tc>
          <w:tcPr>
            <w:tcW w:type="dxa" w:w="1985"/>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EUR 0.00</w:t>
            </w:r>
          </w:p>
        </w:tc>
      </w:tr>
    </w:tbl>
    <w:p>
      <w:pPr>
        <w:spacing w:after="160"/>
      </w:pPr>
      <w:r>
        <w:t xml:space="preserve"/>
      </w:r>
    </w:p>
    <w:p>
      <w:pPr>
        <w:spacing w:after="140" w:line="276"/>
      </w:pPr>
      <w:r>
        <w:rPr>
          <w:rFonts w:ascii="Calibri" w:cs="Calibri" w:eastAsia="Calibri" w:hAnsi="Calibri"/>
          <w:sz w:val="21"/>
          <w:szCs w:val="21"/>
        </w:rPr>
        <w:t xml:space="preserve">The reconciliation is written to data/canonical/manifest.json on every run, so it can be checked without opening a spreadsheet.</w:t>
      </w:r>
    </w:p>
    <w:p>
      <w:r>
        <w:br w:type="page"/>
      </w:r>
    </w:p>
    <w:p>
      <w:pPr>
        <w:pStyle w:val="Heading1"/>
        <w:spacing w:after="160" w:before="360"/>
      </w:pPr>
      <w:r>
        <w:rPr>
          <w:rFonts w:ascii="Calibri" w:cs="Calibri" w:eastAsia="Calibri" w:hAnsi="Calibri"/>
          <w:b/>
          <w:bCs/>
          <w:color w:val="454545"/>
          <w:sz w:val="30"/>
          <w:szCs w:val="30"/>
        </w:rPr>
        <w:t xml:space="preserve">3. The Data Pipeline</w:t>
      </w:r>
    </w:p>
    <w:p>
      <w:pPr>
        <w:pBdr>
          <w:bottom w:val="single" w:color="454545" w:sz="6"/>
        </w:pBdr>
        <w:spacing w:after="200" w:before="60"/>
      </w:pPr>
      <w:r>
        <w:rPr>
          <w:sz w:val="2"/>
          <w:szCs w:val="2"/>
        </w:rPr>
        <w:t xml:space="preserve"/>
      </w:r>
    </w:p>
    <w:p>
      <w:pPr>
        <w:spacing w:after="140" w:line="276"/>
      </w:pPr>
      <w:r>
        <w:rPr>
          <w:rFonts w:ascii="Calibri" w:cs="Calibri" w:eastAsia="Calibri" w:hAnsi="Calibri"/>
          <w:sz w:val="21"/>
          <w:szCs w:val="21"/>
        </w:rPr>
        <w:t xml:space="preserve">The pipeline has three stages and each one can be run on its own. The whole thing goes with a single command, npm run pipeline.</w:t>
      </w:r>
    </w:p>
    <w:p>
      <w:pPr>
        <w:pStyle w:val="Heading2"/>
        <w:spacing w:after="120" w:before="260"/>
      </w:pPr>
      <w:r>
        <w:rPr>
          <w:rFonts w:ascii="Calibri" w:cs="Calibri" w:eastAsia="Calibri" w:hAnsi="Calibri"/>
          <w:b/>
          <w:bCs/>
          <w:color w:val="454545"/>
          <w:sz w:val="24"/>
          <w:szCs w:val="24"/>
        </w:rPr>
        <w:t xml:space="preserve">3.1 Stage one: extraction</w:t>
      </w:r>
    </w:p>
    <w:p>
      <w:pPr>
        <w:spacing w:after="140" w:line="276"/>
      </w:pPr>
      <w:r>
        <w:rPr>
          <w:rFonts w:ascii="Calibri" w:cs="Calibri" w:eastAsia="Calibri" w:hAnsi="Calibri"/>
          <w:sz w:val="21"/>
          <w:szCs w:val="21"/>
        </w:rPr>
        <w:t xml:space="preserve">The workbooks are report exports, not data tables, and they behave accordingly. Every sheet carries five or six lines of run metadata above the actual header. Grouped sheets print the parent key only on the first row of each block and leave it blank underneath. A "Total" row is mixed in with the real rows rather than separated from them. Sheets that returned no data still have headers, so an empty result and a parsing failure look identical if you are not careful.</w:t>
      </w:r>
    </w:p>
    <w:p>
      <w:pPr>
        <w:spacing w:after="140" w:line="276"/>
      </w:pPr>
      <w:r>
        <w:rPr>
          <w:rFonts w:ascii="Calibri" w:cs="Calibri" w:eastAsia="Calibri" w:hAnsi="Calibri"/>
          <w:sz w:val="21"/>
          <w:szCs w:val="21"/>
        </w:rPr>
        <w:t xml:space="preserve">tools/etl_sap_export.py handles all of that. It finds the header row by skipping anything that starts with a known metadata prefix and taking the first row with three or more populated cells. It forward-fills grouped keys down their block, drops the total rows, and writes one tidy CSV per report into data/canonical.</w:t>
      </w:r>
    </w:p>
    <w:p>
      <w:pPr>
        <w:spacing w:after="140" w:line="276"/>
      </w:pPr>
      <w:r>
        <w:rPr>
          <w:rFonts w:ascii="Calibri" w:cs="Calibri" w:eastAsia="Calibri" w:hAnsi="Calibri"/>
          <w:sz w:val="21"/>
          <w:szCs w:val="21"/>
        </w:rPr>
        <w:t xml:space="preserve">The trickiest sheet is "Revenue per art. and timespan", which interleaves an hourly summary row with the article lines belonging to that hour. Carrying the timespan down the block and dropping the summary rows turns 7,470 raw rows into 4,926 clean article-hour observations across 179 days. That table is the backbone of the demand model.</w:t>
      </w:r>
    </w:p>
    <w:p>
      <w:pPr>
        <w:pStyle w:val="Heading2"/>
        <w:spacing w:after="120" w:before="260"/>
      </w:pPr>
      <w:r>
        <w:rPr>
          <w:rFonts w:ascii="Calibri" w:cs="Calibri" w:eastAsia="Calibri" w:hAnsi="Calibri"/>
          <w:b/>
          <w:bCs/>
          <w:color w:val="454545"/>
          <w:sz w:val="24"/>
          <w:szCs w:val="24"/>
        </w:rPr>
        <w:t xml:space="preserve">3.2 Stage two: synthesis</w:t>
      </w:r>
    </w:p>
    <w:p>
      <w:pPr>
        <w:spacing w:after="140" w:line="276"/>
      </w:pPr>
      <w:r>
        <w:rPr>
          <w:rFonts w:ascii="Calibri" w:cs="Calibri" w:eastAsia="Calibri" w:hAnsi="Calibri"/>
          <w:sz w:val="21"/>
          <w:szCs w:val="21"/>
        </w:rPr>
        <w:t xml:space="preserve">The brief asked for the SAP data to be enriched rather than replaced, so the rule we set was that Walldorf keeps its real numbers untouched and everything else is derived from measurements of those numbers. Nothing is invented from thin air where a real distribution was available.</w:t>
      </w:r>
    </w:p>
    <w:p>
      <w:pPr>
        <w:spacing w:after="140" w:line="276"/>
      </w:pPr>
      <w:r>
        <w:rPr>
          <w:rFonts w:ascii="Calibri" w:cs="Calibri" w:eastAsia="Calibri" w:hAnsi="Calibri"/>
          <w:sz w:val="21"/>
          <w:szCs w:val="21"/>
        </w:rPr>
        <w:t xml:space="preserve">What gets measured from the export and replayed:</w:t>
      </w:r>
    </w:p>
    <w:p>
      <w:pPr>
        <w:pStyle w:val="ListParagraph"/>
        <w:numPr>
          <w:ilvl w:val="0"/>
          <w:numId w:val="2"/>
        </w:numPr>
        <w:spacing w:after="90" w:line="276"/>
      </w:pPr>
      <w:r>
        <w:rPr>
          <w:rFonts w:ascii="Calibri" w:cs="Calibri" w:eastAsia="Calibri" w:hAnsi="Calibri"/>
          <w:sz w:val="21"/>
          <w:szCs w:val="21"/>
        </w:rPr>
        <w:t xml:space="preserve">The hour-of-day distribution of demand, which for this store is a hard weekday lunch peak between 12:00 and 17:00</w:t>
      </w:r>
    </w:p>
    <w:p>
      <w:pPr>
        <w:pStyle w:val="ListParagraph"/>
        <w:numPr>
          <w:ilvl w:val="0"/>
          <w:numId w:val="2"/>
        </w:numPr>
        <w:spacing w:after="90" w:line="276"/>
      </w:pPr>
      <w:r>
        <w:rPr>
          <w:rFonts w:ascii="Calibri" w:cs="Calibri" w:eastAsia="Calibri" w:hAnsi="Calibri"/>
          <w:sz w:val="21"/>
          <w:szCs w:val="21"/>
        </w:rPr>
        <w:t xml:space="preserve">Day-of-week factors, where Saturday collapses to roughly a fifth of a normal weekday</w:t>
      </w:r>
    </w:p>
    <w:p>
      <w:pPr>
        <w:pStyle w:val="ListParagraph"/>
        <w:numPr>
          <w:ilvl w:val="0"/>
          <w:numId w:val="2"/>
        </w:numPr>
        <w:spacing w:after="90" w:line="276"/>
      </w:pPr>
      <w:r>
        <w:rPr>
          <w:rFonts w:ascii="Calibri" w:cs="Calibri" w:eastAsia="Calibri" w:hAnsi="Calibri"/>
          <w:sz w:val="21"/>
          <w:szCs w:val="21"/>
        </w:rPr>
        <w:t xml:space="preserve">The article mix, tilted per store format so food-to-go over-indexes in a flagship and drinks over-index in a small campus kiosk</w:t>
      </w:r>
    </w:p>
    <w:p>
      <w:pPr>
        <w:pStyle w:val="ListParagraph"/>
        <w:numPr>
          <w:ilvl w:val="0"/>
          <w:numId w:val="2"/>
        </w:numPr>
        <w:spacing w:after="90" w:line="276"/>
      </w:pPr>
      <w:r>
        <w:rPr>
          <w:rFonts w:ascii="Calibri" w:cs="Calibri" w:eastAsia="Calibri" w:hAnsi="Calibri"/>
          <w:sz w:val="21"/>
          <w:szCs w:val="21"/>
        </w:rPr>
        <w:t xml:space="preserve">Cancellation rates per terminal type, which differ sharply between staffed and unstaffed lanes</w:t>
      </w:r>
    </w:p>
    <w:p>
      <w:pPr>
        <w:pStyle w:val="ListParagraph"/>
        <w:numPr>
          <w:ilvl w:val="0"/>
          <w:numId w:val="2"/>
        </w:numPr>
        <w:spacing w:after="90" w:line="276"/>
      </w:pPr>
      <w:r>
        <w:rPr>
          <w:rFonts w:ascii="Calibri" w:cs="Calibri" w:eastAsia="Calibri" w:hAnsi="Calibri"/>
          <w:sz w:val="21"/>
          <w:szCs w:val="21"/>
        </w:rPr>
        <w:t xml:space="preserve">The payment method split</w:t>
      </w:r>
    </w:p>
    <w:p>
      <w:pPr>
        <w:spacing w:after="120"/>
      </w:pPr>
      <w:r>
        <w:t xml:space="preserve"/>
      </w:r>
    </w:p>
    <w:p>
      <w:pPr>
        <w:spacing w:after="140" w:line="276"/>
      </w:pPr>
      <w:r>
        <w:rPr>
          <w:rFonts w:ascii="Calibri" w:cs="Calibri" w:eastAsia="Calibri" w:hAnsi="Calibri"/>
          <w:sz w:val="21"/>
          <w:szCs w:val="21"/>
        </w:rPr>
        <w:t xml:space="preserve">On top of that we defined five additional stores with different formats, floor areas, opening hours and catchment sizes, giving a six-store network:</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902"/>
        <w:gridCol w:w="2706"/>
        <w:gridCol w:w="1533"/>
        <w:gridCol w:w="992"/>
        <w:gridCol w:w="1082"/>
        <w:gridCol w:w="1805"/>
      </w:tblGrid>
      <w:tr>
        <w:trPr>
          <w:tblHeader/>
        </w:trPr>
        <w:tc>
          <w:tcPr>
            <w:tcW w:type="dxa" w:w="902"/>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706"/>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Store</w:t>
            </w:r>
          </w:p>
        </w:tc>
        <w:tc>
          <w:tcPr>
            <w:tcW w:type="dxa" w:w="1533"/>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Format</w:t>
            </w:r>
          </w:p>
        </w:tc>
        <w:tc>
          <w:tcPr>
            <w:tcW w:type="dxa" w:w="992"/>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Area</w:t>
            </w:r>
          </w:p>
        </w:tc>
        <w:tc>
          <w:tcPr>
            <w:tcW w:type="dxa" w:w="1082"/>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Hours</w:t>
            </w:r>
          </w:p>
        </w:tc>
        <w:tc>
          <w:tcPr>
            <w:tcW w:type="dxa" w:w="1805"/>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Demand factor</w:t>
            </w:r>
          </w:p>
        </w:tc>
      </w:tr>
      <w:tr>
        <w:tc>
          <w:tcPr>
            <w:tcW w:type="dxa" w:w="902"/>
            <w:tcMar>
              <w:top w:type="dxa" w:w="70"/>
              <w:left w:type="dxa" w:w="110"/>
              <w:bottom w:type="dxa" w:w="70"/>
              <w:right w:type="dxa" w:w="110"/>
            </w:tcMar>
          </w:tcPr>
          <w:p>
            <w:pPr>
              <w:spacing w:after="0" w:line="250"/>
            </w:pPr>
            <w:r>
              <w:rPr>
                <w:rFonts w:ascii="Calibri" w:cs="Calibri" w:eastAsia="Calibri" w:hAnsi="Calibri"/>
                <w:sz w:val="19"/>
                <w:szCs w:val="19"/>
              </w:rPr>
              <w:t xml:space="preserve">WDF01</w:t>
            </w:r>
          </w:p>
        </w:tc>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S.Mart Walldorf Campus</w:t>
            </w:r>
          </w:p>
        </w:tc>
        <w:tc>
          <w:tcPr>
            <w:tcW w:type="dxa" w:w="1533"/>
            <w:tcMar>
              <w:top w:type="dxa" w:w="70"/>
              <w:left w:type="dxa" w:w="110"/>
              <w:bottom w:type="dxa" w:w="70"/>
              <w:right w:type="dxa" w:w="110"/>
            </w:tcMar>
          </w:tcPr>
          <w:p>
            <w:pPr>
              <w:spacing w:after="0" w:line="250"/>
            </w:pPr>
            <w:r>
              <w:rPr>
                <w:rFonts w:ascii="Calibri" w:cs="Calibri" w:eastAsia="Calibri" w:hAnsi="Calibri"/>
                <w:sz w:val="19"/>
                <w:szCs w:val="19"/>
              </w:rPr>
              <w:t xml:space="preserve">Autonomous</w:t>
            </w:r>
          </w:p>
        </w:tc>
        <w:tc>
          <w:tcPr>
            <w:tcW w:type="dxa" w:w="992"/>
            <w:tcMar>
              <w:top w:type="dxa" w:w="70"/>
              <w:left w:type="dxa" w:w="110"/>
              <w:bottom w:type="dxa" w:w="70"/>
              <w:right w:type="dxa" w:w="110"/>
            </w:tcMar>
          </w:tcPr>
          <w:p>
            <w:pPr>
              <w:spacing w:after="0" w:line="250"/>
            </w:pPr>
            <w:r>
              <w:rPr>
                <w:rFonts w:ascii="Calibri" w:cs="Calibri" w:eastAsia="Calibri" w:hAnsi="Calibri"/>
                <w:sz w:val="19"/>
                <w:szCs w:val="19"/>
              </w:rPr>
              <w:t xml:space="preserve">68 m2</w:t>
            </w:r>
          </w:p>
        </w:tc>
        <w:tc>
          <w:tcPr>
            <w:tcW w:type="dxa" w:w="1082"/>
            <w:tcMar>
              <w:top w:type="dxa" w:w="70"/>
              <w:left w:type="dxa" w:w="110"/>
              <w:bottom w:type="dxa" w:w="70"/>
              <w:right w:type="dxa" w:w="110"/>
            </w:tcMar>
          </w:tcPr>
          <w:p>
            <w:pPr>
              <w:spacing w:after="0" w:line="250"/>
            </w:pPr>
            <w:r>
              <w:rPr>
                <w:rFonts w:ascii="Calibri" w:cs="Calibri" w:eastAsia="Calibri" w:hAnsi="Calibri"/>
                <w:sz w:val="19"/>
                <w:szCs w:val="19"/>
              </w:rPr>
              <w:t xml:space="preserve">24/7</w:t>
            </w:r>
          </w:p>
        </w:tc>
        <w:tc>
          <w:tcPr>
            <w:tcW w:type="dxa" w:w="1805"/>
            <w:tcMar>
              <w:top w:type="dxa" w:w="70"/>
              <w:left w:type="dxa" w:w="110"/>
              <w:bottom w:type="dxa" w:w="70"/>
              <w:right w:type="dxa" w:w="110"/>
            </w:tcMar>
          </w:tcPr>
          <w:p>
            <w:pPr>
              <w:spacing w:after="0" w:line="250"/>
            </w:pPr>
            <w:r>
              <w:rPr>
                <w:rFonts w:ascii="Calibri" w:cs="Calibri" w:eastAsia="Calibri" w:hAnsi="Calibri"/>
                <w:sz w:val="19"/>
                <w:szCs w:val="19"/>
              </w:rPr>
              <w:t xml:space="preserve">1.00 (real data)</w:t>
            </w:r>
          </w:p>
        </w:tc>
      </w:tr>
      <w:tr>
        <w:tc>
          <w:tcPr>
            <w:tcW w:type="dxa" w:w="902"/>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WDF02</w:t>
            </w:r>
          </w:p>
        </w:tc>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S.Mart Walldorf WDF03</w:t>
            </w:r>
          </w:p>
        </w:tc>
        <w:tc>
          <w:tcPr>
            <w:tcW w:type="dxa" w:w="1533"/>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Campus kiosk</w:t>
            </w:r>
          </w:p>
        </w:tc>
        <w:tc>
          <w:tcPr>
            <w:tcW w:type="dxa" w:w="992"/>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34 m2</w:t>
            </w:r>
          </w:p>
        </w:tc>
        <w:tc>
          <w:tcPr>
            <w:tcW w:type="dxa" w:w="1082"/>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06-20</w:t>
            </w:r>
          </w:p>
        </w:tc>
        <w:tc>
          <w:tcPr>
            <w:tcW w:type="dxa" w:w="180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0.42</w:t>
            </w:r>
          </w:p>
        </w:tc>
      </w:tr>
      <w:tr>
        <w:tc>
          <w:tcPr>
            <w:tcW w:type="dxa" w:w="902"/>
            <w:tcMar>
              <w:top w:type="dxa" w:w="70"/>
              <w:left w:type="dxa" w:w="110"/>
              <w:bottom w:type="dxa" w:w="70"/>
              <w:right w:type="dxa" w:w="110"/>
            </w:tcMar>
          </w:tcPr>
          <w:p>
            <w:pPr>
              <w:spacing w:after="0" w:line="250"/>
            </w:pPr>
            <w:r>
              <w:rPr>
                <w:rFonts w:ascii="Calibri" w:cs="Calibri" w:eastAsia="Calibri" w:hAnsi="Calibri"/>
                <w:sz w:val="19"/>
                <w:szCs w:val="19"/>
              </w:rPr>
              <w:t xml:space="preserve">STR01</w:t>
            </w:r>
          </w:p>
        </w:tc>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S.Mart St. Leon-Rot</w:t>
            </w:r>
          </w:p>
        </w:tc>
        <w:tc>
          <w:tcPr>
            <w:tcW w:type="dxa" w:w="1533"/>
            <w:tcMar>
              <w:top w:type="dxa" w:w="70"/>
              <w:left w:type="dxa" w:w="110"/>
              <w:bottom w:type="dxa" w:w="70"/>
              <w:right w:type="dxa" w:w="110"/>
            </w:tcMar>
          </w:tcPr>
          <w:p>
            <w:pPr>
              <w:spacing w:after="0" w:line="250"/>
            </w:pPr>
            <w:r>
              <w:rPr>
                <w:rFonts w:ascii="Calibri" w:cs="Calibri" w:eastAsia="Calibri" w:hAnsi="Calibri"/>
                <w:sz w:val="19"/>
                <w:szCs w:val="19"/>
              </w:rPr>
              <w:t xml:space="preserve">Autonomous</w:t>
            </w:r>
          </w:p>
        </w:tc>
        <w:tc>
          <w:tcPr>
            <w:tcW w:type="dxa" w:w="992"/>
            <w:tcMar>
              <w:top w:type="dxa" w:w="70"/>
              <w:left w:type="dxa" w:w="110"/>
              <w:bottom w:type="dxa" w:w="70"/>
              <w:right w:type="dxa" w:w="110"/>
            </w:tcMar>
          </w:tcPr>
          <w:p>
            <w:pPr>
              <w:spacing w:after="0" w:line="250"/>
            </w:pPr>
            <w:r>
              <w:rPr>
                <w:rFonts w:ascii="Calibri" w:cs="Calibri" w:eastAsia="Calibri" w:hAnsi="Calibri"/>
                <w:sz w:val="19"/>
                <w:szCs w:val="19"/>
              </w:rPr>
              <w:t xml:space="preserve">55 m2</w:t>
            </w:r>
          </w:p>
        </w:tc>
        <w:tc>
          <w:tcPr>
            <w:tcW w:type="dxa" w:w="1082"/>
            <w:tcMar>
              <w:top w:type="dxa" w:w="70"/>
              <w:left w:type="dxa" w:w="110"/>
              <w:bottom w:type="dxa" w:w="70"/>
              <w:right w:type="dxa" w:w="110"/>
            </w:tcMar>
          </w:tcPr>
          <w:p>
            <w:pPr>
              <w:spacing w:after="0" w:line="250"/>
            </w:pPr>
            <w:r>
              <w:rPr>
                <w:rFonts w:ascii="Calibri" w:cs="Calibri" w:eastAsia="Calibri" w:hAnsi="Calibri"/>
                <w:sz w:val="19"/>
                <w:szCs w:val="19"/>
              </w:rPr>
              <w:t xml:space="preserve">24/7</w:t>
            </w:r>
          </w:p>
        </w:tc>
        <w:tc>
          <w:tcPr>
            <w:tcW w:type="dxa" w:w="1805"/>
            <w:tcMar>
              <w:top w:type="dxa" w:w="70"/>
              <w:left w:type="dxa" w:w="110"/>
              <w:bottom w:type="dxa" w:w="70"/>
              <w:right w:type="dxa" w:w="110"/>
            </w:tcMar>
          </w:tcPr>
          <w:p>
            <w:pPr>
              <w:spacing w:after="0" w:line="250"/>
            </w:pPr>
            <w:r>
              <w:rPr>
                <w:rFonts w:ascii="Calibri" w:cs="Calibri" w:eastAsia="Calibri" w:hAnsi="Calibri"/>
                <w:sz w:val="19"/>
                <w:szCs w:val="19"/>
              </w:rPr>
              <w:t xml:space="preserve">0.61</w:t>
            </w:r>
          </w:p>
        </w:tc>
      </w:tr>
      <w:tr>
        <w:tc>
          <w:tcPr>
            <w:tcW w:type="dxa" w:w="902"/>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BLN01</w:t>
            </w:r>
          </w:p>
        </w:tc>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S.Mart Berlin Rosenthaler</w:t>
            </w:r>
          </w:p>
        </w:tc>
        <w:tc>
          <w:tcPr>
            <w:tcW w:type="dxa" w:w="1533"/>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Convenience</w:t>
            </w:r>
          </w:p>
        </w:tc>
        <w:tc>
          <w:tcPr>
            <w:tcW w:type="dxa" w:w="992"/>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92 m2</w:t>
            </w:r>
          </w:p>
        </w:tc>
        <w:tc>
          <w:tcPr>
            <w:tcW w:type="dxa" w:w="1082"/>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06-23</w:t>
            </w:r>
          </w:p>
        </w:tc>
        <w:tc>
          <w:tcPr>
            <w:tcW w:type="dxa" w:w="180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1.34</w:t>
            </w:r>
          </w:p>
        </w:tc>
      </w:tr>
      <w:tr>
        <w:tc>
          <w:tcPr>
            <w:tcW w:type="dxa" w:w="902"/>
            <w:tcMar>
              <w:top w:type="dxa" w:w="70"/>
              <w:left w:type="dxa" w:w="110"/>
              <w:bottom w:type="dxa" w:w="70"/>
              <w:right w:type="dxa" w:w="110"/>
            </w:tcMar>
          </w:tcPr>
          <w:p>
            <w:pPr>
              <w:spacing w:after="0" w:line="250"/>
            </w:pPr>
            <w:r>
              <w:rPr>
                <w:rFonts w:ascii="Calibri" w:cs="Calibri" w:eastAsia="Calibri" w:hAnsi="Calibri"/>
                <w:sz w:val="19"/>
                <w:szCs w:val="19"/>
              </w:rPr>
              <w:t xml:space="preserve">MUC01</w:t>
            </w:r>
          </w:p>
        </w:tc>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S.Mart Munich Werksviertel</w:t>
            </w:r>
          </w:p>
        </w:tc>
        <w:tc>
          <w:tcPr>
            <w:tcW w:type="dxa" w:w="1533"/>
            <w:tcMar>
              <w:top w:type="dxa" w:w="70"/>
              <w:left w:type="dxa" w:w="110"/>
              <w:bottom w:type="dxa" w:w="70"/>
              <w:right w:type="dxa" w:w="110"/>
            </w:tcMar>
          </w:tcPr>
          <w:p>
            <w:pPr>
              <w:spacing w:after="0" w:line="250"/>
            </w:pPr>
            <w:r>
              <w:rPr>
                <w:rFonts w:ascii="Calibri" w:cs="Calibri" w:eastAsia="Calibri" w:hAnsi="Calibri"/>
                <w:sz w:val="19"/>
                <w:szCs w:val="19"/>
              </w:rPr>
              <w:t xml:space="preserve">Autonomous</w:t>
            </w:r>
          </w:p>
        </w:tc>
        <w:tc>
          <w:tcPr>
            <w:tcW w:type="dxa" w:w="992"/>
            <w:tcMar>
              <w:top w:type="dxa" w:w="70"/>
              <w:left w:type="dxa" w:w="110"/>
              <w:bottom w:type="dxa" w:w="70"/>
              <w:right w:type="dxa" w:w="110"/>
            </w:tcMar>
          </w:tcPr>
          <w:p>
            <w:pPr>
              <w:spacing w:after="0" w:line="250"/>
            </w:pPr>
            <w:r>
              <w:rPr>
                <w:rFonts w:ascii="Calibri" w:cs="Calibri" w:eastAsia="Calibri" w:hAnsi="Calibri"/>
                <w:sz w:val="19"/>
                <w:szCs w:val="19"/>
              </w:rPr>
              <w:t xml:space="preserve">61 m2</w:t>
            </w:r>
          </w:p>
        </w:tc>
        <w:tc>
          <w:tcPr>
            <w:tcW w:type="dxa" w:w="1082"/>
            <w:tcMar>
              <w:top w:type="dxa" w:w="70"/>
              <w:left w:type="dxa" w:w="110"/>
              <w:bottom w:type="dxa" w:w="70"/>
              <w:right w:type="dxa" w:w="110"/>
            </w:tcMar>
          </w:tcPr>
          <w:p>
            <w:pPr>
              <w:spacing w:after="0" w:line="250"/>
            </w:pPr>
            <w:r>
              <w:rPr>
                <w:rFonts w:ascii="Calibri" w:cs="Calibri" w:eastAsia="Calibri" w:hAnsi="Calibri"/>
                <w:sz w:val="19"/>
                <w:szCs w:val="19"/>
              </w:rPr>
              <w:t xml:space="preserve">24/7</w:t>
            </w:r>
          </w:p>
        </w:tc>
        <w:tc>
          <w:tcPr>
            <w:tcW w:type="dxa" w:w="1805"/>
            <w:tcMar>
              <w:top w:type="dxa" w:w="70"/>
              <w:left w:type="dxa" w:w="110"/>
              <w:bottom w:type="dxa" w:w="70"/>
              <w:right w:type="dxa" w:w="110"/>
            </w:tcMar>
          </w:tcPr>
          <w:p>
            <w:pPr>
              <w:spacing w:after="0" w:line="250"/>
            </w:pPr>
            <w:r>
              <w:rPr>
                <w:rFonts w:ascii="Calibri" w:cs="Calibri" w:eastAsia="Calibri" w:hAnsi="Calibri"/>
                <w:sz w:val="19"/>
                <w:szCs w:val="19"/>
              </w:rPr>
              <w:t xml:space="preserve">0.88</w:t>
            </w:r>
          </w:p>
        </w:tc>
      </w:tr>
      <w:tr>
        <w:tc>
          <w:tcPr>
            <w:tcW w:type="dxa" w:w="902"/>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HAM01</w:t>
            </w:r>
          </w:p>
        </w:tc>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S.Mart Hamburg Hafencity</w:t>
            </w:r>
          </w:p>
        </w:tc>
        <w:tc>
          <w:tcPr>
            <w:tcW w:type="dxa" w:w="1533"/>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Flagship</w:t>
            </w:r>
          </w:p>
        </w:tc>
        <w:tc>
          <w:tcPr>
            <w:tcW w:type="dxa" w:w="992"/>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140 m2</w:t>
            </w:r>
          </w:p>
        </w:tc>
        <w:tc>
          <w:tcPr>
            <w:tcW w:type="dxa" w:w="1082"/>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07-22</w:t>
            </w:r>
          </w:p>
        </w:tc>
        <w:tc>
          <w:tcPr>
            <w:tcW w:type="dxa" w:w="180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1.52</w:t>
            </w:r>
          </w:p>
        </w:tc>
      </w:tr>
    </w:tbl>
    <w:p>
      <w:pPr>
        <w:spacing w:after="160"/>
      </w:pPr>
      <w:r>
        <w:t xml:space="preserve"/>
      </w:r>
    </w:p>
    <w:p>
      <w:pPr>
        <w:spacing w:after="140" w:line="276"/>
      </w:pPr>
      <w:r>
        <w:rPr>
          <w:rFonts w:ascii="Calibri" w:cs="Calibri" w:eastAsia="Calibri" w:hAnsi="Calibri"/>
          <w:sz w:val="21"/>
          <w:szCs w:val="21"/>
        </w:rPr>
        <w:t xml:space="preserve">Campus stores get weekend damping applied; the Berlin and Hamburg stores do not, because a city-centre shop does not empty out on a Saturday the way an office campus does. The whole stage runs off a fixed seed, so two runs produce byte-identical output.</w:t>
      </w:r>
    </w:p>
    <w:p>
      <w:pPr>
        <w:pStyle w:val="Heading2"/>
        <w:spacing w:after="120" w:before="260"/>
      </w:pPr>
      <w:r>
        <w:rPr>
          <w:rFonts w:ascii="Calibri" w:cs="Calibri" w:eastAsia="Calibri" w:hAnsi="Calibri"/>
          <w:b/>
          <w:bCs/>
          <w:color w:val="454545"/>
          <w:sz w:val="24"/>
          <w:szCs w:val="24"/>
        </w:rPr>
        <w:t xml:space="preserve">3.3 Stage three: scoring</w:t>
      </w:r>
    </w:p>
    <w:p>
      <w:pPr>
        <w:spacing w:after="140" w:line="276"/>
      </w:pPr>
      <w:r>
        <w:rPr>
          <w:rFonts w:ascii="Calibri" w:cs="Calibri" w:eastAsia="Calibri" w:hAnsi="Calibri"/>
          <w:sz w:val="21"/>
          <w:szCs w:val="21"/>
        </w:rPr>
        <w:t xml:space="preserve">tools/generate_ai_outputs.js loads the generated dataset, runs every engine over it, and writes the scenario tables. The important design decision is that these are the same functions the running service calls from its recalculate action. There is no second implementation to drift out of sync, which is a mistake we have both seen made and did not want to repeat here.</w:t>
      </w:r>
    </w:p>
    <w:p>
      <w:pPr>
        <w:pStyle w:val="Heading2"/>
        <w:spacing w:after="120" w:before="260"/>
      </w:pPr>
      <w:r>
        <w:rPr>
          <w:rFonts w:ascii="Calibri" w:cs="Calibri" w:eastAsia="Calibri" w:hAnsi="Calibri"/>
          <w:b/>
          <w:bCs/>
          <w:color w:val="454545"/>
          <w:sz w:val="24"/>
          <w:szCs w:val="24"/>
        </w:rPr>
        <w:t xml:space="preserve">3.4 Resulting dataset</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706"/>
        <w:gridCol w:w="1263"/>
        <w:gridCol w:w="5051"/>
      </w:tblGrid>
      <w:tr>
        <w:trPr>
          <w:tblHeader/>
        </w:trPr>
        <w:tc>
          <w:tcPr>
            <w:tcW w:type="dxa" w:w="2706"/>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Entity</w:t>
            </w:r>
          </w:p>
        </w:tc>
        <w:tc>
          <w:tcPr>
            <w:tcW w:type="dxa" w:w="1263"/>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Rows</w:t>
            </w:r>
          </w:p>
        </w:tc>
        <w:tc>
          <w:tcPr>
            <w:tcW w:type="dxa" w:w="5051"/>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Origin</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Stores</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6</w:t>
            </w:r>
          </w:p>
        </w:tc>
        <w:tc>
          <w:tcPr>
            <w:tcW w:type="dxa" w:w="5051"/>
            <w:tcMar>
              <w:top w:type="dxa" w:w="70"/>
              <w:left w:type="dxa" w:w="110"/>
              <w:bottom w:type="dxa" w:w="70"/>
              <w:right w:type="dxa" w:w="110"/>
            </w:tcMar>
          </w:tcPr>
          <w:p>
            <w:pPr>
              <w:spacing w:after="0" w:line="250"/>
            </w:pPr>
            <w:r>
              <w:rPr>
                <w:rFonts w:ascii="Calibri" w:cs="Calibri" w:eastAsia="Calibri" w:hAnsi="Calibri"/>
                <w:sz w:val="19"/>
                <w:szCs w:val="19"/>
              </w:rPr>
              <w:t xml:space="preserve">1 real, 5 synthesized</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PosSystems</w:t>
            </w:r>
          </w:p>
        </w:tc>
        <w:tc>
          <w:tcPr>
            <w:tcW w:type="dxa" w:w="126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17</w:t>
            </w:r>
          </w:p>
        </w:tc>
        <w:tc>
          <w:tcPr>
            <w:tcW w:type="dxa" w:w="505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3 real, 14 synthesized</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Articles</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327</w:t>
            </w:r>
          </w:p>
        </w:tc>
        <w:tc>
          <w:tcPr>
            <w:tcW w:type="dxa" w:w="5051"/>
            <w:tcMar>
              <w:top w:type="dxa" w:w="70"/>
              <w:left w:type="dxa" w:w="110"/>
              <w:bottom w:type="dxa" w:w="70"/>
              <w:right w:type="dxa" w:w="110"/>
            </w:tcMar>
          </w:tcPr>
          <w:p>
            <w:pPr>
              <w:spacing w:after="0" w:line="250"/>
            </w:pPr>
            <w:r>
              <w:rPr>
                <w:rFonts w:ascii="Calibri" w:cs="Calibri" w:eastAsia="Calibri" w:hAnsi="Calibri"/>
                <w:sz w:val="19"/>
                <w:szCs w:val="19"/>
              </w:rPr>
              <w:t xml:space="preserve">All from the SAP export</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ArticleGroups</w:t>
            </w:r>
          </w:p>
        </w:tc>
        <w:tc>
          <w:tcPr>
            <w:tcW w:type="dxa" w:w="126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63</w:t>
            </w:r>
          </w:p>
        </w:tc>
        <w:tc>
          <w:tcPr>
            <w:tcW w:type="dxa" w:w="505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From the export, enriched with English names and temperature zones</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Suppliers</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10</w:t>
            </w:r>
          </w:p>
        </w:tc>
        <w:tc>
          <w:tcPr>
            <w:tcW w:type="dxa" w:w="5051"/>
            <w:tcMar>
              <w:top w:type="dxa" w:w="70"/>
              <w:left w:type="dxa" w:w="110"/>
              <w:bottom w:type="dxa" w:w="70"/>
              <w:right w:type="dxa" w:w="110"/>
            </w:tcMar>
          </w:tcPr>
          <w:p>
            <w:pPr>
              <w:spacing w:after="0" w:line="250"/>
            </w:pPr>
            <w:r>
              <w:rPr>
                <w:rFonts w:ascii="Calibri" w:cs="Calibri" w:eastAsia="Calibri" w:hAnsi="Calibri"/>
                <w:sz w:val="19"/>
                <w:szCs w:val="19"/>
              </w:rPr>
              <w:t xml:space="preserve">Synthesized</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Customers</w:t>
            </w:r>
          </w:p>
        </w:tc>
        <w:tc>
          <w:tcPr>
            <w:tcW w:type="dxa" w:w="126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480</w:t>
            </w:r>
          </w:p>
        </w:tc>
        <w:tc>
          <w:tcPr>
            <w:tcW w:type="dxa" w:w="505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Synthesized</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Employees</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22</w:t>
            </w:r>
          </w:p>
        </w:tc>
        <w:tc>
          <w:tcPr>
            <w:tcW w:type="dxa" w:w="5051"/>
            <w:tcMar>
              <w:top w:type="dxa" w:w="70"/>
              <w:left w:type="dxa" w:w="110"/>
              <w:bottom w:type="dxa" w:w="70"/>
              <w:right w:type="dxa" w:w="110"/>
            </w:tcMar>
          </w:tcPr>
          <w:p>
            <w:pPr>
              <w:spacing w:after="0" w:line="250"/>
            </w:pPr>
            <w:r>
              <w:rPr>
                <w:rFonts w:ascii="Calibri" w:cs="Calibri" w:eastAsia="Calibri" w:hAnsi="Calibri"/>
                <w:sz w:val="19"/>
                <w:szCs w:val="19"/>
              </w:rPr>
              <w:t xml:space="preserve">Synthesized</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HourlySales</w:t>
            </w:r>
          </w:p>
        </w:tc>
        <w:tc>
          <w:tcPr>
            <w:tcW w:type="dxa" w:w="126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27,118</w:t>
            </w:r>
          </w:p>
        </w:tc>
        <w:tc>
          <w:tcPr>
            <w:tcW w:type="dxa" w:w="505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4,926 real (Walldorf), remainder synthesized</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Receipts</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18,401</w:t>
            </w:r>
          </w:p>
        </w:tc>
        <w:tc>
          <w:tcPr>
            <w:tcW w:type="dxa" w:w="5051"/>
            <w:tcMar>
              <w:top w:type="dxa" w:w="70"/>
              <w:left w:type="dxa" w:w="110"/>
              <w:bottom w:type="dxa" w:w="70"/>
              <w:right w:type="dxa" w:w="110"/>
            </w:tcMar>
          </w:tcPr>
          <w:p>
            <w:pPr>
              <w:spacing w:after="0" w:line="250"/>
            </w:pPr>
            <w:r>
              <w:rPr>
                <w:rFonts w:ascii="Calibri" w:cs="Calibri" w:eastAsia="Calibri" w:hAnsi="Calibri"/>
                <w:sz w:val="19"/>
                <w:szCs w:val="19"/>
              </w:rPr>
              <w:t xml:space="preserve">Reconstructed from the hourly grain</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ReceiptItems</w:t>
            </w:r>
          </w:p>
        </w:tc>
        <w:tc>
          <w:tcPr>
            <w:tcW w:type="dxa" w:w="126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29,054</w:t>
            </w:r>
          </w:p>
        </w:tc>
        <w:tc>
          <w:tcPr>
            <w:tcW w:type="dxa" w:w="505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Reconstructed from the hourly grain</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Cancellations</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5,411</w:t>
            </w:r>
          </w:p>
        </w:tc>
        <w:tc>
          <w:tcPr>
            <w:tcW w:type="dxa" w:w="5051"/>
            <w:tcMar>
              <w:top w:type="dxa" w:w="70"/>
              <w:left w:type="dxa" w:w="110"/>
              <w:bottom w:type="dxa" w:w="70"/>
              <w:right w:type="dxa" w:w="110"/>
            </w:tcMar>
          </w:tcPr>
          <w:p>
            <w:pPr>
              <w:spacing w:after="0" w:line="250"/>
            </w:pPr>
            <w:r>
              <w:rPr>
                <w:rFonts w:ascii="Calibri" w:cs="Calibri" w:eastAsia="Calibri" w:hAnsi="Calibri"/>
                <w:sz w:val="19"/>
                <w:szCs w:val="19"/>
              </w:rPr>
              <w:t xml:space="preserve">Walldorf totals are the real ones, spread over the days it traded</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Returns</w:t>
            </w:r>
          </w:p>
        </w:tc>
        <w:tc>
          <w:tcPr>
            <w:tcW w:type="dxa" w:w="126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80</w:t>
            </w:r>
          </w:p>
        </w:tc>
        <w:tc>
          <w:tcPr>
            <w:tcW w:type="dxa" w:w="505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 real, remainder synthesized</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PaymentFacts</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4,705</w:t>
            </w:r>
          </w:p>
        </w:tc>
        <w:tc>
          <w:tcPr>
            <w:tcW w:type="dxa" w:w="5051"/>
            <w:tcMar>
              <w:top w:type="dxa" w:w="70"/>
              <w:left w:type="dxa" w:w="110"/>
              <w:bottom w:type="dxa" w:w="70"/>
              <w:right w:type="dxa" w:w="110"/>
            </w:tcMar>
          </w:tcPr>
          <w:p>
            <w:pPr>
              <w:spacing w:after="0" w:line="250"/>
            </w:pPr>
            <w:r>
              <w:rPr>
                <w:rFonts w:ascii="Calibri" w:cs="Calibri" w:eastAsia="Calibri" w:hAnsi="Calibri"/>
                <w:sz w:val="19"/>
                <w:szCs w:val="19"/>
              </w:rPr>
              <w:t xml:space="preserve">Walldorf split is real</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InventorySnapshots</w:t>
            </w:r>
          </w:p>
        </w:tc>
        <w:tc>
          <w:tcPr>
            <w:tcW w:type="dxa" w:w="126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17,640</w:t>
            </w:r>
          </w:p>
        </w:tc>
        <w:tc>
          <w:tcPr>
            <w:tcW w:type="dxa" w:w="505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Synthesized, 21 days of the moving assortment</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ShelfSensorReadings</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3,738</w:t>
            </w:r>
          </w:p>
        </w:tc>
        <w:tc>
          <w:tcPr>
            <w:tcW w:type="dxa" w:w="5051"/>
            <w:tcMar>
              <w:top w:type="dxa" w:w="70"/>
              <w:left w:type="dxa" w:w="110"/>
              <w:bottom w:type="dxa" w:w="70"/>
              <w:right w:type="dxa" w:w="110"/>
            </w:tcMar>
          </w:tcPr>
          <w:p>
            <w:pPr>
              <w:spacing w:after="0" w:line="250"/>
            </w:pPr>
            <w:r>
              <w:rPr>
                <w:rFonts w:ascii="Calibri" w:cs="Calibri" w:eastAsia="Calibri" w:hAnsi="Calibri"/>
                <w:sz w:val="19"/>
                <w:szCs w:val="19"/>
              </w:rPr>
              <w:t xml:space="preserve">Synthesized: vision stockout, ESL price, temperature probes</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FootfallReadings</w:t>
            </w:r>
          </w:p>
        </w:tc>
        <w:tc>
          <w:tcPr>
            <w:tcW w:type="dxa" w:w="126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9,221</w:t>
            </w:r>
          </w:p>
        </w:tc>
        <w:tc>
          <w:tcPr>
            <w:tcW w:type="dxa" w:w="505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Back-solved from receipts and a conversion rate</w:t>
            </w:r>
          </w:p>
        </w:tc>
      </w:tr>
    </w:tbl>
    <w:p>
      <w:pPr>
        <w:pStyle w:val="Heading2"/>
        <w:spacing w:after="120" w:before="260"/>
      </w:pPr>
      <w:r>
        <w:rPr>
          <w:rFonts w:ascii="Calibri" w:cs="Calibri" w:eastAsia="Calibri" w:hAnsi="Calibri"/>
          <w:b/>
          <w:bCs/>
          <w:color w:val="454545"/>
          <w:sz w:val="24"/>
          <w:szCs w:val="24"/>
        </w:rPr>
        <w:t xml:space="preserve">3.5 What the enrichment actually added</w:t>
      </w:r>
    </w:p>
    <w:p>
      <w:pPr>
        <w:spacing w:after="140" w:line="276"/>
      </w:pPr>
      <w:r>
        <w:rPr>
          <w:rFonts w:ascii="Calibri" w:cs="Calibri" w:eastAsia="Calibri" w:hAnsi="Calibri"/>
          <w:sz w:val="21"/>
          <w:szCs w:val="21"/>
        </w:rPr>
        <w:t xml:space="preserve">"Enrichment" is a word that can cover anything, so this section is specific about what came out of SAP and what was added around it.</w:t>
      </w:r>
    </w:p>
    <w:p>
      <w:pPr>
        <w:pStyle w:val="Heading3"/>
        <w:spacing w:after="100" w:before="200"/>
      </w:pPr>
      <w:r>
        <w:rPr>
          <w:rFonts w:ascii="Calibri" w:cs="Calibri" w:eastAsia="Calibri" w:hAnsi="Calibri"/>
          <w:b/>
          <w:bCs/>
          <w:color w:val="2E2E2E"/>
          <w:sz w:val="22"/>
          <w:szCs w:val="22"/>
        </w:rPr>
        <w:t xml:space="preserve">Structural enrichment of the article master</w:t>
      </w:r>
    </w:p>
    <w:p>
      <w:pPr>
        <w:spacing w:after="140" w:line="276"/>
      </w:pPr>
      <w:r>
        <w:rPr>
          <w:rFonts w:ascii="Calibri" w:cs="Calibri" w:eastAsia="Calibri" w:hAnsi="Calibri"/>
          <w:sz w:val="21"/>
          <w:szCs w:val="21"/>
        </w:rPr>
        <w:t xml:space="preserve">The export gives a sales report keyed by article: identifier, name, quantity sold, gross and net revenue, discounts and VAT. Useful for reporting, but none of it is what an AI scenario needs to reason with. The model adds, per article: unit cost, temperature zone, shelf life in days, ABC class, whether the line is RFID tagged, whether it is a deposit line, shelf capacity, reorder point, and a supplier. The 63 German article groups also gained English names, a category and a temperature zone.</w:t>
      </w:r>
    </w:p>
    <w:p>
      <w:pPr>
        <w:spacing w:after="140" w:line="276"/>
      </w:pPr>
      <w:r>
        <w:rPr>
          <w:rFonts w:ascii="Calibri" w:cs="Calibri" w:eastAsia="Calibri" w:hAnsi="Calibri"/>
          <w:sz w:val="21"/>
          <w:szCs w:val="21"/>
        </w:rPr>
        <w:t xml:space="preserve">Without those fields none of the scenarios can run. Shelf life is what makes the markdown engine possible; the RFID flag is what lets the integrity engine distinguish a misread from an untaggable article; unit cost is what turns a quantity into a margin.</w:t>
      </w:r>
    </w:p>
    <w:p>
      <w:pPr>
        <w:pStyle w:val="Heading3"/>
        <w:spacing w:after="100" w:before="200"/>
      </w:pPr>
      <w:r>
        <w:rPr>
          <w:rFonts w:ascii="Calibri" w:cs="Calibri" w:eastAsia="Calibri" w:hAnsi="Calibri"/>
          <w:b/>
          <w:bCs/>
          <w:color w:val="2E2E2E"/>
          <w:sz w:val="22"/>
          <w:szCs w:val="22"/>
        </w:rPr>
        <w:t xml:space="preserve">Volume</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3067"/>
        <w:gridCol w:w="2977"/>
        <w:gridCol w:w="2976"/>
      </w:tblGrid>
      <w:tr>
        <w:trPr>
          <w:tblHeader/>
        </w:trPr>
        <w:tc>
          <w:tcPr>
            <w:tcW w:type="dxa" w:w="3067"/>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Dimension</w:t>
            </w:r>
          </w:p>
        </w:tc>
        <w:tc>
          <w:tcPr>
            <w:tcW w:type="dxa" w:w="2977"/>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From the SAP export</w:t>
            </w:r>
          </w:p>
        </w:tc>
        <w:tc>
          <w:tcPr>
            <w:tcW w:type="dxa" w:w="2976"/>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After enrichment</w:t>
            </w:r>
          </w:p>
        </w:tc>
      </w:tr>
      <w:tr>
        <w:tc>
          <w:tcPr>
            <w:tcW w:type="dxa" w:w="3067"/>
            <w:tcMar>
              <w:top w:type="dxa" w:w="70"/>
              <w:left w:type="dxa" w:w="110"/>
              <w:bottom w:type="dxa" w:w="70"/>
              <w:right w:type="dxa" w:w="110"/>
            </w:tcMar>
          </w:tcPr>
          <w:p>
            <w:pPr>
              <w:spacing w:after="0" w:line="250"/>
            </w:pPr>
            <w:r>
              <w:rPr>
                <w:rFonts w:ascii="Calibri" w:cs="Calibri" w:eastAsia="Calibri" w:hAnsi="Calibri"/>
                <w:sz w:val="19"/>
                <w:szCs w:val="19"/>
              </w:rPr>
              <w:t xml:space="preserve">Stores</w:t>
            </w:r>
          </w:p>
        </w:tc>
        <w:tc>
          <w:tcPr>
            <w:tcW w:type="dxa" w:w="2977"/>
            <w:tcMar>
              <w:top w:type="dxa" w:w="70"/>
              <w:left w:type="dxa" w:w="110"/>
              <w:bottom w:type="dxa" w:w="70"/>
              <w:right w:type="dxa" w:w="110"/>
            </w:tcMar>
          </w:tcPr>
          <w:p>
            <w:pPr>
              <w:spacing w:after="0" w:line="250"/>
              <w:jc w:val="right"/>
            </w:pPr>
            <w:r>
              <w:rPr>
                <w:rFonts w:ascii="Calibri" w:cs="Calibri" w:eastAsia="Calibri" w:hAnsi="Calibri"/>
                <w:sz w:val="19"/>
                <w:szCs w:val="19"/>
              </w:rPr>
              <w:t xml:space="preserve">1</w:t>
            </w:r>
          </w:p>
        </w:tc>
        <w:tc>
          <w:tcPr>
            <w:tcW w:type="dxa" w:w="2976"/>
            <w:tcMar>
              <w:top w:type="dxa" w:w="70"/>
              <w:left w:type="dxa" w:w="110"/>
              <w:bottom w:type="dxa" w:w="70"/>
              <w:right w:type="dxa" w:w="110"/>
            </w:tcMar>
          </w:tcPr>
          <w:p>
            <w:pPr>
              <w:spacing w:after="0" w:line="250"/>
              <w:jc w:val="right"/>
            </w:pPr>
            <w:r>
              <w:rPr>
                <w:rFonts w:ascii="Calibri" w:cs="Calibri" w:eastAsia="Calibri" w:hAnsi="Calibri"/>
                <w:sz w:val="19"/>
                <w:szCs w:val="19"/>
              </w:rPr>
              <w:t xml:space="preserve">6</w:t>
            </w:r>
          </w:p>
        </w:tc>
      </w:tr>
      <w:tr>
        <w:tc>
          <w:tcPr>
            <w:tcW w:type="dxa" w:w="3067"/>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Terminals</w:t>
            </w:r>
          </w:p>
        </w:tc>
        <w:tc>
          <w:tcPr>
            <w:tcW w:type="dxa" w:w="2977"/>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3</w:t>
            </w:r>
          </w:p>
        </w:tc>
        <w:tc>
          <w:tcPr>
            <w:tcW w:type="dxa" w:w="2976"/>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17</w:t>
            </w:r>
          </w:p>
        </w:tc>
      </w:tr>
      <w:tr>
        <w:tc>
          <w:tcPr>
            <w:tcW w:type="dxa" w:w="3067"/>
            <w:tcMar>
              <w:top w:type="dxa" w:w="70"/>
              <w:left w:type="dxa" w:w="110"/>
              <w:bottom w:type="dxa" w:w="70"/>
              <w:right w:type="dxa" w:w="110"/>
            </w:tcMar>
          </w:tcPr>
          <w:p>
            <w:pPr>
              <w:spacing w:after="0" w:line="250"/>
            </w:pPr>
            <w:r>
              <w:rPr>
                <w:rFonts w:ascii="Calibri" w:cs="Calibri" w:eastAsia="Calibri" w:hAnsi="Calibri"/>
                <w:sz w:val="19"/>
                <w:szCs w:val="19"/>
              </w:rPr>
              <w:t xml:space="preserve">Hourly sales rows</w:t>
            </w:r>
          </w:p>
        </w:tc>
        <w:tc>
          <w:tcPr>
            <w:tcW w:type="dxa" w:w="2977"/>
            <w:tcMar>
              <w:top w:type="dxa" w:w="70"/>
              <w:left w:type="dxa" w:w="110"/>
              <w:bottom w:type="dxa" w:w="70"/>
              <w:right w:type="dxa" w:w="110"/>
            </w:tcMar>
          </w:tcPr>
          <w:p>
            <w:pPr>
              <w:spacing w:after="0" w:line="250"/>
              <w:jc w:val="right"/>
            </w:pPr>
            <w:r>
              <w:rPr>
                <w:rFonts w:ascii="Calibri" w:cs="Calibri" w:eastAsia="Calibri" w:hAnsi="Calibri"/>
                <w:sz w:val="19"/>
                <w:szCs w:val="19"/>
              </w:rPr>
              <w:t xml:space="preserve">4,926</w:t>
            </w:r>
          </w:p>
        </w:tc>
        <w:tc>
          <w:tcPr>
            <w:tcW w:type="dxa" w:w="2976"/>
            <w:tcMar>
              <w:top w:type="dxa" w:w="70"/>
              <w:left w:type="dxa" w:w="110"/>
              <w:bottom w:type="dxa" w:w="70"/>
              <w:right w:type="dxa" w:w="110"/>
            </w:tcMar>
          </w:tcPr>
          <w:p>
            <w:pPr>
              <w:spacing w:after="0" w:line="250"/>
              <w:jc w:val="right"/>
            </w:pPr>
            <w:r>
              <w:rPr>
                <w:rFonts w:ascii="Calibri" w:cs="Calibri" w:eastAsia="Calibri" w:hAnsi="Calibri"/>
                <w:sz w:val="19"/>
                <w:szCs w:val="19"/>
              </w:rPr>
              <w:t xml:space="preserve">27,118</w:t>
            </w:r>
          </w:p>
        </w:tc>
      </w:tr>
      <w:tr>
        <w:tc>
          <w:tcPr>
            <w:tcW w:type="dxa" w:w="3067"/>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Receipts</w:t>
            </w:r>
          </w:p>
        </w:tc>
        <w:tc>
          <w:tcPr>
            <w:tcW w:type="dxa" w:w="2977"/>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2,550 (totals only)</w:t>
            </w:r>
          </w:p>
        </w:tc>
        <w:tc>
          <w:tcPr>
            <w:tcW w:type="dxa" w:w="2976"/>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18,401, itemised</w:t>
            </w:r>
          </w:p>
        </w:tc>
      </w:tr>
      <w:tr>
        <w:tc>
          <w:tcPr>
            <w:tcW w:type="dxa" w:w="3067"/>
            <w:tcMar>
              <w:top w:type="dxa" w:w="70"/>
              <w:left w:type="dxa" w:w="110"/>
              <w:bottom w:type="dxa" w:w="70"/>
              <w:right w:type="dxa" w:w="110"/>
            </w:tcMar>
          </w:tcPr>
          <w:p>
            <w:pPr>
              <w:spacing w:after="0" w:line="250"/>
            </w:pPr>
            <w:r>
              <w:rPr>
                <w:rFonts w:ascii="Calibri" w:cs="Calibri" w:eastAsia="Calibri" w:hAnsi="Calibri"/>
                <w:sz w:val="19"/>
                <w:szCs w:val="19"/>
              </w:rPr>
              <w:t xml:space="preserve">Basket line items</w:t>
            </w:r>
          </w:p>
        </w:tc>
        <w:tc>
          <w:tcPr>
            <w:tcW w:type="dxa" w:w="2977"/>
            <w:tcMar>
              <w:top w:type="dxa" w:w="70"/>
              <w:left w:type="dxa" w:w="110"/>
              <w:bottom w:type="dxa" w:w="70"/>
              <w:right w:type="dxa" w:w="110"/>
            </w:tcMar>
          </w:tcPr>
          <w:p>
            <w:pPr>
              <w:spacing w:after="0" w:line="250"/>
              <w:jc w:val="right"/>
            </w:pPr>
            <w:r>
              <w:rPr>
                <w:rFonts w:ascii="Calibri" w:cs="Calibri" w:eastAsia="Calibri" w:hAnsi="Calibri"/>
                <w:sz w:val="19"/>
                <w:szCs w:val="19"/>
              </w:rPr>
              <w:t xml:space="preserve">none</w:t>
            </w:r>
          </w:p>
        </w:tc>
        <w:tc>
          <w:tcPr>
            <w:tcW w:type="dxa" w:w="2976"/>
            <w:tcMar>
              <w:top w:type="dxa" w:w="70"/>
              <w:left w:type="dxa" w:w="110"/>
              <w:bottom w:type="dxa" w:w="70"/>
              <w:right w:type="dxa" w:w="110"/>
            </w:tcMar>
          </w:tcPr>
          <w:p>
            <w:pPr>
              <w:spacing w:after="0" w:line="250"/>
              <w:jc w:val="right"/>
            </w:pPr>
            <w:r>
              <w:rPr>
                <w:rFonts w:ascii="Calibri" w:cs="Calibri" w:eastAsia="Calibri" w:hAnsi="Calibri"/>
                <w:sz w:val="19"/>
                <w:szCs w:val="19"/>
              </w:rPr>
              <w:t xml:space="preserve">29,054</w:t>
            </w:r>
          </w:p>
        </w:tc>
      </w:tr>
      <w:tr>
        <w:tc>
          <w:tcPr>
            <w:tcW w:type="dxa" w:w="3067"/>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Cancellations</w:t>
            </w:r>
          </w:p>
        </w:tc>
        <w:tc>
          <w:tcPr>
            <w:tcW w:type="dxa" w:w="2977"/>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412 aggregate rows</w:t>
            </w:r>
          </w:p>
        </w:tc>
        <w:tc>
          <w:tcPr>
            <w:tcW w:type="dxa" w:w="2976"/>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5,411 dated rows</w:t>
            </w:r>
          </w:p>
        </w:tc>
      </w:tr>
    </w:tbl>
    <w:p>
      <w:pPr>
        <w:spacing w:after="140"/>
      </w:pPr>
      <w:r>
        <w:t xml:space="preserve"/>
      </w:r>
    </w:p>
    <w:p>
      <w:pPr>
        <w:pStyle w:val="Heading3"/>
        <w:spacing w:after="100" w:before="200"/>
      </w:pPr>
      <w:r>
        <w:rPr>
          <w:rFonts w:ascii="Calibri" w:cs="Calibri" w:eastAsia="Calibri" w:hAnsi="Calibri"/>
          <w:b/>
          <w:bCs/>
          <w:color w:val="2E2E2E"/>
          <w:sz w:val="22"/>
          <w:szCs w:val="22"/>
        </w:rPr>
        <w:t xml:space="preserve">Dimensions the export had nothing on</w:t>
      </w:r>
    </w:p>
    <w:p>
      <w:pPr>
        <w:spacing w:after="140" w:line="276"/>
      </w:pPr>
      <w:r>
        <w:rPr>
          <w:rFonts w:ascii="Calibri" w:cs="Calibri" w:eastAsia="Calibri" w:hAnsi="Calibri"/>
          <w:sz w:val="21"/>
          <w:szCs w:val="21"/>
        </w:rPr>
        <w:t xml:space="preserve">Inventory snapshots (17,640), shelf sensor readings covering vision stockout, electronic labels and temperature probes (3,738), footfall and conversion per store hour (9,221), customers (480), suppliers (10) and employees (22). On top of those sit nine entities of scenario output, which are derived rather than synthesized.</w:t>
      </w:r>
    </w:p>
    <w:p>
      <w:pPr>
        <w:pStyle w:val="Heading3"/>
        <w:spacing w:after="100" w:before="200"/>
      </w:pPr>
      <w:r>
        <w:rPr>
          <w:rFonts w:ascii="Calibri" w:cs="Calibri" w:eastAsia="Calibri" w:hAnsi="Calibri"/>
          <w:b/>
          <w:bCs/>
          <w:color w:val="2E2E2E"/>
          <w:sz w:val="22"/>
          <w:szCs w:val="22"/>
        </w:rPr>
        <w:t xml:space="preserve">The rule we held to</w:t>
      </w:r>
    </w:p>
    <w:p>
      <w:pPr>
        <w:spacing w:after="140" w:line="276"/>
      </w:pPr>
      <w:r>
        <w:rPr>
          <w:rFonts w:ascii="Calibri" w:cs="Calibri" w:eastAsia="Calibri" w:hAnsi="Calibri"/>
          <w:sz w:val="21"/>
          <w:szCs w:val="21"/>
        </w:rPr>
        <w:t xml:space="preserve">Nothing was invented where a real distribution existed. The hour-of-day curve, the day-of-week factors, the article mix, the per-terminal cancellation rates and the payment split were all measured from the Walldorf export and replayed at other scales. Walldorf keeps its own figures untouched, and the provenance is carried in the data rather than in documentation - Stores.isReferenceStore and Articles.isFromSapExport - so any screen can state which numbers are real. The command centre does exactly that at the foot of the page.</w:t>
      </w:r>
    </w:p>
    <w:p>
      <w:r>
        <w:br w:type="page"/>
      </w:r>
    </w:p>
    <w:p>
      <w:pPr>
        <w:pStyle w:val="Heading1"/>
        <w:spacing w:after="160" w:before="360"/>
      </w:pPr>
      <w:r>
        <w:rPr>
          <w:rFonts w:ascii="Calibri" w:cs="Calibri" w:eastAsia="Calibri" w:hAnsi="Calibri"/>
          <w:b/>
          <w:bCs/>
          <w:color w:val="454545"/>
          <w:sz w:val="30"/>
          <w:szCs w:val="30"/>
        </w:rPr>
        <w:t xml:space="preserve">4. Data Model</w:t>
      </w:r>
    </w:p>
    <w:p>
      <w:pPr>
        <w:pBdr>
          <w:bottom w:val="single" w:color="454545" w:sz="6"/>
        </w:pBdr>
        <w:spacing w:after="200" w:before="60"/>
      </w:pPr>
      <w:r>
        <w:rPr>
          <w:sz w:val="2"/>
          <w:szCs w:val="2"/>
        </w:rPr>
        <w:t xml:space="preserve"/>
      </w:r>
    </w:p>
    <w:p>
      <w:pPr>
        <w:spacing w:after="140" w:line="276"/>
      </w:pPr>
      <w:r>
        <w:rPr>
          <w:rFonts w:ascii="Calibri" w:cs="Calibri" w:eastAsia="Calibri" w:hAnsi="Calibri"/>
          <w:sz w:val="21"/>
          <w:szCs w:val="21"/>
        </w:rPr>
        <w:t xml:space="preserve">The model splits in two. db/schema.cds holds the operational picture (stores, terminals, articles, sales, inventory, telemetry) and db/ai-schema.cds holds what the engines produce. Keeping them apart means the scenario tables can be dropped and rebuilt without touching anything that came from SAP.</w:t>
      </w:r>
    </w:p>
    <w:p>
      <w:pPr>
        <w:pStyle w:val="Heading2"/>
        <w:spacing w:after="120" w:before="260"/>
      </w:pPr>
      <w:r>
        <w:rPr>
          <w:rFonts w:ascii="Calibri" w:cs="Calibri" w:eastAsia="Calibri" w:hAnsi="Calibri"/>
          <w:b/>
          <w:bCs/>
          <w:color w:val="454545"/>
          <w:sz w:val="24"/>
          <w:szCs w:val="24"/>
        </w:rPr>
        <w:t xml:space="preserve">4.1 Conventions we settled on</w:t>
      </w:r>
    </w:p>
    <w:p>
      <w:pPr>
        <w:pStyle w:val="Heading3"/>
        <w:spacing w:after="100" w:before="200"/>
      </w:pPr>
      <w:r>
        <w:rPr>
          <w:rFonts w:ascii="Calibri" w:cs="Calibri" w:eastAsia="Calibri" w:hAnsi="Calibri"/>
          <w:b/>
          <w:bCs/>
          <w:color w:val="2E2E2E"/>
          <w:sz w:val="22"/>
          <w:szCs w:val="22"/>
        </w:rPr>
        <w:t xml:space="preserve">Readable keys instead of UUIDs</w:t>
      </w:r>
    </w:p>
    <w:p>
      <w:pPr>
        <w:spacing w:after="140" w:line="276"/>
      </w:pPr>
      <w:r>
        <w:rPr>
          <w:rFonts w:ascii="Calibri" w:cs="Calibri" w:eastAsia="Calibri" w:hAnsi="Calibri"/>
          <w:sz w:val="21"/>
          <w:szCs w:val="21"/>
        </w:rPr>
        <w:t xml:space="preserve">CAP offers a cuid aspect that gives every entity a UUID primary key, and we started with it. It was the wrong choice here for two reasons. The pipeline regenerates these tables from scratch on every run, so UUID keys would make the output impossible to diff between runs. And AIInsights.sourceId points back at whichever scenario row produced an insight, which is far easier to follow when the key says SA-000042 and you can tell at a glance it came from the shrink engine.</w:t>
      </w:r>
    </w:p>
    <w:p>
      <w:pPr>
        <w:spacing w:after="140" w:line="276"/>
      </w:pPr>
      <w:r>
        <w:rPr>
          <w:rFonts w:ascii="Calibri" w:cs="Calibri" w:eastAsia="Calibri" w:hAnsi="Calibri"/>
          <w:sz w:val="21"/>
          <w:szCs w:val="21"/>
        </w:rPr>
        <w:t xml:space="preserve">Switching cost us an hour, because CAP validates that a UUID-typed key looks like a UUID and returns HTTP 400 when it does not. Reading any AI entity by key failed until the aspect was replaced. The replacement lives in db/common.cds as a shared recordKey aspect.</w:t>
      </w:r>
    </w:p>
    <w:p>
      <w:pPr>
        <w:pStyle w:val="Heading3"/>
        <w:spacing w:after="100" w:before="200"/>
      </w:pPr>
      <w:r>
        <w:rPr>
          <w:rFonts w:ascii="Calibri" w:cs="Calibri" w:eastAsia="Calibri" w:hAnsi="Calibri"/>
          <w:b/>
          <w:bCs/>
          <w:color w:val="2E2E2E"/>
          <w:sz w:val="22"/>
          <w:szCs w:val="22"/>
        </w:rPr>
        <w:t xml:space="preserve">Explicit decimals</w:t>
      </w:r>
    </w:p>
    <w:p>
      <w:pPr>
        <w:spacing w:after="140" w:line="276"/>
      </w:pPr>
      <w:r>
        <w:rPr>
          <w:rFonts w:ascii="Calibri" w:cs="Calibri" w:eastAsia="Calibri" w:hAnsi="Calibri"/>
          <w:sz w:val="21"/>
          <w:szCs w:val="21"/>
        </w:rPr>
        <w:t xml:space="preserve">Money and quantities are Decimal with stated precision and scale, never Double. This is the difference between arithmetic behaving identically on SQLite and HANA and having to explain a rounding discrepancy later.</w:t>
      </w:r>
    </w:p>
    <w:p>
      <w:pPr>
        <w:pStyle w:val="Heading3"/>
        <w:spacing w:after="100" w:before="200"/>
      </w:pPr>
      <w:r>
        <w:rPr>
          <w:rFonts w:ascii="Calibri" w:cs="Calibri" w:eastAsia="Calibri" w:hAnsi="Calibri"/>
          <w:b/>
          <w:bCs/>
          <w:color w:val="2E2E2E"/>
          <w:sz w:val="22"/>
          <w:szCs w:val="22"/>
        </w:rPr>
        <w:t xml:space="preserve">Criticality is stored, not computed at render time</w:t>
      </w:r>
    </w:p>
    <w:p>
      <w:pPr>
        <w:spacing w:after="140" w:line="276"/>
      </w:pPr>
      <w:r>
        <w:rPr>
          <w:rFonts w:ascii="Calibri" w:cs="Calibri" w:eastAsia="Calibri" w:hAnsi="Calibri"/>
          <w:sz w:val="21"/>
          <w:szCs w:val="21"/>
        </w:rPr>
        <w:t xml:space="preserve">SAP Fiori elements colours a column by an integer criticality (1 red, 2 orange, 3 green) rather than by the text of a severity label. We first modelled this as a virtual field, which compiles cleanly and is always null at runtime, so nothing would ever have been coloured. It is now a real column that the engines populate alongside the severity.</w:t>
      </w:r>
    </w:p>
    <w:p>
      <w:pPr>
        <w:pStyle w:val="Heading3"/>
        <w:spacing w:after="100" w:before="200"/>
      </w:pPr>
      <w:r>
        <w:rPr>
          <w:rFonts w:ascii="Calibri" w:cs="Calibri" w:eastAsia="Calibri" w:hAnsi="Calibri"/>
          <w:b/>
          <w:bCs/>
          <w:color w:val="2E2E2E"/>
          <w:sz w:val="22"/>
          <w:szCs w:val="22"/>
        </w:rPr>
        <w:t xml:space="preserve">Provenance as a field</w:t>
      </w:r>
    </w:p>
    <w:p>
      <w:pPr>
        <w:spacing w:after="140" w:line="276"/>
      </w:pPr>
      <w:r>
        <w:rPr>
          <w:rFonts w:ascii="Calibri" w:cs="Calibri" w:eastAsia="Calibri" w:hAnsi="Calibri"/>
          <w:sz w:val="21"/>
          <w:szCs w:val="21"/>
        </w:rPr>
        <w:t xml:space="preserve">Stores.isReferenceStore and Articles.isFromSapExport record what came from SAP. Putting this in the data rather than in a README means the dashboards can state it on screen, and nobody has to guess later which figures are real.</w:t>
      </w:r>
    </w:p>
    <w:p>
      <w:pPr>
        <w:pStyle w:val="Heading2"/>
        <w:spacing w:after="120" w:before="260"/>
      </w:pPr>
      <w:r>
        <w:rPr>
          <w:rFonts w:ascii="Calibri" w:cs="Calibri" w:eastAsia="Calibri" w:hAnsi="Calibri"/>
          <w:b/>
          <w:bCs/>
          <w:color w:val="454545"/>
          <w:sz w:val="24"/>
          <w:szCs w:val="24"/>
        </w:rPr>
        <w:t xml:space="preserve">4.2 Entity summary</w:t>
      </w:r>
    </w:p>
    <w:p>
      <w:pPr>
        <w:spacing w:after="140" w:line="276"/>
      </w:pPr>
      <w:r>
        <w:rPr>
          <w:rFonts w:ascii="Calibri" w:cs="Calibri" w:eastAsia="Calibri" w:hAnsi="Calibri"/>
          <w:sz w:val="21"/>
          <w:szCs w:val="21"/>
        </w:rPr>
        <w:t xml:space="preserve">Operational entities:</w:t>
      </w:r>
    </w:p>
    <w:p>
      <w:pPr>
        <w:spacing w:after="140" w:line="276"/>
      </w:pPr>
      <w:r>
        <w:rPr>
          <w:rFonts w:ascii="Calibri" w:cs="Calibri" w:eastAsia="Calibri" w:hAnsi="Calibri"/>
          <w:i/>
          <w:iCs/>
          <w:sz w:val="21"/>
          <w:szCs w:val="21"/>
        </w:rPr>
        <w:t xml:space="preserve">Stores, PosSystems, Suppliers, ArticleGroups, Articles, Customers, Employees, HourlySales, Receipts, ReceiptItems, Cancellations, Returns, PaymentFacts, InventorySnapshots, ShelfSensorReadings, FootfallReadings.</w:t>
      </w:r>
    </w:p>
    <w:p>
      <w:pPr>
        <w:spacing w:after="140" w:line="276"/>
      </w:pPr>
      <w:r>
        <w:rPr>
          <w:rFonts w:ascii="Calibri" w:cs="Calibri" w:eastAsia="Calibri" w:hAnsi="Calibri"/>
          <w:sz w:val="21"/>
          <w:szCs w:val="21"/>
        </w:rPr>
        <w:t xml:space="preserve">Scenario output entities:</w:t>
      </w:r>
    </w:p>
    <w:p>
      <w:pPr>
        <w:spacing w:after="140" w:line="276"/>
      </w:pPr>
      <w:r>
        <w:rPr>
          <w:rFonts w:ascii="Calibri" w:cs="Calibri" w:eastAsia="Calibri" w:hAnsi="Calibri"/>
          <w:i/>
          <w:iCs/>
          <w:sz w:val="21"/>
          <w:szCs w:val="21"/>
        </w:rPr>
        <w:t xml:space="preserve">DemandForecasts, ShrinkAlerts, ReplenishmentTasks, MarkdownRecommendations, BasketAffinities, NextBestOffers, ColdChainAlerts, AIInsights, ModelMetrics.</w:t>
      </w:r>
    </w:p>
    <w:p>
      <w:r>
        <w:br w:type="page"/>
      </w:r>
    </w:p>
    <w:p>
      <w:pPr>
        <w:pStyle w:val="Heading1"/>
        <w:spacing w:after="160" w:before="360"/>
      </w:pPr>
      <w:r>
        <w:rPr>
          <w:rFonts w:ascii="Calibri" w:cs="Calibri" w:eastAsia="Calibri" w:hAnsi="Calibri"/>
          <w:b/>
          <w:bCs/>
          <w:color w:val="454545"/>
          <w:sz w:val="30"/>
          <w:szCs w:val="30"/>
        </w:rPr>
        <w:t xml:space="preserve">5. The AI Scenarios</w:t>
      </w:r>
    </w:p>
    <w:p>
      <w:pPr>
        <w:pBdr>
          <w:bottom w:val="single" w:color="454545" w:sz="6"/>
        </w:pBdr>
        <w:spacing w:after="200" w:before="60"/>
      </w:pPr>
      <w:r>
        <w:rPr>
          <w:sz w:val="2"/>
          <w:szCs w:val="2"/>
        </w:rPr>
        <w:t xml:space="preserve"/>
      </w:r>
    </w:p>
    <w:p>
      <w:pPr>
        <w:spacing w:after="140" w:line="276"/>
      </w:pPr>
      <w:r>
        <w:rPr>
          <w:rFonts w:ascii="Calibri" w:cs="Calibri" w:eastAsia="Calibri" w:hAnsi="Calibri"/>
          <w:sz w:val="21"/>
          <w:szCs w:val="21"/>
        </w:rPr>
        <w:t xml:space="preserve">Six scenarios, plus cold chain monitoring and a feed that merges everything into one ranked queue. Each engine is a pure function in srv/lib/engines with no database or framework dependency, which is why they can be unit tested against small fixtures and reused by both the pipeline and the service.</w:t>
      </w:r>
    </w:p>
    <w:p>
      <w:pPr>
        <w:pStyle w:val="Heading2"/>
        <w:spacing w:after="120" w:before="260"/>
      </w:pPr>
      <w:r>
        <w:rPr>
          <w:rFonts w:ascii="Calibri" w:cs="Calibri" w:eastAsia="Calibri" w:hAnsi="Calibri"/>
          <w:b/>
          <w:bCs/>
          <w:color w:val="454545"/>
          <w:sz w:val="24"/>
          <w:szCs w:val="24"/>
        </w:rPr>
        <w:t xml:space="preserve">5.1 Hourly demand forecast</w:t>
      </w:r>
    </w:p>
    <w:p>
      <w:pPr>
        <w:spacing w:after="140" w:line="276"/>
      </w:pPr>
      <w:r>
        <w:rPr>
          <w:rFonts w:ascii="Calibri" w:cs="Calibri" w:eastAsia="Calibri" w:hAnsi="Calibri"/>
          <w:sz w:val="21"/>
          <w:szCs w:val="21"/>
        </w:rPr>
        <w:t xml:space="preserve">Demand at this store is dominated by two repeating shapes: what hour of the day it is, and what day of the week it is. Rather than reach for something heavyweight, the model decomposes observed sales into a level multiplied by an hour-of-day share and a day-of-week factor, estimates each part from history, then recombines them. The level is an exponentially weighted moving average over recent daily totals so the forecast follows a trend without lurching after one busy afternoon. Prediction intervals come from the residual spread of the same model on the history it was fitted to, which keeps them honest for erratic slow movers.</w:t>
      </w:r>
    </w:p>
    <w:p>
      <w:pPr>
        <w:spacing w:after="140" w:line="276"/>
      </w:pPr>
      <w:r>
        <w:rPr>
          <w:rFonts w:ascii="Calibri" w:cs="Calibri" w:eastAsia="Calibri" w:hAnsi="Calibri"/>
          <w:sz w:val="21"/>
          <w:szCs w:val="21"/>
        </w:rPr>
        <w:t xml:space="preserve">Output: 1,996 hourly forecasts across the network, each carrying its own backtested accuracy.</w:t>
      </w:r>
    </w:p>
    <w:p>
      <w:pPr>
        <w:pStyle w:val="Heading2"/>
        <w:spacing w:after="120" w:before="260"/>
      </w:pPr>
      <w:r>
        <w:rPr>
          <w:rFonts w:ascii="Calibri" w:cs="Calibri" w:eastAsia="Calibri" w:hAnsi="Calibri"/>
          <w:b/>
          <w:bCs/>
          <w:color w:val="454545"/>
          <w:sz w:val="24"/>
          <w:szCs w:val="24"/>
        </w:rPr>
        <w:t xml:space="preserve">5.2 Autonomous checkout integrity</w:t>
      </w:r>
    </w:p>
    <w:p>
      <w:pPr>
        <w:spacing w:after="140" w:line="276"/>
      </w:pPr>
      <w:r>
        <w:rPr>
          <w:rFonts w:ascii="Calibri" w:cs="Calibri" w:eastAsia="Calibri" w:hAnsi="Calibri"/>
          <w:sz w:val="21"/>
          <w:szCs w:val="21"/>
        </w:rPr>
        <w:t xml:space="preserve">This is the scenario the data asked for. Four independent signals are evaluated for every combination of store, terminal and article:</w:t>
      </w:r>
    </w:p>
    <w:p>
      <w:pPr>
        <w:pStyle w:val="ListParagraph"/>
        <w:numPr>
          <w:ilvl w:val="0"/>
          <w:numId w:val="3"/>
        </w:numPr>
        <w:spacing w:after="90" w:line="276"/>
      </w:pPr>
      <w:r>
        <w:rPr>
          <w:rFonts w:ascii="Calibri" w:cs="Calibri" w:eastAsia="Calibri" w:hAnsi="Calibri"/>
          <w:sz w:val="21"/>
          <w:szCs w:val="21"/>
        </w:rPr>
        <w:t xml:space="preserve">Cancellation rate sitting well above that article's own network-wide baseline, which points at an RFID misread on an unstaffed gate or an abandoned basket on a staffed one.</w:t>
      </w:r>
    </w:p>
    <w:p>
      <w:pPr>
        <w:pStyle w:val="ListParagraph"/>
        <w:numPr>
          <w:ilvl w:val="0"/>
          <w:numId w:val="3"/>
        </w:numPr>
        <w:spacing w:after="90" w:line="276"/>
      </w:pPr>
      <w:r>
        <w:rPr>
          <w:rFonts w:ascii="Calibri" w:cs="Calibri" w:eastAsia="Calibri" w:hAnsi="Calibri"/>
          <w:sz w:val="21"/>
          <w:szCs w:val="21"/>
        </w:rPr>
        <w:t xml:space="preserve">An article being presented at an autonomous gate without an RFID tag, which cannot be read at all.</w:t>
      </w:r>
    </w:p>
    <w:p>
      <w:pPr>
        <w:pStyle w:val="ListParagraph"/>
        <w:numPr>
          <w:ilvl w:val="0"/>
          <w:numId w:val="3"/>
        </w:numPr>
        <w:spacing w:after="90" w:line="276"/>
      </w:pPr>
      <w:r>
        <w:rPr>
          <w:rFonts w:ascii="Calibri" w:cs="Calibri" w:eastAsia="Calibri" w:hAnsi="Calibri"/>
          <w:sz w:val="21"/>
          <w:szCs w:val="21"/>
        </w:rPr>
        <w:t xml:space="preserve">Counted stock persistently below book stock across the daily counts.</w:t>
      </w:r>
    </w:p>
    <w:p>
      <w:pPr>
        <w:pStyle w:val="ListParagraph"/>
        <w:numPr>
          <w:ilvl w:val="0"/>
          <w:numId w:val="3"/>
        </w:numPr>
        <w:spacing w:after="90" w:line="276"/>
      </w:pPr>
      <w:r>
        <w:rPr>
          <w:rFonts w:ascii="Calibri" w:cs="Calibri" w:eastAsia="Calibri" w:hAnsi="Calibri"/>
          <w:sz w:val="21"/>
          <w:szCs w:val="21"/>
        </w:rPr>
        <w:t xml:space="preserve">A cancelled value per unit that disagrees with the article master price, which catches master data and shelf label faults rather than loss.</w:t>
      </w:r>
    </w:p>
    <w:p>
      <w:pPr>
        <w:spacing w:after="140" w:line="276"/>
      </w:pPr>
      <w:r>
        <w:rPr>
          <w:rFonts w:ascii="Calibri" w:cs="Calibri" w:eastAsia="Calibri" w:hAnsi="Calibri"/>
          <w:sz w:val="21"/>
          <w:szCs w:val="21"/>
        </w:rPr>
        <w:t xml:space="preserve">Each signal scores from 0 to 100. The strongest one names the pattern, and value at risk is blended in so that an expensive rare failure ranks alongside a cheap frequent one. Comparing each article against its own baseline rather than a global threshold matters: some products are genuinely fiddly everywhere, and we did not want those alarming in all six stores.</w:t>
      </w:r>
    </w:p>
    <w:p>
      <w:pPr>
        <w:spacing w:after="140" w:line="276"/>
      </w:pPr>
      <w:r>
        <w:rPr>
          <w:rFonts w:ascii="Calibri" w:cs="Calibri" w:eastAsia="Calibri" w:hAnsi="Calibri"/>
          <w:sz w:val="21"/>
          <w:szCs w:val="21"/>
        </w:rPr>
        <w:t xml:space="preserve">Output: 676 alerts covering EUR 17,225.77 of cancelled value.</w:t>
      </w:r>
    </w:p>
    <w:p>
      <w:pPr>
        <w:pStyle w:val="Heading2"/>
        <w:spacing w:after="120" w:before="260"/>
      </w:pPr>
      <w:r>
        <w:rPr>
          <w:rFonts w:ascii="Calibri" w:cs="Calibri" w:eastAsia="Calibri" w:hAnsi="Calibri"/>
          <w:b/>
          <w:bCs/>
          <w:color w:val="454545"/>
          <w:sz w:val="24"/>
          <w:szCs w:val="24"/>
        </w:rPr>
        <w:t xml:space="preserve">5.3 Autonomous replenishment</w:t>
      </w:r>
    </w:p>
    <w:p>
      <w:pPr>
        <w:spacing w:after="140" w:line="276"/>
      </w:pPr>
      <w:r>
        <w:rPr>
          <w:rFonts w:ascii="Calibri" w:cs="Calibri" w:eastAsia="Calibri" w:hAnsi="Calibri"/>
          <w:sz w:val="21"/>
          <w:szCs w:val="21"/>
        </w:rPr>
        <w:t xml:space="preserve">An unstaffed store cannot notice an empty shelf, so the reorder decision has to come from the data. For each store and article the engine takes the latest counted stock, projects demand over the supplier lead time using the forecast, and sizes safety stock from demand variability divided by supplier reliability. Urgency is driven by coverage in trading hours rather than by order size, because a slow mover about to go empty still loses the sale.</w:t>
      </w:r>
    </w:p>
    <w:p>
      <w:pPr>
        <w:spacing w:after="140" w:line="276"/>
      </w:pPr>
      <w:r>
        <w:rPr>
          <w:rFonts w:ascii="Calibri" w:cs="Calibri" w:eastAsia="Calibri" w:hAnsi="Calibri"/>
          <w:sz w:val="21"/>
          <w:szCs w:val="21"/>
        </w:rPr>
        <w:t xml:space="preserve">Output: 198 open tasks representing EUR 351.11 of lost sales exposure.</w:t>
      </w:r>
    </w:p>
    <w:p>
      <w:pPr>
        <w:pStyle w:val="Heading2"/>
        <w:spacing w:after="120" w:before="260"/>
      </w:pPr>
      <w:r>
        <w:rPr>
          <w:rFonts w:ascii="Calibri" w:cs="Calibri" w:eastAsia="Calibri" w:hAnsi="Calibri"/>
          <w:b/>
          <w:bCs/>
          <w:color w:val="454545"/>
          <w:sz w:val="24"/>
          <w:szCs w:val="24"/>
        </w:rPr>
        <w:t xml:space="preserve">5.4 Fresh food waste and markdown</w:t>
      </w:r>
    </w:p>
    <w:p>
      <w:pPr>
        <w:spacing w:after="140" w:line="276"/>
      </w:pPr>
      <w:r>
        <w:rPr>
          <w:rFonts w:ascii="Calibri" w:cs="Calibri" w:eastAsia="Calibri" w:hAnsi="Calibri"/>
          <w:sz w:val="21"/>
          <w:szCs w:val="21"/>
        </w:rPr>
        <w:t xml:space="preserve">The Walldorf assortment carries a lot of same-day food. Anything unsold at closing is written off, so the question is not whether to discount but how deep and when. The engine projects how much will sell at full price in the hours left before expiry, then sweeps candidate discount depths from 10 to 50 per cent. Each depth is scored on expected recovered revenue minus the write-off cost of whatever still does not sell, using a constant-elasticity demand response calibrated so a 30 per cent cut roughly doubles velocity. The best depth wins, and a proposal is only emitted if it beats doing nothing.</w:t>
      </w:r>
    </w:p>
    <w:p>
      <w:pPr>
        <w:spacing w:after="140" w:line="276"/>
      </w:pPr>
      <w:r>
        <w:rPr>
          <w:rFonts w:ascii="Calibri" w:cs="Calibri" w:eastAsia="Calibri" w:hAnsi="Calibri"/>
          <w:sz w:val="21"/>
          <w:szCs w:val="21"/>
        </w:rPr>
        <w:t xml:space="preserve">Output: 146 markdown proposals protecting EUR 198.10 of margin and avoiding EUR 125.63 of waste cost.</w:t>
      </w:r>
    </w:p>
    <w:p>
      <w:pPr>
        <w:pStyle w:val="Heading2"/>
        <w:spacing w:after="120" w:before="260"/>
      </w:pPr>
      <w:r>
        <w:rPr>
          <w:rFonts w:ascii="Calibri" w:cs="Calibri" w:eastAsia="Calibri" w:hAnsi="Calibri"/>
          <w:b/>
          <w:bCs/>
          <w:color w:val="454545"/>
          <w:sz w:val="24"/>
          <w:szCs w:val="24"/>
        </w:rPr>
        <w:t xml:space="preserve">5.5 Basket affinity and micro-planogram</w:t>
      </w:r>
    </w:p>
    <w:p>
      <w:pPr>
        <w:spacing w:after="140" w:line="276"/>
      </w:pPr>
      <w:r>
        <w:rPr>
          <w:rFonts w:ascii="Calibri" w:cs="Calibri" w:eastAsia="Calibri" w:hAnsi="Calibri"/>
          <w:sz w:val="21"/>
          <w:szCs w:val="21"/>
        </w:rPr>
        <w:t xml:space="preserve">Standard association rule mining over the reconstructed baskets, producing support, confidence and lift for each pair. In a 68 square metre shop the actionable output is placement rather than promotion, so the engine flags pairs that sell together strongly but currently sit in different temperature zones. Those are candidates for a secondary facing, which is about the only merchandising lever an unstaffed store still has.</w:t>
      </w:r>
    </w:p>
    <w:p>
      <w:pPr>
        <w:spacing w:after="140" w:line="276"/>
      </w:pPr>
      <w:r>
        <w:rPr>
          <w:rFonts w:ascii="Calibri" w:cs="Calibri" w:eastAsia="Calibri" w:hAnsi="Calibri"/>
          <w:sz w:val="21"/>
          <w:szCs w:val="21"/>
        </w:rPr>
        <w:t xml:space="preserve">Output: 33 rules, 26 of them cross-zone.</w:t>
      </w:r>
    </w:p>
    <w:p>
      <w:pPr>
        <w:pStyle w:val="Heading2"/>
        <w:spacing w:after="120" w:before="260"/>
      </w:pPr>
      <w:r>
        <w:rPr>
          <w:rFonts w:ascii="Calibri" w:cs="Calibri" w:eastAsia="Calibri" w:hAnsi="Calibri"/>
          <w:b/>
          <w:bCs/>
          <w:color w:val="454545"/>
          <w:sz w:val="24"/>
          <w:szCs w:val="24"/>
        </w:rPr>
        <w:t xml:space="preserve">5.6 Personalised offers</w:t>
      </w:r>
    </w:p>
    <w:p>
      <w:pPr>
        <w:spacing w:after="140" w:line="276"/>
      </w:pPr>
      <w:r>
        <w:rPr>
          <w:rFonts w:ascii="Calibri" w:cs="Calibri" w:eastAsia="Calibri" w:hAnsi="Calibri"/>
          <w:sz w:val="21"/>
          <w:szCs w:val="21"/>
        </w:rPr>
        <w:t xml:space="preserve">Because entry to an autonomous store is by QR code from the app, every autonomous basket is attributable to a known customer. That makes a light-touch recommender practical. Candidates come from two directions: routine, meaning articles the customer buys on a regular cadence and is now due to buy again, and discovery, meaning articles that co-occur strongly with what they already buy. Propensity blends purchase frequency, recency and affinity strength.</w:t>
      </w:r>
    </w:p>
    <w:p>
      <w:pPr>
        <w:spacing w:after="140" w:line="276"/>
      </w:pPr>
      <w:r>
        <w:rPr>
          <w:rFonts w:ascii="Calibri" w:cs="Calibri" w:eastAsia="Calibri" w:hAnsi="Calibri"/>
          <w:sz w:val="21"/>
          <w:szCs w:val="21"/>
        </w:rPr>
        <w:t xml:space="preserve">The engine only ever emits offers for customers who granted marketing consent. That is enforced in code rather than left to a downstream filter.</w:t>
      </w:r>
    </w:p>
    <w:p>
      <w:pPr>
        <w:spacing w:after="140" w:line="276"/>
      </w:pPr>
      <w:r>
        <w:rPr>
          <w:rFonts w:ascii="Calibri" w:cs="Calibri" w:eastAsia="Calibri" w:hAnsi="Calibri"/>
          <w:sz w:val="21"/>
          <w:szCs w:val="21"/>
        </w:rPr>
        <w:t xml:space="preserve">Output: 842 offers with EUR 596.39 of expected revenue.</w:t>
      </w:r>
    </w:p>
    <w:p>
      <w:pPr>
        <w:pStyle w:val="Heading2"/>
        <w:spacing w:after="120" w:before="260"/>
      </w:pPr>
      <w:r>
        <w:rPr>
          <w:rFonts w:ascii="Calibri" w:cs="Calibri" w:eastAsia="Calibri" w:hAnsi="Calibri"/>
          <w:b/>
          <w:bCs/>
          <w:color w:val="454545"/>
          <w:sz w:val="24"/>
          <w:szCs w:val="24"/>
        </w:rPr>
        <w:t xml:space="preserve">5.7 Cold chain</w:t>
      </w:r>
    </w:p>
    <w:p>
      <w:pPr>
        <w:spacing w:after="140" w:line="276"/>
      </w:pPr>
      <w:r>
        <w:rPr>
          <w:rFonts w:ascii="Calibri" w:cs="Calibri" w:eastAsia="Calibri" w:hAnsi="Calibri"/>
          <w:sz w:val="21"/>
          <w:szCs w:val="21"/>
        </w:rPr>
        <w:t xml:space="preserve">Chillers and freezers report a probe temperature. A single reading outside the band is noise, usually a door held open or a delivery being put away, so an alert only fires on a sustained excursion. Severity scales with how far outside the band the unit ran, for how long, and how much stock value sits in it.</w:t>
      </w:r>
    </w:p>
    <w:p>
      <w:pPr>
        <w:spacing w:after="140" w:line="276"/>
      </w:pPr>
      <w:r>
        <w:rPr>
          <w:rFonts w:ascii="Calibri" w:cs="Calibri" w:eastAsia="Calibri" w:hAnsi="Calibri"/>
          <w:sz w:val="21"/>
          <w:szCs w:val="21"/>
        </w:rPr>
        <w:t xml:space="preserve">Output: 16 alerts covering EUR 601.44 of exposed stock.</w:t>
      </w:r>
    </w:p>
    <w:p>
      <w:pPr>
        <w:pStyle w:val="Heading2"/>
        <w:spacing w:after="120" w:before="260"/>
      </w:pPr>
      <w:r>
        <w:rPr>
          <w:rFonts w:ascii="Calibri" w:cs="Calibri" w:eastAsia="Calibri" w:hAnsi="Calibri"/>
          <w:b/>
          <w:bCs/>
          <w:color w:val="454545"/>
          <w:sz w:val="24"/>
          <w:szCs w:val="24"/>
        </w:rPr>
        <w:t xml:space="preserve">5.8 Unified insight feed</w:t>
      </w:r>
    </w:p>
    <w:p>
      <w:pPr>
        <w:spacing w:after="140" w:line="276"/>
      </w:pPr>
      <w:r>
        <w:rPr>
          <w:rFonts w:ascii="Calibri" w:cs="Calibri" w:eastAsia="Calibri" w:hAnsi="Calibri"/>
          <w:sz w:val="21"/>
          <w:szCs w:val="21"/>
        </w:rPr>
        <w:t xml:space="preserve">Each engine ranks its own output, but a store manager does not care which engine spoke. They care what is costing the most money today. The feed collapses every scenario into one queue ranked by euros at stake weighted by the model's confidence in its own recommendation. Confidence is explicit rather than implied: a markdown backed by hundreds of observations is trusted more than a shrink alert built on three cancellations, and the feed shows that difference instead of hiding it.</w:t>
      </w:r>
    </w:p>
    <w:p>
      <w:pPr>
        <w:spacing w:after="140" w:line="276"/>
      </w:pPr>
      <w:r>
        <w:rPr>
          <w:rFonts w:ascii="Calibri" w:cs="Calibri" w:eastAsia="Calibri" w:hAnsi="Calibri"/>
          <w:sz w:val="21"/>
          <w:szCs w:val="21"/>
        </w:rPr>
        <w:t xml:space="preserve">Output: 107 ranked insights.</w:t>
      </w:r>
    </w:p>
    <w:p>
      <w:r>
        <w:br w:type="page"/>
      </w:r>
    </w:p>
    <w:p>
      <w:pPr>
        <w:pStyle w:val="Heading1"/>
        <w:spacing w:after="160" w:before="360"/>
      </w:pPr>
      <w:r>
        <w:rPr>
          <w:rFonts w:ascii="Calibri" w:cs="Calibri" w:eastAsia="Calibri" w:hAnsi="Calibri"/>
          <w:b/>
          <w:bCs/>
          <w:color w:val="454545"/>
          <w:sz w:val="30"/>
          <w:szCs w:val="30"/>
        </w:rPr>
        <w:t xml:space="preserve">6. What the Engines Found in the Real Data</w:t>
      </w:r>
    </w:p>
    <w:p>
      <w:pPr>
        <w:pBdr>
          <w:bottom w:val="single" w:color="454545" w:sz="6"/>
        </w:pBdr>
        <w:spacing w:after="200" w:before="60"/>
      </w:pPr>
      <w:r>
        <w:rPr>
          <w:sz w:val="2"/>
          <w:szCs w:val="2"/>
        </w:rPr>
        <w:t xml:space="preserve"/>
      </w:r>
    </w:p>
    <w:p>
      <w:pPr>
        <w:spacing w:after="140" w:line="276"/>
      </w:pPr>
      <w:r>
        <w:rPr>
          <w:rFonts w:ascii="Calibri" w:cs="Calibri" w:eastAsia="Calibri" w:hAnsi="Calibri"/>
          <w:sz w:val="21"/>
          <w:szCs w:val="21"/>
        </w:rPr>
        <w:t xml:space="preserve">Two findings are worth calling out because neither was planted. Both fall out of the rules described above when run against the genuine Walldorf export.</w:t>
      </w:r>
    </w:p>
    <w:p>
      <w:pPr>
        <w:pStyle w:val="Heading2"/>
        <w:spacing w:after="120" w:before="260"/>
      </w:pPr>
      <w:r>
        <w:rPr>
          <w:rFonts w:ascii="Calibri" w:cs="Calibri" w:eastAsia="Calibri" w:hAnsi="Calibri"/>
          <w:b/>
          <w:bCs/>
          <w:color w:val="454545"/>
          <w:sz w:val="24"/>
          <w:szCs w:val="24"/>
        </w:rPr>
        <w:t xml:space="preserve">6.1 A master data fault worth EUR 635.94</w:t>
      </w:r>
    </w:p>
    <w:p>
      <w:pPr>
        <w:spacing w:after="140" w:line="276"/>
      </w:pPr>
      <w:r>
        <w:rPr>
          <w:rFonts w:ascii="Calibri" w:cs="Calibri" w:eastAsia="Calibri" w:hAnsi="Calibri"/>
          <w:sz w:val="21"/>
          <w:szCs w:val="21"/>
        </w:rPr>
        <w:t xml:space="preserve">The top-ranked alert in the entire feed is a price error on Sunny Bites Banana Chips. The export records seven cancellation events covering twenty units for EUR 635.94, which works out at EUR 31.80 a unit for a bag of banana chips that should be a couple of euros.</w:t>
      </w:r>
    </w:p>
    <w:p>
      <w:pPr>
        <w:spacing w:after="140" w:line="276"/>
      </w:pPr>
      <w:r>
        <w:rPr>
          <w:rFonts w:ascii="Calibri" w:cs="Calibri" w:eastAsia="Calibri" w:hAnsi="Calibri"/>
          <w:sz w:val="21"/>
          <w:szCs w:val="21"/>
        </w:rPr>
        <w:t xml:space="preserve">The engine does not conclude theft, and that is the point. A cancelled value per unit that far from the master price is a master data or shelf label fault, so the alert is classified PRICE_ERROR and the recommended action is to reconcile the article master price against the electronic shelf label. This was visible in the raw spreadsheet if you knew to look for it, and the engine found it independently.</w:t>
      </w:r>
    </w:p>
    <w:p>
      <w:pPr>
        <w:pStyle w:val="Heading2"/>
        <w:spacing w:after="120" w:before="260"/>
      </w:pPr>
      <w:r>
        <w:rPr>
          <w:rFonts w:ascii="Calibri" w:cs="Calibri" w:eastAsia="Calibri" w:hAnsi="Calibri"/>
          <w:b/>
          <w:bCs/>
          <w:color w:val="454545"/>
          <w:sz w:val="24"/>
          <w:szCs w:val="24"/>
        </w:rPr>
        <w:t xml:space="preserve">6.2 The deposit return problem</w:t>
      </w:r>
    </w:p>
    <w:p>
      <w:pPr>
        <w:spacing w:after="140" w:line="276"/>
      </w:pPr>
      <w:r>
        <w:rPr>
          <w:rFonts w:ascii="Calibri" w:cs="Calibri" w:eastAsia="Calibri" w:hAnsi="Calibri"/>
          <w:sz w:val="21"/>
          <w:szCs w:val="21"/>
        </w:rPr>
        <w:t xml:space="preserve">Leergut 0,25 EUR, the German bottle deposit, is the most cancelled line in the store with 508 events worth EUR 126.90. It is flagged TAG_ABSENT.</w:t>
      </w:r>
    </w:p>
    <w:p>
      <w:pPr>
        <w:spacing w:after="140" w:line="276"/>
      </w:pPr>
      <w:r>
        <w:rPr>
          <w:rFonts w:ascii="Calibri" w:cs="Calibri" w:eastAsia="Calibri" w:hAnsi="Calibri"/>
          <w:sz w:val="21"/>
          <w:szCs w:val="21"/>
        </w:rPr>
        <w:t xml:space="preserve">The reason is structural rather than accidental. Empty bottles being returned for their deposit cannot carry an RFID tag, and the payfree gate is built entirely around reading tags. Every deposit return is therefore a fight with the technology. Deposit lines are three of the four highest-volume items in the store, so this is not an edge case, it is a daily occurrence.</w:t>
      </w:r>
    </w:p>
    <w:p>
      <w:pPr>
        <w:spacing w:after="140" w:line="276"/>
      </w:pPr>
      <w:r>
        <w:rPr>
          <w:rFonts w:ascii="Calibri" w:cs="Calibri" w:eastAsia="Calibri" w:hAnsi="Calibri"/>
          <w:sz w:val="21"/>
          <w:szCs w:val="21"/>
        </w:rPr>
        <w:t xml:space="preserve">This is the kind of finding that is only visible once the data is joined up. Looking at the cancellation report alone tells you Leergut is cancelled a lot. Joining it to the article master, which records whether a line is RFID tagged, and to the terminal master, which records whether a lane is staffed, is what turns that into a diagnosis.</w:t>
      </w:r>
    </w:p>
    <w:p>
      <w:pPr>
        <w:pStyle w:val="Heading2"/>
        <w:spacing w:after="120" w:before="260"/>
      </w:pPr>
      <w:r>
        <w:rPr>
          <w:rFonts w:ascii="Calibri" w:cs="Calibri" w:eastAsia="Calibri" w:hAnsi="Calibri"/>
          <w:b/>
          <w:bCs/>
          <w:color w:val="454545"/>
          <w:sz w:val="24"/>
          <w:szCs w:val="24"/>
        </w:rPr>
        <w:t xml:space="preserve">6.3 The trading pattern</w:t>
      </w:r>
    </w:p>
    <w:p>
      <w:pPr>
        <w:spacing w:after="140" w:line="276"/>
      </w:pPr>
      <w:r>
        <w:rPr>
          <w:rFonts w:ascii="Calibri" w:cs="Calibri" w:eastAsia="Calibri" w:hAnsi="Calibri"/>
          <w:sz w:val="21"/>
          <w:szCs w:val="21"/>
        </w:rPr>
        <w:t xml:space="preserve">The hourly data shows exactly what you would expect from a store serving an office campus and nothing like a high street shop. Almost nothing sells before 07:00. Volume climbs through the morning, peaks hard between 13:00 and 17:00, and tails off through the evening. Saturday runs at roughly a fifth of a weekday. The store is open 24 hours but is effectively an office-hours business.</w:t>
      </w:r>
    </w:p>
    <w:p>
      <w:pPr>
        <w:spacing w:after="140" w:line="276"/>
      </w:pPr>
      <w:r>
        <w:rPr>
          <w:rFonts w:ascii="Calibri" w:cs="Calibri" w:eastAsia="Calibri" w:hAnsi="Calibri"/>
          <w:sz w:val="21"/>
          <w:szCs w:val="21"/>
        </w:rPr>
        <w:t xml:space="preserve">This is worth stating because it is the shape the demand engine learns, and it is why weekend damping had to be applied per store format rather than globally when generating the rest of the network.</w:t>
      </w:r>
    </w:p>
    <w:p>
      <w:r>
        <w:br w:type="page"/>
      </w:r>
    </w:p>
    <w:p>
      <w:pPr>
        <w:pStyle w:val="Heading1"/>
        <w:spacing w:after="160" w:before="360"/>
      </w:pPr>
      <w:r>
        <w:rPr>
          <w:rFonts w:ascii="Calibri" w:cs="Calibri" w:eastAsia="Calibri" w:hAnsi="Calibri"/>
          <w:b/>
          <w:bCs/>
          <w:color w:val="454545"/>
          <w:sz w:val="30"/>
          <w:szCs w:val="30"/>
        </w:rPr>
        <w:t xml:space="preserve">7. Services and API</w:t>
      </w:r>
    </w:p>
    <w:p>
      <w:pPr>
        <w:pBdr>
          <w:bottom w:val="single" w:color="454545" w:sz="6"/>
        </w:pBdr>
        <w:spacing w:after="200" w:before="60"/>
      </w:pPr>
      <w:r>
        <w:rPr>
          <w:sz w:val="2"/>
          <w:szCs w:val="2"/>
        </w:rPr>
        <w:t xml:space="preserve"/>
      </w:r>
    </w:p>
    <w:p>
      <w:pPr>
        <w:spacing w:after="140" w:line="276"/>
      </w:pPr>
      <w:r>
        <w:rPr>
          <w:rFonts w:ascii="Calibri" w:cs="Calibri" w:eastAsia="Calibri" w:hAnsi="Calibri"/>
          <w:sz w:val="21"/>
          <w:szCs w:val="21"/>
        </w:rPr>
        <w:t xml:space="preserve">Two OData V4 services, both requiring an authenticated user.</w:t>
      </w:r>
    </w:p>
    <w:p>
      <w:pPr>
        <w:pStyle w:val="Heading2"/>
        <w:spacing w:after="120" w:before="260"/>
      </w:pPr>
      <w:r>
        <w:rPr>
          <w:rFonts w:ascii="Calibri" w:cs="Calibri" w:eastAsia="Calibri" w:hAnsi="Calibri"/>
          <w:b/>
          <w:bCs/>
          <w:color w:val="454545"/>
          <w:sz w:val="24"/>
          <w:szCs w:val="24"/>
        </w:rPr>
        <w:t xml:space="preserve">7.1 AnalyticsService</w:t>
      </w:r>
    </w:p>
    <w:p>
      <w:pPr>
        <w:spacing w:after="140" w:line="276"/>
      </w:pPr>
      <w:r>
        <w:rPr>
          <w:rFonts w:ascii="Calibri" w:cs="Calibri" w:eastAsia="Calibri" w:hAnsi="Calibri"/>
          <w:sz w:val="21"/>
          <w:szCs w:val="21"/>
        </w:rPr>
        <w:t xml:space="preserve">Served at /analytics. Exposes the operational entities read-only, plus five pre-aggregated views written as plain CDS projections so they compile unchanged against both SQLite and HANA: DailySales, SalesByHour, ArticlePerformance, ChannelMix and the store master.</w:t>
      </w:r>
    </w:p>
    <w:p>
      <w:pPr>
        <w:pStyle w:val="Heading2"/>
        <w:spacing w:after="120" w:before="260"/>
      </w:pPr>
      <w:r>
        <w:rPr>
          <w:rFonts w:ascii="Calibri" w:cs="Calibri" w:eastAsia="Calibri" w:hAnsi="Calibri"/>
          <w:b/>
          <w:bCs/>
          <w:color w:val="454545"/>
          <w:sz w:val="24"/>
          <w:szCs w:val="24"/>
        </w:rPr>
        <w:t xml:space="preserve">7.2 AIService</w:t>
      </w:r>
    </w:p>
    <w:p>
      <w:pPr>
        <w:spacing w:after="140" w:line="276"/>
      </w:pPr>
      <w:r>
        <w:rPr>
          <w:rFonts w:ascii="Calibri" w:cs="Calibri" w:eastAsia="Calibri" w:hAnsi="Calibri"/>
          <w:sz w:val="21"/>
          <w:szCs w:val="21"/>
        </w:rPr>
        <w:t xml:space="preserve">Served at /ai. Exposes the scenario output, two aggregate views for the command centre, twelve entity-bound actions for working the queues, and three unbound actions.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1624"/>
        <w:gridCol w:w="2706"/>
        <w:gridCol w:w="4690"/>
      </w:tblGrid>
      <w:tr>
        <w:trPr>
          <w:tblHeader/>
        </w:trPr>
        <w:tc>
          <w:tcPr>
            <w:tcW w:type="dxa" w:w="1624"/>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Action</w:t>
            </w:r>
          </w:p>
        </w:tc>
        <w:tc>
          <w:tcPr>
            <w:tcW w:type="dxa" w:w="2706"/>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Bound to</w:t>
            </w:r>
          </w:p>
        </w:tc>
        <w:tc>
          <w:tcPr>
            <w:tcW w:type="dxa" w:w="4690"/>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does</w:t>
            </w:r>
          </w:p>
        </w:tc>
      </w:tr>
      <w:tr>
        <w:tc>
          <w:tcPr>
            <w:tcW w:type="dxa" w:w="1624"/>
            <w:tcMar>
              <w:top w:type="dxa" w:w="70"/>
              <w:left w:type="dxa" w:w="110"/>
              <w:bottom w:type="dxa" w:w="70"/>
              <w:right w:type="dxa" w:w="110"/>
            </w:tcMar>
          </w:tcPr>
          <w:p>
            <w:pPr>
              <w:spacing w:after="0" w:line="250"/>
            </w:pPr>
            <w:r>
              <w:rPr>
                <w:rFonts w:ascii="Calibri" w:cs="Calibri" w:eastAsia="Calibri" w:hAnsi="Calibri"/>
                <w:sz w:val="19"/>
                <w:szCs w:val="19"/>
              </w:rPr>
              <w:t xml:space="preserve">acknowledge</w:t>
            </w:r>
          </w:p>
        </w:tc>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ShrinkAlerts, ColdChainAlerts, AIInsights</w:t>
            </w:r>
          </w:p>
        </w:tc>
        <w:tc>
          <w:tcPr>
            <w:tcW w:type="dxa" w:w="4690"/>
            <w:tcMar>
              <w:top w:type="dxa" w:w="70"/>
              <w:left w:type="dxa" w:w="110"/>
              <w:bottom w:type="dxa" w:w="70"/>
              <w:right w:type="dxa" w:w="110"/>
            </w:tcMar>
          </w:tcPr>
          <w:p>
            <w:pPr>
              <w:spacing w:after="0" w:line="250"/>
            </w:pPr>
            <w:r>
              <w:rPr>
                <w:rFonts w:ascii="Calibri" w:cs="Calibri" w:eastAsia="Calibri" w:hAnsi="Calibri"/>
                <w:sz w:val="19"/>
                <w:szCs w:val="19"/>
              </w:rPr>
              <w:t xml:space="preserve">Marks an alert as picked up, recording the operator note</w:t>
            </w:r>
          </w:p>
        </w:tc>
      </w:tr>
      <w:tr>
        <w:tc>
          <w:tcPr>
            <w:tcW w:type="dxa" w:w="162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resolveAlert</w:t>
            </w:r>
          </w:p>
        </w:tc>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ShrinkAlerts, ColdChainAlerts</w:t>
            </w:r>
          </w:p>
        </w:tc>
        <w:tc>
          <w:tcPr>
            <w:tcW w:type="dxa" w:w="4690"/>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Closes an alert with a resolution</w:t>
            </w:r>
          </w:p>
        </w:tc>
      </w:tr>
      <w:tr>
        <w:tc>
          <w:tcPr>
            <w:tcW w:type="dxa" w:w="1624"/>
            <w:tcMar>
              <w:top w:type="dxa" w:w="70"/>
              <w:left w:type="dxa" w:w="110"/>
              <w:bottom w:type="dxa" w:w="70"/>
              <w:right w:type="dxa" w:w="110"/>
            </w:tcMar>
          </w:tcPr>
          <w:p>
            <w:pPr>
              <w:spacing w:after="0" w:line="250"/>
            </w:pPr>
            <w:r>
              <w:rPr>
                <w:rFonts w:ascii="Calibri" w:cs="Calibri" w:eastAsia="Calibri" w:hAnsi="Calibri"/>
                <w:sz w:val="19"/>
                <w:szCs w:val="19"/>
              </w:rPr>
              <w:t xml:space="preserve">dismiss</w:t>
            </w:r>
          </w:p>
        </w:tc>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Five entities</w:t>
            </w:r>
          </w:p>
        </w:tc>
        <w:tc>
          <w:tcPr>
            <w:tcW w:type="dxa" w:w="4690"/>
            <w:tcMar>
              <w:top w:type="dxa" w:w="70"/>
              <w:left w:type="dxa" w:w="110"/>
              <w:bottom w:type="dxa" w:w="70"/>
              <w:right w:type="dxa" w:w="110"/>
            </w:tcMar>
          </w:tcPr>
          <w:p>
            <w:pPr>
              <w:spacing w:after="0" w:line="250"/>
            </w:pPr>
            <w:r>
              <w:rPr>
                <w:rFonts w:ascii="Calibri" w:cs="Calibri" w:eastAsia="Calibri" w:hAnsi="Calibri"/>
                <w:sz w:val="19"/>
                <w:szCs w:val="19"/>
              </w:rPr>
              <w:t xml:space="preserve">Closes an item as not actionable</w:t>
            </w:r>
          </w:p>
        </w:tc>
      </w:tr>
      <w:tr>
        <w:tc>
          <w:tcPr>
            <w:tcW w:type="dxa" w:w="162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releaseOrder</w:t>
            </w:r>
          </w:p>
        </w:tc>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ReplenishmentTasks</w:t>
            </w:r>
          </w:p>
        </w:tc>
        <w:tc>
          <w:tcPr>
            <w:tcW w:type="dxa" w:w="4690"/>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Confirms the proposal and hands it to ordering</w:t>
            </w:r>
          </w:p>
        </w:tc>
      </w:tr>
      <w:tr>
        <w:tc>
          <w:tcPr>
            <w:tcW w:type="dxa" w:w="1624"/>
            <w:tcMar>
              <w:top w:type="dxa" w:w="70"/>
              <w:left w:type="dxa" w:w="110"/>
              <w:bottom w:type="dxa" w:w="70"/>
              <w:right w:type="dxa" w:w="110"/>
            </w:tcMar>
          </w:tcPr>
          <w:p>
            <w:pPr>
              <w:spacing w:after="0" w:line="250"/>
            </w:pPr>
            <w:r>
              <w:rPr>
                <w:rFonts w:ascii="Calibri" w:cs="Calibri" w:eastAsia="Calibri" w:hAnsi="Calibri"/>
                <w:sz w:val="19"/>
                <w:szCs w:val="19"/>
              </w:rPr>
              <w:t xml:space="preserve">applyMarkdown</w:t>
            </w:r>
          </w:p>
        </w:tc>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MarkdownRecommendations</w:t>
            </w:r>
          </w:p>
        </w:tc>
        <w:tc>
          <w:tcPr>
            <w:tcW w:type="dxa" w:w="4690"/>
            <w:tcMar>
              <w:top w:type="dxa" w:w="70"/>
              <w:left w:type="dxa" w:w="110"/>
              <w:bottom w:type="dxa" w:w="70"/>
              <w:right w:type="dxa" w:w="110"/>
            </w:tcMar>
          </w:tcPr>
          <w:p>
            <w:pPr>
              <w:spacing w:after="0" w:line="250"/>
            </w:pPr>
            <w:r>
              <w:rPr>
                <w:rFonts w:ascii="Calibri" w:cs="Calibri" w:eastAsia="Calibri" w:hAnsi="Calibri"/>
                <w:sz w:val="19"/>
                <w:szCs w:val="19"/>
              </w:rPr>
              <w:t xml:space="preserve">Pushes the markdown to the shelf labels</w:t>
            </w:r>
          </w:p>
        </w:tc>
      </w:tr>
      <w:tr>
        <w:tc>
          <w:tcPr>
            <w:tcW w:type="dxa" w:w="162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activate</w:t>
            </w:r>
          </w:p>
        </w:tc>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NextBestOffers</w:t>
            </w:r>
          </w:p>
        </w:tc>
        <w:tc>
          <w:tcPr>
            <w:tcW w:type="dxa" w:w="4690"/>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Activates an offer</w:t>
            </w:r>
          </w:p>
        </w:tc>
      </w:tr>
      <w:tr>
        <w:tc>
          <w:tcPr>
            <w:tcW w:type="dxa" w:w="1624"/>
            <w:tcMar>
              <w:top w:type="dxa" w:w="70"/>
              <w:left w:type="dxa" w:w="110"/>
              <w:bottom w:type="dxa" w:w="70"/>
              <w:right w:type="dxa" w:w="110"/>
            </w:tcMar>
          </w:tcPr>
          <w:p>
            <w:pPr>
              <w:spacing w:after="0" w:line="250"/>
            </w:pPr>
            <w:r>
              <w:rPr>
                <w:rFonts w:ascii="Calibri" w:cs="Calibri" w:eastAsia="Calibri" w:hAnsi="Calibri"/>
                <w:sz w:val="19"/>
                <w:szCs w:val="19"/>
              </w:rPr>
              <w:t xml:space="preserve">recalculate</w:t>
            </w:r>
          </w:p>
        </w:tc>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unbound</w:t>
            </w:r>
          </w:p>
        </w:tc>
        <w:tc>
          <w:tcPr>
            <w:tcW w:type="dxa" w:w="4690"/>
            <w:tcMar>
              <w:top w:type="dxa" w:w="70"/>
              <w:left w:type="dxa" w:w="110"/>
              <w:bottom w:type="dxa" w:w="70"/>
              <w:right w:type="dxa" w:w="110"/>
            </w:tcMar>
          </w:tcPr>
          <w:p>
            <w:pPr>
              <w:spacing w:after="0" w:line="250"/>
            </w:pPr>
            <w:r>
              <w:rPr>
                <w:rFonts w:ascii="Calibri" w:cs="Calibri" w:eastAsia="Calibri" w:hAnsi="Calibri"/>
                <w:sz w:val="19"/>
                <w:szCs w:val="19"/>
              </w:rPr>
              <w:t xml:space="preserve">Re-runs one scenario or all of them, optionally scoped to a store</w:t>
            </w:r>
          </w:p>
        </w:tc>
      </w:tr>
      <w:tr>
        <w:tc>
          <w:tcPr>
            <w:tcW w:type="dxa" w:w="162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simulateForecast</w:t>
            </w:r>
          </w:p>
        </w:tc>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unbound</w:t>
            </w:r>
          </w:p>
        </w:tc>
        <w:tc>
          <w:tcPr>
            <w:tcW w:type="dxa" w:w="4690"/>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Forecasts one article without persisting anything</w:t>
            </w:r>
          </w:p>
        </w:tc>
      </w:tr>
      <w:tr>
        <w:tc>
          <w:tcPr>
            <w:tcW w:type="dxa" w:w="1624"/>
            <w:tcMar>
              <w:top w:type="dxa" w:w="70"/>
              <w:left w:type="dxa" w:w="110"/>
              <w:bottom w:type="dxa" w:w="70"/>
              <w:right w:type="dxa" w:w="110"/>
            </w:tcMar>
          </w:tcPr>
          <w:p>
            <w:pPr>
              <w:spacing w:after="0" w:line="250"/>
            </w:pPr>
            <w:r>
              <w:rPr>
                <w:rFonts w:ascii="Calibri" w:cs="Calibri" w:eastAsia="Calibri" w:hAnsi="Calibri"/>
                <w:sz w:val="19"/>
                <w:szCs w:val="19"/>
              </w:rPr>
              <w:t xml:space="preserve">simulateMarkdown</w:t>
            </w:r>
          </w:p>
        </w:tc>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unbound</w:t>
            </w:r>
          </w:p>
        </w:tc>
        <w:tc>
          <w:tcPr>
            <w:tcW w:type="dxa" w:w="4690"/>
            <w:tcMar>
              <w:top w:type="dxa" w:w="70"/>
              <w:left w:type="dxa" w:w="110"/>
              <w:bottom w:type="dxa" w:w="70"/>
              <w:right w:type="dxa" w:w="110"/>
            </w:tcMar>
          </w:tcPr>
          <w:p>
            <w:pPr>
              <w:spacing w:after="0" w:line="250"/>
            </w:pPr>
            <w:r>
              <w:rPr>
                <w:rFonts w:ascii="Calibri" w:cs="Calibri" w:eastAsia="Calibri" w:hAnsi="Calibri"/>
                <w:sz w:val="19"/>
                <w:szCs w:val="19"/>
              </w:rPr>
              <w:t xml:space="preserve">Scores a candidate discount depth against doing nothing</w:t>
            </w:r>
          </w:p>
        </w:tc>
      </w:tr>
    </w:tbl>
    <w:p>
      <w:pPr>
        <w:spacing w:after="160"/>
      </w:pPr>
      <w:r>
        <w:t xml:space="preserve"/>
      </w:r>
    </w:p>
    <w:p>
      <w:pPr>
        <w:spacing w:after="140" w:line="276"/>
      </w:pPr>
      <w:r>
        <w:rPr>
          <w:rFonts w:ascii="Calibri" w:cs="Calibri" w:eastAsia="Calibri" w:hAnsi="Calibri"/>
          <w:sz w:val="21"/>
          <w:szCs w:val="21"/>
        </w:rPr>
        <w:t xml:space="preserve">The queue actions enforce state transitions properly. Acknowledging an already-acknowledged alert returns HTTP 409 rather than silently succeeding, and releasing an order for zero units returns HTTP 400. These were verified against the running service, not just written.</w:t>
      </w:r>
    </w:p>
    <w:p>
      <w:pPr>
        <w:spacing w:after="140" w:line="276"/>
      </w:pPr>
      <w:r>
        <w:rPr>
          <w:rFonts w:ascii="Calibri" w:cs="Calibri" w:eastAsia="Calibri" w:hAnsi="Calibri"/>
          <w:sz w:val="21"/>
          <w:szCs w:val="21"/>
        </w:rPr>
        <w:t xml:space="preserve">The recalculate action is the one worth demonstrating. It re-runs the engines against whatever is currently in the database and replaces the stored output, so a demo can show the models responding to changed facts instead of serving a fixed extract. Because later scenarios consume earlier ones, the action keeps intermediate results in memory and only rebuilds the unified feed when every scenario has been refreshed. A partial run would otherwise drop insights from scenarios it did not touch.</w:t>
      </w:r>
    </w:p>
    <w:p>
      <w:r>
        <w:br w:type="page"/>
      </w:r>
    </w:p>
    <w:p>
      <w:pPr>
        <w:pStyle w:val="Heading1"/>
        <w:spacing w:after="160" w:before="360"/>
      </w:pPr>
      <w:r>
        <w:rPr>
          <w:rFonts w:ascii="Calibri" w:cs="Calibri" w:eastAsia="Calibri" w:hAnsi="Calibri"/>
          <w:b/>
          <w:bCs/>
          <w:color w:val="454545"/>
          <w:sz w:val="30"/>
          <w:szCs w:val="30"/>
        </w:rPr>
        <w:t xml:space="preserve">8. Dashboards</w:t>
      </w:r>
    </w:p>
    <w:p>
      <w:pPr>
        <w:pBdr>
          <w:bottom w:val="single" w:color="454545" w:sz="6"/>
        </w:pBdr>
        <w:spacing w:after="200" w:before="60"/>
      </w:pPr>
      <w:r>
        <w:rPr>
          <w:sz w:val="2"/>
          <w:szCs w:val="2"/>
        </w:rPr>
        <w:t xml:space="preserve"/>
      </w:r>
    </w:p>
    <w:p>
      <w:pPr>
        <w:pStyle w:val="Heading2"/>
        <w:spacing w:after="120" w:before="260"/>
      </w:pPr>
      <w:r>
        <w:rPr>
          <w:rFonts w:ascii="Calibri" w:cs="Calibri" w:eastAsia="Calibri" w:hAnsi="Calibri"/>
          <w:b/>
          <w:bCs/>
          <w:color w:val="454545"/>
          <w:sz w:val="24"/>
          <w:szCs w:val="24"/>
        </w:rPr>
        <w:t xml:space="preserve">8.1 The AI Command Centre</w:t>
      </w:r>
    </w:p>
    <w:p>
      <w:pPr>
        <w:spacing w:after="140" w:line="276"/>
      </w:pPr>
      <w:r>
        <w:rPr>
          <w:rFonts w:ascii="Calibri" w:cs="Calibri" w:eastAsia="Calibri" w:hAnsi="Calibri"/>
          <w:sz w:val="21"/>
          <w:szCs w:val="21"/>
        </w:rPr>
        <w:t xml:space="preserve">This is the main deliverable on the UI side and the one we can vouch for completely, because it was rendered in a real browser and inspected rather than merely written.</w:t>
      </w:r>
    </w:p>
    <w:p>
      <w:pPr>
        <w:spacing w:after="140" w:line="276"/>
      </w:pPr>
      <w:r>
        <w:rPr>
          <w:rFonts w:ascii="Calibri" w:cs="Calibri" w:eastAsia="Calibri" w:hAnsi="Calibri"/>
          <w:sz w:val="21"/>
          <w:szCs w:val="21"/>
        </w:rPr>
        <w:t xml:space="preserve">It carries six KPI tiles, a value-at-stake breakdown by scenario, a checkout integrity breakdown by failure pattern, the weekday-versus-weekend trading curve, the channel mix, a model scorecard and the ranked insight feed. There is a store filter, a light and dark theme, a table view that exposes the numbers behind every chart, and a button that re-runs all the engines and reloads.</w:t>
      </w:r>
    </w:p>
    <w:p>
      <w:pPr>
        <w:spacing w:after="140" w:line="276"/>
      </w:pPr>
      <w:r>
        <w:rPr>
          <w:rFonts w:ascii="Calibri" w:cs="Calibri" w:eastAsia="Calibri" w:hAnsi="Calibri"/>
          <w:sz w:val="21"/>
          <w:szCs w:val="21"/>
        </w:rPr>
        <w:t xml:space="preserve">It is deliberately self-contained. It loads no external script, font, stylesheet or image, and draws its own charts in SVG. That decision was forced by the environment, which blocks the SAPUI5 CDN, but it turned out to be the right call anyway: it means the dashboard works in an air-gapped landscape where nothing else would.</w:t>
      </w:r>
    </w:p>
    <w:p>
      <w:pPr>
        <w:spacing w:after="140" w:line="276"/>
      </w:pPr>
      <w:r>
        <w:rPr>
          <w:rFonts w:ascii="Calibri" w:cs="Calibri" w:eastAsia="Calibri" w:hAnsi="Calibri"/>
          <w:sz w:val="21"/>
          <w:szCs w:val="21"/>
        </w:rPr>
        <w:t xml:space="preserve">On the chart work specifically:</w:t>
      </w:r>
    </w:p>
    <w:p>
      <w:pPr>
        <w:pStyle w:val="ListParagraph"/>
        <w:numPr>
          <w:ilvl w:val="0"/>
          <w:numId w:val="2"/>
        </w:numPr>
        <w:spacing w:after="90" w:line="276"/>
      </w:pPr>
      <w:r>
        <w:rPr>
          <w:rFonts w:ascii="Calibri" w:cs="Calibri" w:eastAsia="Calibri" w:hAnsi="Calibri"/>
          <w:sz w:val="21"/>
          <w:szCs w:val="21"/>
        </w:rPr>
        <w:t xml:space="preserve">The categorical palette was run through a colour-vision-deficiency validator rather than eyeballed. Worst adjacent pair separation is comfortably inside tolerance in both light and dark mode.</w:t>
      </w:r>
    </w:p>
    <w:p>
      <w:pPr>
        <w:pStyle w:val="ListParagraph"/>
        <w:numPr>
          <w:ilvl w:val="0"/>
          <w:numId w:val="2"/>
        </w:numPr>
        <w:spacing w:after="90" w:line="276"/>
      </w:pPr>
      <w:r>
        <w:rPr>
          <w:rFonts w:ascii="Calibri" w:cs="Calibri" w:eastAsia="Calibri" w:hAnsi="Calibri"/>
          <w:sz w:val="21"/>
          <w:szCs w:val="21"/>
        </w:rPr>
        <w:t xml:space="preserve">The scenario bar chart uses a single hue rather than six. Six would have been decorative, and because the bars sort by value any two could end up adjacent, which no six-hue ordering clears for colour blindness.</w:t>
      </w:r>
    </w:p>
    <w:p>
      <w:pPr>
        <w:pStyle w:val="ListParagraph"/>
        <w:numPr>
          <w:ilvl w:val="0"/>
          <w:numId w:val="2"/>
        </w:numPr>
        <w:spacing w:after="90" w:line="276"/>
      </w:pPr>
      <w:r>
        <w:rPr>
          <w:rFonts w:ascii="Calibri" w:cs="Calibri" w:eastAsia="Calibri" w:hAnsi="Calibri"/>
          <w:sz w:val="21"/>
          <w:szCs w:val="21"/>
        </w:rPr>
        <w:t xml:space="preserve">Severity is never carried by colour alone. Every pill has a text label next to the colour.</w:t>
      </w:r>
    </w:p>
    <w:p>
      <w:pPr>
        <w:pStyle w:val="ListParagraph"/>
        <w:numPr>
          <w:ilvl w:val="0"/>
          <w:numId w:val="2"/>
        </w:numPr>
        <w:spacing w:after="90" w:line="276"/>
      </w:pPr>
      <w:r>
        <w:rPr>
          <w:rFonts w:ascii="Calibri" w:cs="Calibri" w:eastAsia="Calibri" w:hAnsi="Calibri"/>
          <w:sz w:val="21"/>
          <w:szCs w:val="21"/>
        </w:rPr>
        <w:t xml:space="preserve">Every chart has a table equivalent behind the table view toggle.</w:t>
      </w:r>
    </w:p>
    <w:p>
      <w:pPr>
        <w:pStyle w:val="ListParagraph"/>
        <w:numPr>
          <w:ilvl w:val="0"/>
          <w:numId w:val="2"/>
        </w:numPr>
        <w:spacing w:after="90" w:line="276"/>
      </w:pPr>
      <w:r>
        <w:rPr>
          <w:rFonts w:ascii="Calibri" w:cs="Calibri" w:eastAsia="Calibri" w:hAnsi="Calibri"/>
          <w:sz w:val="21"/>
          <w:szCs w:val="21"/>
        </w:rPr>
        <w:t xml:space="preserve">Line series are directly labelled at their end point, with collision detection so two labels ending at similar values do not overprint.</w:t>
      </w:r>
    </w:p>
    <w:p>
      <w:pPr>
        <w:pStyle w:val="Heading2"/>
        <w:spacing w:after="120" w:before="260"/>
      </w:pPr>
      <w:r>
        <w:rPr>
          <w:rFonts w:ascii="Calibri" w:cs="Calibri" w:eastAsia="Calibri" w:hAnsi="Calibri"/>
          <w:b/>
          <w:bCs/>
          <w:color w:val="454545"/>
          <w:sz w:val="24"/>
          <w:szCs w:val="24"/>
        </w:rPr>
        <w:t xml:space="preserve">8.2 SAP Fiori elements applications</w:t>
      </w:r>
    </w:p>
    <w:p>
      <w:pPr>
        <w:spacing w:after="140" w:line="276"/>
      </w:pPr>
      <w:r>
        <w:rPr>
          <w:rFonts w:ascii="Calibri" w:cs="Calibri" w:eastAsia="Calibri" w:hAnsi="Calibri"/>
          <w:sz w:val="21"/>
          <w:szCs w:val="21"/>
        </w:rPr>
        <w:t xml:space="preserve">Eight applications, one per scenario, built as List Report and Object Page pairs. They are annotation-driven, which means the UI is defined in CDS under srv/annotations rather than in application code. Between them the annotations define 8 line item sets, 3 charts, 4 object page facet groups, 9 field groups, selection fields, presentation variants, value helps and the action buttons.</w:t>
      </w:r>
    </w:p>
    <w:p>
      <w:pPr>
        <w:spacing w:after="140" w:line="276"/>
      </w:pPr>
      <w:r>
        <w:rPr>
          <w:rFonts w:ascii="Calibri" w:cs="Calibri" w:eastAsia="Calibri" w:hAnsi="Calibri"/>
          <w:sz w:val="21"/>
          <w:szCs w:val="21"/>
        </w:rPr>
        <w:t xml:space="preserve">Section 10.4 covers an important limitation here that needs a decision.</w:t>
      </w:r>
    </w:p>
    <w:p>
      <w:pPr>
        <w:pStyle w:val="Heading2"/>
        <w:spacing w:after="120" w:before="260"/>
      </w:pPr>
      <w:r>
        <w:rPr>
          <w:rFonts w:ascii="Calibri" w:cs="Calibri" w:eastAsia="Calibri" w:hAnsi="Calibri"/>
          <w:b/>
          <w:bCs/>
          <w:color w:val="454545"/>
          <w:sz w:val="24"/>
          <w:szCs w:val="24"/>
        </w:rPr>
        <w:t xml:space="preserve">8.3 Launchpad</w:t>
      </w:r>
    </w:p>
    <w:p>
      <w:pPr>
        <w:spacing w:after="140" w:line="276"/>
      </w:pPr>
      <w:r>
        <w:rPr>
          <w:rFonts w:ascii="Calibri" w:cs="Calibri" w:eastAsia="Calibri" w:hAnsi="Calibri"/>
          <w:sz w:val="21"/>
          <w:szCs w:val="21"/>
        </w:rPr>
        <w:t xml:space="preserve">A dependency-free entry page linking the command centre, all eight scenario applications and both service metadata documents, with a note about signing in and about the SAPUI5 requirement.</w:t>
      </w:r>
    </w:p>
    <w:p>
      <w:r>
        <w:br w:type="page"/>
      </w:r>
    </w:p>
    <w:p>
      <w:pPr>
        <w:pStyle w:val="Heading1"/>
        <w:spacing w:after="160" w:before="360"/>
      </w:pPr>
      <w:r>
        <w:rPr>
          <w:rFonts w:ascii="Calibri" w:cs="Calibri" w:eastAsia="Calibri" w:hAnsi="Calibri"/>
          <w:b/>
          <w:bCs/>
          <w:color w:val="454545"/>
          <w:sz w:val="30"/>
          <w:szCs w:val="30"/>
        </w:rPr>
        <w:t xml:space="preserve">9. Model Accuracy, Reported Honestly</w:t>
      </w:r>
    </w:p>
    <w:p>
      <w:pPr>
        <w:pBdr>
          <w:bottom w:val="single" w:color="454545" w:sz="6"/>
        </w:pBdr>
        <w:spacing w:after="200" w:before="60"/>
      </w:pPr>
      <w:r>
        <w:rPr>
          <w:sz w:val="2"/>
          <w:szCs w:val="2"/>
        </w:rPr>
        <w:t xml:space="preserve"/>
      </w:r>
    </w:p>
    <w:p>
      <w:pPr>
        <w:spacing w:after="140" w:line="276"/>
      </w:pPr>
      <w:r>
        <w:rPr>
          <w:rFonts w:ascii="Calibri" w:cs="Calibri" w:eastAsia="Calibri" w:hAnsi="Calibri"/>
          <w:sz w:val="21"/>
          <w:szCs w:val="21"/>
        </w:rPr>
        <w:t xml:space="preserve">This section is deliberately blunt, because forecast accuracy is the easiest number in a project like this to quote selectively.</w:t>
      </w:r>
    </w:p>
    <w:p>
      <w:pPr>
        <w:pStyle w:val="Heading2"/>
        <w:spacing w:after="120" w:before="260"/>
      </w:pPr>
      <w:r>
        <w:rPr>
          <w:rFonts w:ascii="Calibri" w:cs="Calibri" w:eastAsia="Calibri" w:hAnsi="Calibri"/>
          <w:b/>
          <w:bCs/>
          <w:color w:val="454545"/>
          <w:sz w:val="24"/>
          <w:szCs w:val="24"/>
        </w:rPr>
        <w:t xml:space="preserve">9.1 Why WAPE and not MAPE</w:t>
      </w:r>
    </w:p>
    <w:p>
      <w:pPr>
        <w:spacing w:after="140" w:line="276"/>
      </w:pPr>
      <w:r>
        <w:rPr>
          <w:rFonts w:ascii="Calibri" w:cs="Calibri" w:eastAsia="Calibri" w:hAnsi="Calibri"/>
          <w:sz w:val="21"/>
          <w:szCs w:val="21"/>
        </w:rPr>
        <w:t xml:space="preserve">Hourly demand at SKU level here is intermittent. Most hours sell nothing, and most non-zero hours sell one or two units. Mean absolute percentage error divides by the actual, so a one-unit miss against a one-unit actual is a 100 per cent error, and the measure becomes close to meaningless. We report weighted absolute percentage error, which is total absolute error over total actual volume, and is the standard measure for intermittent retail demand.</w:t>
      </w:r>
    </w:p>
    <w:p>
      <w:pPr>
        <w:pStyle w:val="Heading2"/>
        <w:spacing w:after="120" w:before="260"/>
      </w:pPr>
      <w:r>
        <w:rPr>
          <w:rFonts w:ascii="Calibri" w:cs="Calibri" w:eastAsia="Calibri" w:hAnsi="Calibri"/>
          <w:b/>
          <w:bCs/>
          <w:color w:val="454545"/>
          <w:sz w:val="24"/>
          <w:szCs w:val="24"/>
        </w:rPr>
        <w:t xml:space="preserve">9.2 Current figures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526"/>
        <w:gridCol w:w="1263"/>
        <w:gridCol w:w="5231"/>
      </w:tblGrid>
      <w:tr>
        <w:trPr>
          <w:tblHeader/>
        </w:trPr>
        <w:tc>
          <w:tcPr>
            <w:tcW w:type="dxa" w:w="2526"/>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Measure</w:t>
            </w:r>
          </w:p>
        </w:tc>
        <w:tc>
          <w:tcPr>
            <w:tcW w:type="dxa" w:w="1263"/>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Value</w:t>
            </w:r>
          </w:p>
        </w:tc>
        <w:tc>
          <w:tcPr>
            <w:tcW w:type="dxa" w:w="5231"/>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Interpretation</w:t>
            </w:r>
          </w:p>
        </w:tc>
      </w:tr>
      <w:tr>
        <w:tc>
          <w:tcPr>
            <w:tcW w:type="dxa" w:w="2526"/>
            <w:tcMar>
              <w:top w:type="dxa" w:w="70"/>
              <w:left w:type="dxa" w:w="110"/>
              <w:bottom w:type="dxa" w:w="70"/>
              <w:right w:type="dxa" w:w="110"/>
            </w:tcMar>
          </w:tcPr>
          <w:p>
            <w:pPr>
              <w:spacing w:after="0" w:line="250"/>
            </w:pPr>
            <w:r>
              <w:rPr>
                <w:rFonts w:ascii="Calibri" w:cs="Calibri" w:eastAsia="Calibri" w:hAnsi="Calibri"/>
                <w:sz w:val="19"/>
                <w:szCs w:val="19"/>
              </w:rPr>
              <w:t xml:space="preserve">WAPE at store-day grain</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28.8%</w:t>
            </w:r>
          </w:p>
        </w:tc>
        <w:tc>
          <w:tcPr>
            <w:tcW w:type="dxa" w:w="5231"/>
            <w:tcMar>
              <w:top w:type="dxa" w:w="70"/>
              <w:left w:type="dxa" w:w="110"/>
              <w:bottom w:type="dxa" w:w="70"/>
              <w:right w:type="dxa" w:w="110"/>
            </w:tcMar>
          </w:tcPr>
          <w:p>
            <w:pPr>
              <w:spacing w:after="0" w:line="250"/>
            </w:pPr>
            <w:r>
              <w:rPr>
                <w:rFonts w:ascii="Calibri" w:cs="Calibri" w:eastAsia="Calibri" w:hAnsi="Calibri"/>
                <w:sz w:val="19"/>
                <w:szCs w:val="19"/>
              </w:rPr>
              <w:t xml:space="preserve">A credible planning-grade figure; this is the number to judge the model by</w:t>
            </w:r>
          </w:p>
        </w:tc>
      </w:tr>
      <w:tr>
        <w:tc>
          <w:tcPr>
            <w:tcW w:type="dxa" w:w="252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WAPE at SKU-hour grain</w:t>
            </w:r>
          </w:p>
        </w:tc>
        <w:tc>
          <w:tcPr>
            <w:tcW w:type="dxa" w:w="1263"/>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186%</w:t>
            </w:r>
          </w:p>
        </w:tc>
        <w:tc>
          <w:tcPr>
            <w:tcW w:type="dxa" w:w="5231"/>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Poor, but the grain is genuinely very hard; reported rather than hidden</w:t>
            </w:r>
          </w:p>
        </w:tc>
      </w:tr>
      <w:tr>
        <w:tc>
          <w:tcPr>
            <w:tcW w:type="dxa" w:w="2526"/>
            <w:tcMar>
              <w:top w:type="dxa" w:w="70"/>
              <w:left w:type="dxa" w:w="110"/>
              <w:bottom w:type="dxa" w:w="70"/>
              <w:right w:type="dxa" w:w="110"/>
            </w:tcMar>
          </w:tcPr>
          <w:p>
            <w:pPr>
              <w:spacing w:after="0" w:line="250"/>
            </w:pPr>
            <w:r>
              <w:rPr>
                <w:rFonts w:ascii="Calibri" w:cs="Calibri" w:eastAsia="Calibri" w:hAnsi="Calibri"/>
                <w:sz w:val="19"/>
                <w:szCs w:val="19"/>
              </w:rPr>
              <w:t xml:space="preserve">MAPE</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 xml:space="preserve">88.6%</w:t>
            </w:r>
          </w:p>
        </w:tc>
        <w:tc>
          <w:tcPr>
            <w:tcW w:type="dxa" w:w="5231"/>
            <w:tcMar>
              <w:top w:type="dxa" w:w="70"/>
              <w:left w:type="dxa" w:w="110"/>
              <w:bottom w:type="dxa" w:w="70"/>
              <w:right w:type="dxa" w:w="110"/>
            </w:tcMar>
          </w:tcPr>
          <w:p>
            <w:pPr>
              <w:spacing w:after="0" w:line="250"/>
            </w:pPr>
            <w:r>
              <w:rPr>
                <w:rFonts w:ascii="Calibri" w:cs="Calibri" w:eastAsia="Calibri" w:hAnsi="Calibri"/>
                <w:sz w:val="19"/>
                <w:szCs w:val="19"/>
              </w:rPr>
              <w:t xml:space="preserve">Included for reference only; see 9.1 for why it is not the headline</w:t>
            </w:r>
          </w:p>
        </w:tc>
      </w:tr>
    </w:tbl>
    <w:p>
      <w:pPr>
        <w:spacing w:after="160"/>
      </w:pPr>
      <w:r>
        <w:t xml:space="preserve"/>
      </w:r>
    </w:p>
    <w:p>
      <w:pPr>
        <w:spacing w:after="140" w:line="276"/>
      </w:pPr>
      <w:r>
        <w:rPr>
          <w:rFonts w:ascii="Calibri" w:cs="Calibri" w:eastAsia="Calibri" w:hAnsi="Calibri"/>
          <w:sz w:val="21"/>
          <w:szCs w:val="21"/>
        </w:rPr>
        <w:t xml:space="preserve">The backtest is a 14-day holdout at the end of the series.</w:t>
      </w:r>
    </w:p>
    <w:p>
      <w:pPr>
        <w:pStyle w:val="Heading2"/>
        <w:spacing w:after="120" w:before="260"/>
      </w:pPr>
      <w:r>
        <w:rPr>
          <w:rFonts w:ascii="Calibri" w:cs="Calibri" w:eastAsia="Calibri" w:hAnsi="Calibri"/>
          <w:b/>
          <w:bCs/>
          <w:color w:val="454545"/>
          <w:sz w:val="24"/>
          <w:szCs w:val="24"/>
        </w:rPr>
        <w:t xml:space="preserve">9.3 Two bugs that were flattering the numbers</w:t>
      </w:r>
    </w:p>
    <w:p>
      <w:pPr>
        <w:spacing w:after="140" w:line="276"/>
      </w:pPr>
      <w:r>
        <w:rPr>
          <w:rFonts w:ascii="Calibri" w:cs="Calibri" w:eastAsia="Calibri" w:hAnsi="Calibri"/>
          <w:sz w:val="21"/>
          <w:szCs w:val="21"/>
        </w:rPr>
        <w:t xml:space="preserve">Both of these were found by making the measurement stricter, and both are worth recording because they are easy mistakes to make.</w:t>
      </w:r>
    </w:p>
    <w:p>
      <w:pPr>
        <w:pStyle w:val="Heading3"/>
        <w:spacing w:after="100" w:before="200"/>
      </w:pPr>
      <w:r>
        <w:rPr>
          <w:rFonts w:ascii="Calibri" w:cs="Calibri" w:eastAsia="Calibri" w:hAnsi="Calibri"/>
          <w:b/>
          <w:bCs/>
          <w:color w:val="2E2E2E"/>
          <w:sz w:val="22"/>
          <w:szCs w:val="22"/>
        </w:rPr>
        <w:t xml:space="preserve">The level was averaging only the days an article sold</w:t>
      </w:r>
    </w:p>
    <w:p>
      <w:pPr>
        <w:spacing w:after="140" w:line="276"/>
      </w:pPr>
      <w:r>
        <w:rPr>
          <w:rFonts w:ascii="Calibri" w:cs="Calibri" w:eastAsia="Calibri" w:hAnsi="Calibri"/>
          <w:sz w:val="21"/>
          <w:szCs w:val="21"/>
        </w:rPr>
        <w:t xml:space="preserve">An article that sells on 30 days out of 179 has 149 genuine zeros. The first version built its level from the days that had sales, which gives the mean of a selling day rather than the mean of a day. The model was over-predicting by roughly six times. The fix was to build the daily series over the store's full trading calendar from the article's first sale onwards, filling zeros where nothing sold.</w:t>
      </w:r>
    </w:p>
    <w:p>
      <w:pPr>
        <w:pStyle w:val="Heading3"/>
        <w:spacing w:after="100" w:before="200"/>
      </w:pPr>
      <w:r>
        <w:rPr>
          <w:rFonts w:ascii="Calibri" w:cs="Calibri" w:eastAsia="Calibri" w:hAnsi="Calibri"/>
          <w:b/>
          <w:bCs/>
          <w:color w:val="2E2E2E"/>
          <w:sz w:val="22"/>
          <w:szCs w:val="22"/>
        </w:rPr>
        <w:t xml:space="preserve">The backtest was only scoring hours that had a sale</w:t>
      </w:r>
    </w:p>
    <w:p>
      <w:pPr>
        <w:spacing w:after="140" w:line="276"/>
      </w:pPr>
      <w:r>
        <w:rPr>
          <w:rFonts w:ascii="Calibri" w:cs="Calibri" w:eastAsia="Calibri" w:hAnsi="Calibri"/>
          <w:sz w:val="21"/>
          <w:szCs w:val="21"/>
        </w:rPr>
        <w:t xml:space="preserve">More subtle and more dangerous. The first backtest iterated over the rows present in the sales table, which means it never scored a single hour where the model predicted demand and none arrived. It was marking its own homework and skipping the questions it got wrong.</w:t>
      </w:r>
    </w:p>
    <w:p>
      <w:pPr>
        <w:spacing w:after="140" w:line="276"/>
      </w:pPr>
      <w:r>
        <w:rPr>
          <w:rFonts w:ascii="Calibri" w:cs="Calibri" w:eastAsia="Calibri" w:hAnsi="Calibri"/>
          <w:sz w:val="21"/>
          <w:szCs w:val="21"/>
        </w:rPr>
        <w:t xml:space="preserve">Rewriting it to score the full store-by-article-by-hour grid, treating absent slots as true zeros, initially made the reported numbers much worse, which is exactly what should have happened. Store-day WAPE went from a flattering 336 per cent (already broken by the level bug) to 28.8 per cent once both were fixed. The number got better because the model got better, not because the measurement got softer.</w:t>
      </w:r>
    </w:p>
    <w:p>
      <w:r>
        <w:br w:type="page"/>
      </w:r>
    </w:p>
    <w:p>
      <w:pPr>
        <w:pStyle w:val="Heading1"/>
        <w:spacing w:after="160" w:before="360"/>
      </w:pPr>
      <w:r>
        <w:rPr>
          <w:rFonts w:ascii="Calibri" w:cs="Calibri" w:eastAsia="Calibri" w:hAnsi="Calibri"/>
          <w:b/>
          <w:bCs/>
          <w:color w:val="454545"/>
          <w:sz w:val="30"/>
          <w:szCs w:val="30"/>
        </w:rPr>
        <w:t xml:space="preserve">10. Problems Encountered and How They Were Resolved</w:t>
      </w:r>
    </w:p>
    <w:p>
      <w:pPr>
        <w:pBdr>
          <w:bottom w:val="single" w:color="454545" w:sz="6"/>
        </w:pBdr>
        <w:spacing w:after="200" w:before="60"/>
      </w:pPr>
      <w:r>
        <w:rPr>
          <w:sz w:val="2"/>
          <w:szCs w:val="2"/>
        </w:rPr>
        <w:t xml:space="preserve"/>
      </w:r>
    </w:p>
    <w:p>
      <w:pPr>
        <w:spacing w:after="140" w:line="276"/>
      </w:pPr>
      <w:r>
        <w:rPr>
          <w:rFonts w:ascii="Calibri" w:cs="Calibri" w:eastAsia="Calibri" w:hAnsi="Calibri"/>
          <w:sz w:val="21"/>
          <w:szCs w:val="21"/>
        </w:rPr>
        <w:t xml:space="preserve">Recording these is more useful than pretending the build was smooth.</w:t>
      </w:r>
    </w:p>
    <w:p>
      <w:pPr>
        <w:pStyle w:val="Heading2"/>
        <w:spacing w:after="120" w:before="260"/>
      </w:pPr>
      <w:r>
        <w:rPr>
          <w:rFonts w:ascii="Calibri" w:cs="Calibri" w:eastAsia="Calibri" w:hAnsi="Calibri"/>
          <w:b/>
          <w:bCs/>
          <w:color w:val="454545"/>
          <w:sz w:val="24"/>
          <w:szCs w:val="24"/>
        </w:rPr>
        <w:t xml:space="preserve">10.1 Data and modelling</w:t>
      </w:r>
    </w:p>
    <w:p>
      <w:pPr>
        <w:pStyle w:val="Heading3"/>
        <w:spacing w:after="100" w:before="200"/>
      </w:pPr>
      <w:r>
        <w:rPr>
          <w:rFonts w:ascii="Calibri" w:cs="Calibri" w:eastAsia="Calibri" w:hAnsi="Calibri"/>
          <w:b/>
          <w:bCs/>
          <w:color w:val="2E2E2E"/>
          <w:sz w:val="22"/>
          <w:szCs w:val="22"/>
        </w:rPr>
        <w:t xml:space="preserve">Terminal ID collision</w:t>
      </w:r>
    </w:p>
    <w:p>
      <w:pPr>
        <w:spacing w:after="140" w:line="276"/>
      </w:pPr>
      <w:r>
        <w:rPr>
          <w:rFonts w:ascii="Calibri" w:cs="Calibri" w:eastAsia="Calibri" w:hAnsi="Calibri"/>
          <w:sz w:val="21"/>
          <w:szCs w:val="21"/>
        </w:rPr>
        <w:t xml:space="preserve">Terminal identifiers for the synthesized stores were generated from a prefix plus the last two characters of the store ID. STR01, MUC01, BLN01 and HAM01 all end in "01", so they all produced the same terminal IDs and the database deployment failed on a primary key violation. Qualifying with the full store ID fixed it. Worth noting that the duplicate check that should have caught this earlier ran from a stale working directory and silently did nothing, which is its own lesson.</w:t>
      </w:r>
    </w:p>
    <w:p>
      <w:pPr>
        <w:pStyle w:val="Heading3"/>
        <w:spacing w:after="100" w:before="200"/>
      </w:pPr>
      <w:r>
        <w:rPr>
          <w:rFonts w:ascii="Calibri" w:cs="Calibri" w:eastAsia="Calibri" w:hAnsi="Calibri"/>
          <w:b/>
          <w:bCs/>
          <w:color w:val="2E2E2E"/>
          <w:sz w:val="22"/>
          <w:szCs w:val="22"/>
        </w:rPr>
        <w:t xml:space="preserve">The markdown engine produced nothing at all</w:t>
      </w:r>
    </w:p>
    <w:p>
      <w:pPr>
        <w:spacing w:after="140" w:line="276"/>
      </w:pPr>
      <w:r>
        <w:rPr>
          <w:rFonts w:ascii="Calibri" w:cs="Calibri" w:eastAsia="Calibri" w:hAnsi="Calibri"/>
          <w:sz w:val="21"/>
          <w:szCs w:val="21"/>
        </w:rPr>
        <w:t xml:space="preserve">The first version emitted zero recommendations. Two causes. It was dividing units sold by the number of hours that recorded a sale rather than by trading hours, which made every article look like it sells every hour it is on the shelf, so nothing was ever projected to go to waste. Separately, the inventory model gave fresh items leftover shelf capacity rather than a delivery batch.</w:t>
      </w:r>
    </w:p>
    <w:p>
      <w:pPr>
        <w:spacing w:after="140" w:line="276"/>
      </w:pPr>
      <w:r>
        <w:rPr>
          <w:rFonts w:ascii="Calibri" w:cs="Calibri" w:eastAsia="Calibri" w:hAnsi="Calibri"/>
          <w:sz w:val="21"/>
          <w:szCs w:val="21"/>
        </w:rPr>
        <w:t xml:space="preserve">Fixing the rate calculation was necessary but not sufficient. The real insight was that fresh waste in a small store mostly comes from minimum case quantities: a bakery line selling half a unit a day still receives a full case of eight because that is what the supplier ships. Once case sizes were modelled, the scenario produced 146 realistic recommendations.</w:t>
      </w:r>
    </w:p>
    <w:p>
      <w:pPr>
        <w:pStyle w:val="Heading3"/>
        <w:spacing w:after="100" w:before="200"/>
      </w:pPr>
      <w:r>
        <w:rPr>
          <w:rFonts w:ascii="Calibri" w:cs="Calibri" w:eastAsia="Calibri" w:hAnsi="Calibri"/>
          <w:b/>
          <w:bCs/>
          <w:color w:val="2E2E2E"/>
          <w:sz w:val="22"/>
          <w:szCs w:val="22"/>
        </w:rPr>
        <w:t xml:space="preserve">Cold chain exposure overstated by roughly thirty times</w:t>
      </w:r>
    </w:p>
    <w:p>
      <w:pPr>
        <w:spacing w:after="140" w:line="276"/>
      </w:pPr>
      <w:r>
        <w:rPr>
          <w:rFonts w:ascii="Calibri" w:cs="Calibri" w:eastAsia="Calibri" w:hAnsi="Calibri"/>
          <w:sz w:val="21"/>
          <w:szCs w:val="21"/>
        </w:rPr>
        <w:t xml:space="preserve">The engine was summing stock value across every inventory snapshot in the history rather than the latest one per article, multiplying the store's stock by the length of the snapshot window. Reported exposure fell from EUR 17,978 to EUR 601 once corrected, which is a sane figure for the chilled stock in a shop this size.</w:t>
      </w:r>
    </w:p>
    <w:p>
      <w:pPr>
        <w:pStyle w:val="Heading3"/>
        <w:spacing w:after="100" w:before="200"/>
      </w:pPr>
      <w:r>
        <w:rPr>
          <w:rFonts w:ascii="Calibri" w:cs="Calibri" w:eastAsia="Calibri" w:hAnsi="Calibri"/>
          <w:b/>
          <w:bCs/>
          <w:color w:val="2E2E2E"/>
          <w:sz w:val="22"/>
          <w:szCs w:val="22"/>
        </w:rPr>
        <w:t xml:space="preserve">The insight feed was swamped by one scenario</w:t>
      </w:r>
    </w:p>
    <w:p>
      <w:pPr>
        <w:spacing w:after="140" w:line="276"/>
      </w:pPr>
      <w:r>
        <w:rPr>
          <w:rFonts w:ascii="Calibri" w:cs="Calibri" w:eastAsia="Calibri" w:hAnsi="Calibri"/>
          <w:sz w:val="21"/>
          <w:szCs w:val="21"/>
        </w:rPr>
        <w:t xml:space="preserve">A cabinet breaching temperature on several days produced one alert per day, so sixteen near-identical rows about the same three chillers crowded out everything else. The feed now carries the worst open excursion per cabinet and leaves the full history in the cold chain application.</w:t>
      </w:r>
    </w:p>
    <w:p>
      <w:pPr>
        <w:pStyle w:val="Heading2"/>
        <w:spacing w:after="120" w:before="260"/>
      </w:pPr>
      <w:r>
        <w:rPr>
          <w:rFonts w:ascii="Calibri" w:cs="Calibri" w:eastAsia="Calibri" w:hAnsi="Calibri"/>
          <w:b/>
          <w:bCs/>
          <w:color w:val="454545"/>
          <w:sz w:val="24"/>
          <w:szCs w:val="24"/>
        </w:rPr>
        <w:t xml:space="preserve">10.2 CAP framework issues</w:t>
      </w:r>
    </w:p>
    <w:p>
      <w:pPr>
        <w:pStyle w:val="Heading3"/>
        <w:spacing w:after="100" w:before="200"/>
      </w:pPr>
      <w:r>
        <w:rPr>
          <w:rFonts w:ascii="Calibri" w:cs="Calibri" w:eastAsia="Calibri" w:hAnsi="Calibri"/>
          <w:b/>
          <w:bCs/>
          <w:color w:val="2E2E2E"/>
          <w:sz w:val="22"/>
          <w:szCs w:val="22"/>
        </w:rPr>
        <w:t xml:space="preserve">Annotations were silently absent from the service metadata</w:t>
      </w:r>
    </w:p>
    <w:p>
      <w:pPr>
        <w:spacing w:after="140" w:line="276"/>
      </w:pPr>
      <w:r>
        <w:rPr>
          <w:rFonts w:ascii="Calibri" w:cs="Calibri" w:eastAsia="Calibri" w:hAnsi="Calibri"/>
          <w:sz w:val="21"/>
          <w:szCs w:val="21"/>
        </w:rPr>
        <w:t xml:space="preserve">This was the most consequential one. CAP auto-loads the CDS files sitting directly in a model folder but does not recurse into subfolders. Our annotations were organised under srv/annotations to keep the service definitions readable, which meant they were never part of the served model. Both services were publishing metadata with no UI annotations at all, and every Fiori elements application would have rendered an empty page.</w:t>
      </w:r>
    </w:p>
    <w:p>
      <w:pPr>
        <w:spacing w:after="140" w:line="276"/>
      </w:pPr>
      <w:r>
        <w:rPr>
          <w:rFonts w:ascii="Calibri" w:cs="Calibri" w:eastAsia="Calibri" w:hAnsi="Calibri"/>
          <w:sz w:val="21"/>
          <w:szCs w:val="21"/>
        </w:rPr>
        <w:t xml:space="preserve">Nothing warned about this. The files compiled cleanly on their own, and the services started without complaint. It only surfaced because we checked the metadata document for the annotation terms rather than assuming they were there. The fix is a two-line index file at srv/annotations.cds that pulls the subfolder in explicitly.</w:t>
      </w:r>
    </w:p>
    <w:p>
      <w:pPr>
        <w:pStyle w:val="Heading3"/>
        <w:spacing w:after="100" w:before="200"/>
      </w:pPr>
      <w:r>
        <w:rPr>
          <w:rFonts w:ascii="Calibri" w:cs="Calibri" w:eastAsia="Calibri" w:hAnsi="Calibri"/>
          <w:b/>
          <w:bCs/>
          <w:color w:val="2E2E2E"/>
          <w:sz w:val="22"/>
          <w:szCs w:val="22"/>
        </w:rPr>
        <w:t xml:space="preserve">An action name that shadowed a framework method</w:t>
      </w:r>
    </w:p>
    <w:p>
      <w:pPr>
        <w:spacing w:after="140" w:line="276"/>
      </w:pPr>
      <w:r>
        <w:rPr>
          <w:rFonts w:ascii="Calibri" w:cs="Calibri" w:eastAsia="Calibri" w:hAnsi="Calibri"/>
          <w:sz w:val="21"/>
          <w:szCs w:val="21"/>
        </w:rPr>
        <w:t xml:space="preserve">We named an action "resolve", which collides with a method on CAP's ApplicationService base class. CAP warned about this at startup rather than failing, so it would have been easy to skip past. Renamed to resolveAlert, and the server now starts with zero warnings, which we treat as the bar.</w:t>
      </w:r>
    </w:p>
    <w:p>
      <w:pPr>
        <w:pStyle w:val="Heading3"/>
        <w:spacing w:after="100" w:before="200"/>
      </w:pPr>
      <w:r>
        <w:rPr>
          <w:rFonts w:ascii="Calibri" w:cs="Calibri" w:eastAsia="Calibri" w:hAnsi="Calibri"/>
          <w:b/>
          <w:bCs/>
          <w:color w:val="2E2E2E"/>
          <w:sz w:val="22"/>
          <w:szCs w:val="22"/>
        </w:rPr>
        <w:t xml:space="preserve">UUID key validation</w:t>
      </w:r>
    </w:p>
    <w:p>
      <w:pPr>
        <w:spacing w:after="140" w:line="276"/>
      </w:pPr>
      <w:r>
        <w:rPr>
          <w:rFonts w:ascii="Calibri" w:cs="Calibri" w:eastAsia="Calibri" w:hAnsi="Calibri"/>
          <w:sz w:val="21"/>
          <w:szCs w:val="21"/>
        </w:rPr>
        <w:t xml:space="preserve">Covered in section 4.1. The cuid aspect made every key a UUID and the engines emit readable identifiers, so reading any AI entity by key returned HTTP 400 until the aspect was replaced.</w:t>
      </w:r>
    </w:p>
    <w:p>
      <w:pPr>
        <w:pStyle w:val="Heading2"/>
        <w:spacing w:after="120" w:before="260"/>
      </w:pPr>
      <w:r>
        <w:rPr>
          <w:rFonts w:ascii="Calibri" w:cs="Calibri" w:eastAsia="Calibri" w:hAnsi="Calibri"/>
          <w:b/>
          <w:bCs/>
          <w:color w:val="454545"/>
          <w:sz w:val="24"/>
          <w:szCs w:val="24"/>
        </w:rPr>
        <w:t xml:space="preserve">10.3 Environment</w:t>
      </w:r>
    </w:p>
    <w:p>
      <w:pPr>
        <w:spacing w:after="140" w:line="276"/>
      </w:pPr>
      <w:r>
        <w:rPr>
          <w:rFonts w:ascii="Calibri" w:cs="Calibri" w:eastAsia="Calibri" w:hAnsi="Calibri"/>
          <w:sz w:val="21"/>
          <w:szCs w:val="21"/>
        </w:rPr>
        <w:t xml:space="preserve">The build environment blocks outbound access to ui5.sap.com. That has no bearing on the code but it did shape what could be verified, and it is the direct cause of the open question in section 10.4.</w:t>
      </w:r>
    </w:p>
    <w:p>
      <w:pPr>
        <w:pStyle w:val="Heading2"/>
        <w:spacing w:after="120" w:before="260"/>
      </w:pPr>
      <w:r>
        <w:rPr>
          <w:rFonts w:ascii="Calibri" w:cs="Calibri" w:eastAsia="Calibri" w:hAnsi="Calibri"/>
          <w:b/>
          <w:bCs/>
          <w:color w:val="454545"/>
          <w:sz w:val="24"/>
          <w:szCs w:val="24"/>
        </w:rPr>
        <w:t xml:space="preserve">10.4 Open issue: the Fiori elements applications do not render here</w:t>
      </w:r>
    </w:p>
    <w:p>
      <w:pPr>
        <w:spacing w:after="140" w:line="276"/>
      </w:pPr>
      <w:r>
        <w:rPr>
          <w:rFonts w:ascii="Calibri" w:cs="Calibri" w:eastAsia="Calibri" w:hAnsi="Calibri"/>
          <w:sz w:val="21"/>
          <w:szCs w:val="21"/>
        </w:rPr>
        <w:t xml:space="preserve">Clicking through to any of the eight scenario applications gives a blank page. We diagnosed this properly rather than guessing, and the finding is unambiguous.</w:t>
      </w:r>
    </w:p>
    <w:p>
      <w:pPr>
        <w:spacing w:after="140" w:line="276"/>
      </w:pPr>
      <w:r>
        <w:rPr>
          <w:rFonts w:ascii="Calibri" w:cs="Calibri" w:eastAsia="Calibri" w:hAnsi="Calibri"/>
          <w:sz w:val="21"/>
          <w:szCs w:val="21"/>
        </w:rPr>
        <w:t xml:space="preserve">The applications themselves are served correctly. Their index.html, manifest.json and Component.js all return HTTP 200, their annotations are present in the OData metadata, and their manifests are valid. Loading one in an instrumented browser produces exactly one failed request:</w:t>
      </w:r>
    </w:p>
    <w:p>
      <w:pPr>
        <w:spacing w:after="160" w:before="100"/>
        <w:ind w:left="360"/>
      </w:pPr>
      <w:r>
        <w:rPr>
          <w:rFonts w:ascii="Consolas" w:cs="Consolas" w:eastAsia="Consolas" w:hAnsi="Consolas"/>
          <w:color w:val="303030"/>
          <w:sz w:val="19"/>
          <w:szCs w:val="19"/>
        </w:rPr>
        <w:t xml:space="preserve">net::ERR_TUNNEL_CONNECTION_FAILED :: https://ui5.sap.com/1.120.27/resources/sap-ui-core.js</w:t>
      </w:r>
    </w:p>
    <w:p>
      <w:pPr>
        <w:spacing w:after="140" w:line="276"/>
      </w:pPr>
      <w:r>
        <w:rPr>
          <w:rFonts w:ascii="Calibri" w:cs="Calibri" w:eastAsia="Calibri" w:hAnsi="Calibri"/>
          <w:sz w:val="21"/>
          <w:szCs w:val="21"/>
        </w:rPr>
        <w:t xml:space="preserve">The page is blank because SAPUI5 never loads. Nothing else is wrong.</w:t>
      </w:r>
    </w:p>
    <w:p>
      <w:pPr>
        <w:spacing w:after="140" w:line="276"/>
      </w:pPr>
      <w:r>
        <w:rPr>
          <w:rFonts w:ascii="Calibri" w:cs="Calibri" w:eastAsia="Calibri" w:hAnsi="Calibri"/>
          <w:sz w:val="21"/>
          <w:szCs w:val="21"/>
        </w:rPr>
        <w:t xml:space="preserve">The obvious fix would be to host the UI5 runtime locally instead of pulling it from the CDN. We checked whether that is possible, and it is not, for a reason worth understanding:</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706"/>
        <w:gridCol w:w="1804"/>
        <w:gridCol w:w="4510"/>
      </w:tblGrid>
      <w:tr>
        <w:trPr>
          <w:tblHeader/>
        </w:trPr>
        <w:tc>
          <w:tcPr>
            <w:tcW w:type="dxa" w:w="2706"/>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Package</w:t>
            </w:r>
          </w:p>
        </w:tc>
        <w:tc>
          <w:tcPr>
            <w:tcW w:type="dxa" w:w="1804"/>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On public npm?</w:t>
            </w:r>
          </w:p>
        </w:tc>
        <w:tc>
          <w:tcPr>
            <w:tcW w:type="dxa" w:w="4510"/>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Consequence</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@openui5/sap.ui.core</w:t>
            </w:r>
          </w:p>
        </w:tc>
        <w:tc>
          <w:tcPr>
            <w:tcW w:type="dxa" w:w="1804"/>
            <w:tcMar>
              <w:top w:type="dxa" w:w="70"/>
              <w:left w:type="dxa" w:w="110"/>
              <w:bottom w:type="dxa" w:w="70"/>
              <w:right w:type="dxa" w:w="110"/>
            </w:tcMar>
          </w:tcPr>
          <w:p>
            <w:pPr>
              <w:spacing w:after="0" w:line="250"/>
            </w:pPr>
            <w:r>
              <w:rPr>
                <w:rFonts w:ascii="Calibri" w:cs="Calibri" w:eastAsia="Calibri" w:hAnsi="Calibri"/>
                <w:sz w:val="19"/>
                <w:szCs w:val="19"/>
              </w:rPr>
              <w:t xml:space="preserve">Yes, 1.150.0</w:t>
            </w:r>
          </w:p>
        </w:tc>
        <w:tc>
          <w:tcPr>
            <w:tcW w:type="dxa" w:w="4510"/>
            <w:tcMar>
              <w:top w:type="dxa" w:w="70"/>
              <w:left w:type="dxa" w:w="110"/>
              <w:bottom w:type="dxa" w:w="70"/>
              <w:right w:type="dxa" w:w="110"/>
            </w:tcMar>
          </w:tcPr>
          <w:p>
            <w:pPr>
              <w:spacing w:after="0" w:line="250"/>
            </w:pPr>
            <w:r>
              <w:rPr>
                <w:rFonts w:ascii="Calibri" w:cs="Calibri" w:eastAsia="Calibri" w:hAnsi="Calibri"/>
                <w:sz w:val="19"/>
                <w:szCs w:val="19"/>
              </w:rPr>
              <w:t xml:space="preserve">Core runtime can be self-hosted</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@openui5/sap.m</w:t>
            </w:r>
          </w:p>
        </w:tc>
        <w:tc>
          <w:tcPr>
            <w:tcW w:type="dxa" w:w="180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Yes, 1.150.0</w:t>
            </w:r>
          </w:p>
        </w:tc>
        <w:tc>
          <w:tcPr>
            <w:tcW w:type="dxa" w:w="4510"/>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Standard controls can be self-hosted</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@openui5/sap.f</w:t>
            </w:r>
          </w:p>
        </w:tc>
        <w:tc>
          <w:tcPr>
            <w:tcW w:type="dxa" w:w="1804"/>
            <w:tcMar>
              <w:top w:type="dxa" w:w="70"/>
              <w:left w:type="dxa" w:w="110"/>
              <w:bottom w:type="dxa" w:w="70"/>
              <w:right w:type="dxa" w:w="110"/>
            </w:tcMar>
          </w:tcPr>
          <w:p>
            <w:pPr>
              <w:spacing w:after="0" w:line="250"/>
            </w:pPr>
            <w:r>
              <w:rPr>
                <w:rFonts w:ascii="Calibri" w:cs="Calibri" w:eastAsia="Calibri" w:hAnsi="Calibri"/>
                <w:sz w:val="19"/>
                <w:szCs w:val="19"/>
              </w:rPr>
              <w:t xml:space="preserve">Yes, 1.150.0</w:t>
            </w:r>
          </w:p>
        </w:tc>
        <w:tc>
          <w:tcPr>
            <w:tcW w:type="dxa" w:w="4510"/>
            <w:tcMar>
              <w:top w:type="dxa" w:w="70"/>
              <w:left w:type="dxa" w:w="110"/>
              <w:bottom w:type="dxa" w:w="70"/>
              <w:right w:type="dxa" w:w="110"/>
            </w:tcMar>
          </w:tcPr>
          <w:p>
            <w:pPr>
              <w:spacing w:after="0" w:line="250"/>
            </w:pPr>
            <w:r>
              <w:rPr>
                <w:rFonts w:ascii="Calibri" w:cs="Calibri" w:eastAsia="Calibri" w:hAnsi="Calibri"/>
                <w:sz w:val="19"/>
                <w:szCs w:val="19"/>
              </w:rPr>
              <w:t xml:space="preserve">Flexible layouts can be self-hosted</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@openui5/sap.fe.templates</w:t>
            </w:r>
          </w:p>
        </w:tc>
        <w:tc>
          <w:tcPr>
            <w:tcW w:type="dxa" w:w="180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No, does not exist</w:t>
            </w:r>
          </w:p>
        </w:tc>
        <w:tc>
          <w:tcPr>
            <w:tcW w:type="dxa" w:w="4510"/>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Fiori elements cannot be self-hosted</w:t>
            </w:r>
          </w:p>
        </w:tc>
      </w:tr>
    </w:tbl>
    <w:p>
      <w:pPr>
        <w:spacing w:after="160"/>
      </w:pPr>
      <w:r>
        <w:t xml:space="preserve"/>
      </w:r>
    </w:p>
    <w:p>
      <w:pPr>
        <w:spacing w:after="140" w:line="276"/>
      </w:pPr>
      <w:r>
        <w:rPr>
          <w:rFonts w:ascii="Calibri" w:cs="Calibri" w:eastAsia="Calibri" w:hAnsi="Calibri"/>
          <w:sz w:val="21"/>
          <w:szCs w:val="21"/>
        </w:rPr>
        <w:t xml:space="preserve">Fiori elements ships only in the closed SAPUI5 distribution, not in OpenUI5. There is no npm package for it and no way to vendor it into the repository. The eight scenario applications will therefore only ever render where ui5.sap.com, or a licensed on-premise SAPUI5 mirror, is reachable. On a normal developer laptop, in SAP Business Application Studio, or deployed to BTP, they should work as written. In this environment, and in any air-gapped landscape, they cannot.</w:t>
      </w:r>
    </w:p>
    <w:p>
      <w:pPr>
        <w:spacing w:after="140" w:line="276"/>
      </w:pPr>
      <w:r>
        <w:rPr>
          <w:rFonts w:ascii="Calibri" w:cs="Calibri" w:eastAsia="Calibri" w:hAnsi="Calibri"/>
          <w:sz w:val="21"/>
          <w:szCs w:val="21"/>
        </w:rPr>
        <w:t xml:space="preserve">Section 12 sets out the options and our recommendation.</w:t>
      </w:r>
    </w:p>
    <w:p>
      <w:r>
        <w:br w:type="page"/>
      </w:r>
    </w:p>
    <w:p>
      <w:pPr>
        <w:pStyle w:val="Heading1"/>
        <w:spacing w:after="160" w:before="360"/>
      </w:pPr>
      <w:r>
        <w:rPr>
          <w:rFonts w:ascii="Calibri" w:cs="Calibri" w:eastAsia="Calibri" w:hAnsi="Calibri"/>
          <w:b/>
          <w:bCs/>
          <w:color w:val="454545"/>
          <w:sz w:val="30"/>
          <w:szCs w:val="30"/>
        </w:rPr>
        <w:t xml:space="preserve">11. Deployment and Testing</w:t>
      </w:r>
    </w:p>
    <w:p>
      <w:pPr>
        <w:pBdr>
          <w:bottom w:val="single" w:color="454545" w:sz="6"/>
        </w:pBdr>
        <w:spacing w:after="200" w:before="60"/>
      </w:pPr>
      <w:r>
        <w:rPr>
          <w:sz w:val="2"/>
          <w:szCs w:val="2"/>
        </w:rPr>
        <w:t xml:space="preserve"/>
      </w:r>
    </w:p>
    <w:p>
      <w:pPr>
        <w:pStyle w:val="Heading2"/>
        <w:spacing w:after="120" w:before="260"/>
      </w:pPr>
      <w:r>
        <w:rPr>
          <w:rFonts w:ascii="Calibri" w:cs="Calibri" w:eastAsia="Calibri" w:hAnsi="Calibri"/>
          <w:b/>
          <w:bCs/>
          <w:color w:val="454545"/>
          <w:sz w:val="24"/>
          <w:szCs w:val="24"/>
        </w:rPr>
        <w:t xml:space="preserve">11.1 SAP HANA Cloud</w:t>
      </w:r>
    </w:p>
    <w:p>
      <w:pPr>
        <w:spacing w:after="140" w:line="276"/>
      </w:pPr>
      <w:r>
        <w:rPr>
          <w:rFonts w:ascii="Calibri" w:cs="Calibri" w:eastAsia="Calibri" w:hAnsi="Calibri"/>
          <w:sz w:val="21"/>
          <w:szCs w:val="21"/>
        </w:rPr>
        <w:t xml:space="preserve">Nothing in the model, the services or the engines differs between local SQLite and HANA. Only the database binding changes, under the production profile in package.json. Running cds build --production generates the deployable artifacts: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3067"/>
        <w:gridCol w:w="1263"/>
        <w:gridCol w:w="4690"/>
      </w:tblGrid>
      <w:tr>
        <w:trPr>
          <w:tblHeader/>
        </w:trPr>
        <w:tc>
          <w:tcPr>
            <w:tcW w:type="dxa" w:w="3067"/>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Artifact</w:t>
            </w:r>
          </w:p>
        </w:tc>
        <w:tc>
          <w:tcPr>
            <w:tcW w:type="dxa" w:w="1263"/>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Count</w:t>
            </w:r>
          </w:p>
        </w:tc>
        <w:tc>
          <w:tcPr>
            <w:tcW w:type="dxa" w:w="4690"/>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Purpose</w:t>
            </w:r>
          </w:p>
        </w:tc>
      </w:tr>
      <w:tr>
        <w:tc>
          <w:tcPr>
            <w:tcW w:type="dxa" w:w="3067"/>
            <w:tcMar>
              <w:top w:type="dxa" w:w="70"/>
              <w:left w:type="dxa" w:w="110"/>
              <w:bottom w:type="dxa" w:w="70"/>
              <w:right w:type="dxa" w:w="110"/>
            </w:tcMar>
          </w:tcPr>
          <w:p>
            <w:pPr>
              <w:spacing w:after="0" w:line="250"/>
            </w:pPr>
            <w:r>
              <w:rPr>
                <w:rFonts w:ascii="Calibri" w:cs="Calibri" w:eastAsia="Calibri" w:hAnsi="Calibri"/>
                <w:sz w:val="19"/>
                <w:szCs w:val="19"/>
              </w:rPr>
              <w:t>.hdbtable</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30</w:t>
            </w:r>
          </w:p>
        </w:tc>
        <w:tc>
          <w:tcPr>
            <w:tcW w:type="dxa" w:w="4690"/>
            <w:tcMar>
              <w:top w:type="dxa" w:w="70"/>
              <w:left w:type="dxa" w:w="110"/>
              <w:bottom w:type="dxa" w:w="70"/>
              <w:right w:type="dxa" w:w="110"/>
            </w:tcMar>
          </w:tcPr>
          <w:p>
            <w:pPr>
              <w:spacing w:after="0" w:line="250"/>
            </w:pPr>
            <w:r>
              <w:rPr>
                <w:rFonts w:ascii="Calibri" w:cs="Calibri" w:eastAsia="Calibri" w:hAnsi="Calibri"/>
                <w:sz w:val="19"/>
                <w:szCs w:val="19"/>
              </w:rPr>
              <w:t>HANA column tables for the smart.retail namespace, the CAP outbox and the standard code lists</w:t>
            </w:r>
          </w:p>
        </w:tc>
      </w:tr>
      <w:tr>
        <w:tc>
          <w:tcPr>
            <w:tcW w:type="dxa" w:w="3067"/>
            <w:tcMar>
              <w:top w:type="dxa" w:w="70"/>
              <w:left w:type="dxa" w:w="110"/>
              <w:bottom w:type="dxa" w:w="70"/>
              <w:right w:type="dxa" w:w="110"/>
            </w:tcMar>
          </w:tcPr>
          <w:p>
            <w:pPr>
              <w:spacing w:after="0" w:line="250"/>
            </w:pPr>
            <w:r>
              <w:rPr>
                <w:rFonts w:ascii="Calibri" w:cs="Calibri" w:eastAsia="Calibri" w:hAnsi="Calibri"/>
                <w:sz w:val="19"/>
                <w:szCs w:val="19"/>
              </w:rPr>
              <w:t>.hdbview</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49</w:t>
            </w:r>
          </w:p>
        </w:tc>
        <w:tc>
          <w:tcPr>
            <w:tcW w:type="dxa" w:w="4690"/>
            <w:tcMar>
              <w:top w:type="dxa" w:w="70"/>
              <w:left w:type="dxa" w:w="110"/>
              <w:bottom w:type="dxa" w:w="70"/>
              <w:right w:type="dxa" w:w="110"/>
            </w:tcMar>
          </w:tcPr>
          <w:p>
            <w:pPr>
              <w:spacing w:after="0" w:line="250"/>
            </w:pPr>
            <w:r>
              <w:rPr>
                <w:rFonts w:ascii="Calibri" w:cs="Calibri" w:eastAsia="Calibri" w:hAnsi="Calibri"/>
                <w:sz w:val="19"/>
                <w:szCs w:val="19"/>
              </w:rPr>
              <w:t>One view per service entity, including the aggregate views and the localized variants</w:t>
            </w:r>
          </w:p>
        </w:tc>
      </w:tr>
      <w:tr>
        <w:tc>
          <w:tcPr>
            <w:tcW w:type="dxa" w:w="3067"/>
            <w:tcMar>
              <w:top w:type="dxa" w:w="70"/>
              <w:left w:type="dxa" w:w="110"/>
              <w:bottom w:type="dxa" w:w="70"/>
              <w:right w:type="dxa" w:w="110"/>
            </w:tcMar>
          </w:tcPr>
          <w:p>
            <w:pPr>
              <w:spacing w:after="0" w:line="250"/>
            </w:pPr>
            <w:r>
              <w:rPr>
                <w:rFonts w:ascii="Calibri" w:cs="Calibri" w:eastAsia="Calibri" w:hAnsi="Calibri"/>
                <w:sz w:val="19"/>
                <w:szCs w:val="19"/>
              </w:rPr>
              <w:t>.hdbtabledata with .csv</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25</w:t>
            </w:r>
          </w:p>
        </w:tc>
        <w:tc>
          <w:tcPr>
            <w:tcW w:type="dxa" w:w="4690"/>
            <w:tcMar>
              <w:top w:type="dxa" w:w="70"/>
              <w:left w:type="dxa" w:w="110"/>
              <w:bottom w:type="dxa" w:w="70"/>
              <w:right w:type="dxa" w:w="110"/>
            </w:tcMar>
          </w:tcPr>
          <w:p>
            <w:pPr>
              <w:spacing w:after="0" w:line="250"/>
            </w:pPr>
            <w:r>
              <w:rPr>
                <w:rFonts w:ascii="Calibri" w:cs="Calibri" w:eastAsia="Calibri" w:hAnsi="Calibri"/>
                <w:sz w:val="19"/>
                <w:szCs w:val="19"/>
              </w:rPr>
              <w:t>Seed dataset and the loader descriptors binding each file to its target table</w:t>
            </w:r>
          </w:p>
        </w:tc>
      </w:tr>
      <w:tr>
        <w:tc>
          <w:tcPr>
            <w:tcW w:type="dxa" w:w="3067"/>
            <w:tcMar>
              <w:top w:type="dxa" w:w="70"/>
              <w:left w:type="dxa" w:w="110"/>
              <w:bottom w:type="dxa" w:w="70"/>
              <w:right w:type="dxa" w:w="110"/>
            </w:tcMar>
          </w:tcPr>
          <w:p>
            <w:pPr>
              <w:spacing w:after="0" w:line="250"/>
            </w:pPr>
            <w:r>
              <w:rPr>
                <w:rFonts w:ascii="Calibri" w:cs="Calibri" w:eastAsia="Calibri" w:hAnsi="Calibri"/>
                <w:sz w:val="19"/>
                <w:szCs w:val="19"/>
              </w:rPr>
              <w:t>Deployed to HANA</w:t>
            </w:r>
          </w:p>
        </w:tc>
        <w:tc>
          <w:tcPr>
            <w:tcW w:type="dxa" w:w="1263"/>
            <w:tcMar>
              <w:top w:type="dxa" w:w="70"/>
              <w:left w:type="dxa" w:w="110"/>
              <w:bottom w:type="dxa" w:w="70"/>
              <w:right w:type="dxa" w:w="110"/>
            </w:tcMar>
          </w:tcPr>
          <w:p>
            <w:pPr>
              <w:spacing w:after="0" w:line="250"/>
              <w:jc w:val="right"/>
            </w:pPr>
            <w:r>
              <w:rPr>
                <w:rFonts w:ascii="Calibri" w:cs="Calibri" w:eastAsia="Calibri" w:hAnsi="Calibri"/>
                <w:sz w:val="19"/>
                <w:szCs w:val="19"/>
              </w:rPr>
              <w:t>131</w:t>
            </w:r>
          </w:p>
        </w:tc>
        <w:tc>
          <w:tcPr>
            <w:tcW w:type="dxa" w:w="4690"/>
            <w:tcMar>
              <w:top w:type="dxa" w:w="70"/>
              <w:left w:type="dxa" w:w="110"/>
              <w:bottom w:type="dxa" w:w="70"/>
              <w:right w:type="dxa" w:w="110"/>
            </w:tcMar>
          </w:tcPr>
          <w:p>
            <w:pPr>
              <w:spacing w:after="0" w:line="250"/>
            </w:pPr>
            <w:r>
              <w:rPr>
                <w:rFonts w:ascii="Calibri" w:cs="Calibri" w:eastAsia="Calibri" w:hAnsi="Calibri"/>
                <w:sz w:val="19"/>
                <w:szCs w:val="19"/>
              </w:rPr>
              <w:t>Effective 156 including expansions; 0 warnings</w:t>
            </w:r>
          </w:p>
        </w:tc>
      </w:tr>
    </w:tbl>
    <w:p>
      <w:pPr>
        <w:spacing w:after="160"/>
      </w:pPr>
      <w:r>
        <w:t xml:space="preserve"/>
      </w:r>
    </w:p>
    <w:p>
      <w:pPr>
        <w:spacing w:after="140" w:line="276"/>
      </w:pPr>
      <w:r>
        <w:rPr>
          <w:rFonts w:ascii="Calibri" w:cs="Calibri" w:eastAsia="Calibri" w:hAnsi="Calibri"/>
          <w:sz w:val="21"/>
          <w:szCs w:val="21"/>
        </w:rPr>
        <w:t xml:space="preserve">mta.yaml describes the full Cloud Foundry deployment: the CAP service, the HDI deployer, the static UI module, an HDI container and an XSUAA instance. xs-security.json defines three role collections (Viewer, Analyst, StoreManager) with a store attribute available for restricting a user to the stores they are responsible for.</w:t>
      </w:r>
    </w:p>
    <w:p>
      <w:pPr>
        <w:spacing w:after="140" w:line="276"/>
      </w:pPr>
      <w:r>
        <w:rPr>
          <w:rFonts w:ascii="Calibri" w:cs="Calibri" w:eastAsia="Calibri" w:hAnsi="Calibri"/>
          <w:sz w:val="21"/>
          <w:szCs w:val="21"/>
        </w:rPr>
        <w:t>This has now been deployed and exercised. The subsections below record what was deployed, what it proved and what it measured. The walkthrough in docs/hana-deployment.md covers the steps, and the technical specification carries the full artifact inventory.</w:t>
      </w:r>
    </w:p>
    <w:p>
      <w:pPr>
        <w:pStyle w:val="Heading3"/>
        <w:spacing w:after="100" w:before="200"/>
      </w:pPr>
      <w:r>
        <w:rPr>
          <w:rFonts w:ascii="Calibri" w:cs="Calibri" w:eastAsia="Calibri" w:hAnsi="Calibri"/>
          <w:b/>
          <w:bCs/>
          <w:color w:val="2E2E2E"/>
          <w:sz w:val="22"/>
          <w:szCs w:val="22"/>
        </w:rPr>
        <w:t>What was deployed</w:t>
      </w:r>
    </w:p>
    <w:p>
      <w:pPr>
        <w:spacing w:after="140" w:line="276"/>
      </w:pPr>
      <w:r>
        <w:rPr>
          <w:rFonts w:ascii="Calibri" w:cs="Calibri" w:eastAsia="Calibri" w:hAnsi="Calibri"/>
          <w:sz w:val="21"/>
          <w:szCs w:val="21"/>
        </w:rPr>
        <w:t>The target is a SAP HANA Cloud instance named s-mart-hanadb, running on AWS in US East under a Cloud Foundry runtime environment: 80 GB memory, 240 GB storage, five vCPUs, single node, version 2026.2.10. The database lives in an HDI shared container created as the service instance smartstore-db.</w:t>
      </w:r>
    </w:p>
    <w:p>
      <w:pPr>
        <w:spacing w:after="140" w:line="276"/>
      </w:pPr>
      <w:r>
        <w:rPr>
          <w:rFonts w:ascii="Calibri" w:cs="Calibri" w:eastAsia="Calibri" w:hAnsi="Calibri"/>
          <w:sz w:val="21"/>
          <w:szCs w:val="21"/>
        </w:rPr>
        <w:t>The deployment completed in 5.9 seconds: 131 files deployed, none undeployed, and zero warnings. All 25 seed tables loaded with the row counts their CSVs declare - 120,324 rows in total, including 27,118 hourly sales, 29,054 receipt items and 18,401 receipts.</w:t>
      </w:r>
    </w:p>
    <w:p>
      <w:pPr>
        <w:pStyle w:val="Heading3"/>
        <w:spacing w:after="100" w:before="200"/>
      </w:pPr>
      <w:r>
        <w:rPr>
          <w:rFonts w:ascii="Calibri" w:cs="Calibri" w:eastAsia="Calibri" w:hAnsi="Calibri"/>
          <w:b/>
          <w:bCs/>
          <w:color w:val="2E2E2E"/>
          <w:sz w:val="22"/>
          <w:szCs w:val="22"/>
        </w:rPr>
        <w:t>What it proved</w:t>
      </w:r>
    </w:p>
    <w:p>
      <w:pPr>
        <w:spacing w:after="140" w:line="276"/>
      </w:pPr>
      <w:r>
        <w:rPr>
          <w:rFonts w:ascii="Calibri" w:cs="Calibri" w:eastAsia="Calibri" w:hAnsi="Calibri"/>
          <w:sz w:val="21"/>
          <w:szCs w:val="21"/>
        </w:rPr>
        <w:t>The claim that the model is portable was the one thing in this project resting on generated artifacts rather than an executed deployment. It holds. The CDS model compiled to HANA unchanged - no construct needed rewriting, no annotation needed a HANA-specific variant, and the aggregate views, which were the likeliest candidates for trouble, deployed without a single warning. Reads, both aggregate view families and a full read-compute-write recalculate were then exercised against the deployed container.</w:t>
      </w:r>
    </w:p>
    <w:p>
      <w:pPr>
        <w:spacing w:after="140" w:line="276"/>
      </w:pPr>
      <w:r>
        <w:rPr>
          <w:rFonts w:ascii="Calibri" w:cs="Calibri" w:eastAsia="Calibri" w:hAnsi="Calibri"/>
          <w:sz w:val="21"/>
          <w:szCs w:val="21"/>
        </w:rPr>
        <w:t>One gap was found and fixed on the way. The production profile had always named @cap-js/hana as the database implementation, but the package was never a dependency, so any HANA connection would have failed at the first attempt. It had gone unnoticed for exactly the reason this section previously admitted: the deployment had never been run. It is pinned to the 2.x line, because 3.x requires CAP 10 and this project is on 9.9.3.</w:t>
      </w:r>
    </w:p>
    <w:p>
      <w:pPr>
        <w:pStyle w:val="Heading3"/>
        <w:spacing w:after="100" w:before="200"/>
      </w:pPr>
      <w:r>
        <w:rPr>
          <w:rFonts w:ascii="Calibri" w:cs="Calibri" w:eastAsia="Calibri" w:hAnsi="Calibri"/>
          <w:b/>
          <w:bCs/>
          <w:color w:val="2E2E2E"/>
          <w:sz w:val="22"/>
          <w:szCs w:val="22"/>
        </w:rPr>
        <w:t>What it measured, and the one thing worth acting on</w:t>
      </w:r>
    </w:p>
    <w:p>
      <w:pPr>
        <w:spacing w:after="140" w:line="276"/>
      </w:pPr>
      <w:r>
        <w:rPr>
          <w:rFonts w:ascii="Calibri" w:cs="Calibri" w:eastAsia="Calibri" w:hAnsi="Calibri"/>
          <w:sz w:val="21"/>
          <w:szCs w:val="21"/>
        </w:rPr>
        <w:t>A full recalculate of the checkout integrity scenario against HANA took 2.37 seconds end to end. The action reported 128 milliseconds of that for computing 676 alerts and writing them back, which leaves roughly 2.2 seconds in loading data before the engine starts.</w:t>
      </w:r>
    </w:p>
    <w:p>
      <w:pPr>
        <w:spacing w:after="140" w:line="276"/>
      </w:pPr>
      <w:r>
        <w:rPr>
          <w:rFonts w:ascii="Calibri" w:cs="Calibri" w:eastAsia="Calibri" w:hAnsi="Calibri"/>
          <w:sz w:val="21"/>
          <w:szCs w:val="21"/>
        </w:rPr>
        <w:t>That figure has a specific cause rather than a general one. loadBase fetches all twelve base tables regardless of which scenario was asked for. Checkout integrity needs cancellations, hourly sales, articles, POS systems and inventory - about 50,500 rows. It also pulled 29,054 receipt items, 18,401 receipts and 3,738 sensor readings that the scenario never touches. Just over half of the roughly 102,000 rows fetched were discarded.</w:t>
      </w:r>
    </w:p>
    <w:p>
      <w:pPr>
        <w:spacing w:after="140" w:line="276"/>
      </w:pPr>
      <w:r>
        <w:rPr>
          <w:rFonts w:ascii="Calibri" w:cs="Calibri" w:eastAsia="Calibri" w:hAnsi="Calibri"/>
          <w:sz w:val="21"/>
          <w:szCs w:val="21"/>
        </w:rPr>
        <w:t>Against a local SQLite file that was an invisible file read. Against a network database it is most of the elapsed time. The cheap fix is to make loadBase scenario-aware, fetching only the tables the requested scenarios declare: a contained change, no engine touched, and it should roughly halve a single-scenario recalculate. The larger one is to push the aggregation into SQL so the engines receive daily and hourly totals rather than raw rows, which is what would make this survive chain-scale volumes.</w:t>
      </w:r>
    </w:p>
    <w:p>
      <w:pPr>
        <w:spacing w:after="140" w:line="276"/>
      </w:pPr>
      <w:r>
        <w:rPr>
          <w:rFonts w:ascii="Calibri" w:cs="Calibri" w:eastAsia="Calibri" w:hAnsi="Calibri"/>
          <w:sz w:val="21"/>
          <w:szCs w:val="21"/>
        </w:rPr>
        <w:t>Neither is urgent. 2.4 seconds for a full read-compute-write cycle against a cloud database is respectable, and nothing here is broken. It is worth recording because it is the first evidence-backed case for a change that had until now only been argued from first principles - and because it was invisible until a real database was involved.</w:t>
      </w:r>
    </w:p>
    <w:p>
      <w:pPr>
        <w:pStyle w:val="Heading2"/>
        <w:spacing w:after="120" w:before="260"/>
      </w:pPr>
      <w:r>
        <w:rPr>
          <w:rFonts w:ascii="Calibri" w:cs="Calibri" w:eastAsia="Calibri" w:hAnsi="Calibri"/>
          <w:b/>
          <w:bCs/>
          <w:color w:val="454545"/>
          <w:sz w:val="24"/>
          <w:szCs w:val="24"/>
        </w:rPr>
        <w:t xml:space="preserve">11.2 Testing</w:t>
      </w:r>
    </w:p>
    <w:p>
      <w:pPr>
        <w:spacing w:after="140" w:line="276"/>
      </w:pPr>
      <w:r>
        <w:rPr>
          <w:rFonts w:ascii="Calibri" w:cs="Calibri" w:eastAsia="Calibri" w:hAnsi="Calibri"/>
          <w:sz w:val="21"/>
          <w:szCs w:val="21"/>
        </w:rPr>
        <w:t xml:space="preserve">23 unit tests over the engines, all passing. They use small hand-built fixtures rather than the generated dataset, so a failure points at the algorithm rather than at the data.</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1082"/>
        <w:gridCol w:w="5593"/>
      </w:tblGrid>
      <w:tr>
        <w:trPr>
          <w:tblHeader/>
        </w:trPr>
        <w:tc>
          <w:tcPr>
            <w:tcW w:type="dxa" w:w="2345"/>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Area</w:t>
            </w:r>
          </w:p>
        </w:tc>
        <w:tc>
          <w:tcPr>
            <w:tcW w:type="dxa" w:w="1082"/>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Tests</w:t>
            </w:r>
          </w:p>
        </w:tc>
        <w:tc>
          <w:tcPr>
            <w:tcW w:type="dxa" w:w="5593"/>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Notable cases</w:t>
            </w:r>
          </w:p>
        </w:tc>
      </w:tr>
      <w:tr>
        <w:tc>
          <w:tcPr>
            <w:tcW w:type="dxa" w:w="2345"/>
            <w:tcMar>
              <w:top w:type="dxa" w:w="70"/>
              <w:left w:type="dxa" w:w="110"/>
              <w:bottom w:type="dxa" w:w="70"/>
              <w:right w:type="dxa" w:w="110"/>
            </w:tcMar>
          </w:tcPr>
          <w:p>
            <w:pPr>
              <w:spacing w:after="0" w:line="250"/>
            </w:pPr>
            <w:r>
              <w:rPr>
                <w:rFonts w:ascii="Calibri" w:cs="Calibri" w:eastAsia="Calibri" w:hAnsi="Calibri"/>
                <w:sz w:val="19"/>
                <w:szCs w:val="19"/>
              </w:rPr>
              <w:t xml:space="preserve">Statistics helpers</w:t>
            </w:r>
          </w:p>
        </w:tc>
        <w:tc>
          <w:tcPr>
            <w:tcW w:type="dxa" w:w="1082"/>
            <w:tcMar>
              <w:top w:type="dxa" w:w="70"/>
              <w:left w:type="dxa" w:w="110"/>
              <w:bottom w:type="dxa" w:w="70"/>
              <w:right w:type="dxa" w:w="110"/>
            </w:tcMar>
          </w:tcPr>
          <w:p>
            <w:pPr>
              <w:spacing w:after="0" w:line="250"/>
              <w:jc w:val="right"/>
            </w:pPr>
            <w:r>
              <w:rPr>
                <w:rFonts w:ascii="Calibri" w:cs="Calibri" w:eastAsia="Calibri" w:hAnsi="Calibri"/>
                <w:sz w:val="19"/>
                <w:szCs w:val="19"/>
              </w:rPr>
              <w:t xml:space="preserve">2</w:t>
            </w:r>
          </w:p>
        </w:tc>
        <w:tc>
          <w:tcPr>
            <w:tcW w:type="dxa" w:w="5593"/>
            <w:tcMar>
              <w:top w:type="dxa" w:w="70"/>
              <w:left w:type="dxa" w:w="110"/>
              <w:bottom w:type="dxa" w:w="70"/>
              <w:right w:type="dxa" w:w="110"/>
            </w:tcMar>
          </w:tcPr>
          <w:p>
            <w:pPr>
              <w:spacing w:after="0" w:line="250"/>
            </w:pPr>
            <w:r>
              <w:rPr>
                <w:rFonts w:ascii="Calibri" w:cs="Calibri" w:eastAsia="Calibri" w:hAnsi="Calibri"/>
                <w:sz w:val="19"/>
                <w:szCs w:val="19"/>
              </w:rPr>
              <w:t xml:space="preserve">Severity banding, EWMA recency weighting</w:t>
            </w:r>
          </w:p>
        </w:tc>
      </w:tr>
      <w:tr>
        <w:tc>
          <w:tcPr>
            <w:tcW w:type="dxa" w:w="234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CSV round-trip</w:t>
            </w:r>
          </w:p>
        </w:tc>
        <w:tc>
          <w:tcPr>
            <w:tcW w:type="dxa" w:w="1082"/>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w:t>
            </w:r>
          </w:p>
        </w:tc>
        <w:tc>
          <w:tcPr>
            <w:tcW w:type="dxa" w:w="5593"/>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Embedded commas, escaped quotes, newlines inside fields</w:t>
            </w:r>
          </w:p>
        </w:tc>
      </w:tr>
      <w:tr>
        <w:tc>
          <w:tcPr>
            <w:tcW w:type="dxa" w:w="2345"/>
            <w:tcMar>
              <w:top w:type="dxa" w:w="70"/>
              <w:left w:type="dxa" w:w="110"/>
              <w:bottom w:type="dxa" w:w="70"/>
              <w:right w:type="dxa" w:w="110"/>
            </w:tcMar>
          </w:tcPr>
          <w:p>
            <w:pPr>
              <w:spacing w:after="0" w:line="250"/>
            </w:pPr>
            <w:r>
              <w:rPr>
                <w:rFonts w:ascii="Calibri" w:cs="Calibri" w:eastAsia="Calibri" w:hAnsi="Calibri"/>
                <w:sz w:val="19"/>
                <w:szCs w:val="19"/>
              </w:rPr>
              <w:t xml:space="preserve">Forecast</w:t>
            </w:r>
          </w:p>
        </w:tc>
        <w:tc>
          <w:tcPr>
            <w:tcW w:type="dxa" w:w="1082"/>
            <w:tcMar>
              <w:top w:type="dxa" w:w="70"/>
              <w:left w:type="dxa" w:w="110"/>
              <w:bottom w:type="dxa" w:w="70"/>
              <w:right w:type="dxa" w:w="110"/>
            </w:tcMar>
          </w:tcPr>
          <w:p>
            <w:pPr>
              <w:spacing w:after="0" w:line="250"/>
              <w:jc w:val="right"/>
            </w:pPr>
            <w:r>
              <w:rPr>
                <w:rFonts w:ascii="Calibri" w:cs="Calibri" w:eastAsia="Calibri" w:hAnsi="Calibri"/>
                <w:sz w:val="19"/>
                <w:szCs w:val="19"/>
              </w:rPr>
              <w:t xml:space="preserve">5</w:t>
            </w:r>
          </w:p>
        </w:tc>
        <w:tc>
          <w:tcPr>
            <w:tcW w:type="dxa" w:w="5593"/>
            <w:tcMar>
              <w:top w:type="dxa" w:w="70"/>
              <w:left w:type="dxa" w:w="110"/>
              <w:bottom w:type="dxa" w:w="70"/>
              <w:right w:type="dxa" w:w="110"/>
            </w:tcMar>
          </w:tcPr>
          <w:p>
            <w:pPr>
              <w:spacing w:after="0" w:line="250"/>
            </w:pPr>
            <w:r>
              <w:rPr>
                <w:rFonts w:ascii="Calibri" w:cs="Calibri" w:eastAsia="Calibri" w:hAnsi="Calibri"/>
                <w:sz w:val="19"/>
                <w:szCs w:val="19"/>
              </w:rPr>
              <w:t xml:space="preserve">Level counts zero days; regular series backtests near zero; intervals bracket the prediction</w:t>
            </w:r>
          </w:p>
        </w:tc>
      </w:tr>
      <w:tr>
        <w:tc>
          <w:tcPr>
            <w:tcW w:type="dxa" w:w="234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Checkout integrity</w:t>
            </w:r>
          </w:p>
        </w:tc>
        <w:tc>
          <w:tcPr>
            <w:tcW w:type="dxa" w:w="1082"/>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3</w:t>
            </w:r>
          </w:p>
        </w:tc>
        <w:tc>
          <w:tcPr>
            <w:tcW w:type="dxa" w:w="5593"/>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Price error detection, absent tag detection, evidence floor</w:t>
            </w:r>
          </w:p>
        </w:tc>
      </w:tr>
      <w:tr>
        <w:tc>
          <w:tcPr>
            <w:tcW w:type="dxa" w:w="2345"/>
            <w:tcMar>
              <w:top w:type="dxa" w:w="70"/>
              <w:left w:type="dxa" w:w="110"/>
              <w:bottom w:type="dxa" w:w="70"/>
              <w:right w:type="dxa" w:w="110"/>
            </w:tcMar>
          </w:tcPr>
          <w:p>
            <w:pPr>
              <w:spacing w:after="0" w:line="250"/>
            </w:pPr>
            <w:r>
              <w:rPr>
                <w:rFonts w:ascii="Calibri" w:cs="Calibri" w:eastAsia="Calibri" w:hAnsi="Calibri"/>
                <w:sz w:val="19"/>
                <w:szCs w:val="19"/>
              </w:rPr>
              <w:t xml:space="preserve">Replenishment</w:t>
            </w:r>
          </w:p>
        </w:tc>
        <w:tc>
          <w:tcPr>
            <w:tcW w:type="dxa" w:w="1082"/>
            <w:tcMar>
              <w:top w:type="dxa" w:w="70"/>
              <w:left w:type="dxa" w:w="110"/>
              <w:bottom w:type="dxa" w:w="70"/>
              <w:right w:type="dxa" w:w="110"/>
            </w:tcMar>
          </w:tcPr>
          <w:p>
            <w:pPr>
              <w:spacing w:after="0" w:line="250"/>
              <w:jc w:val="right"/>
            </w:pPr>
            <w:r>
              <w:rPr>
                <w:rFonts w:ascii="Calibri" w:cs="Calibri" w:eastAsia="Calibri" w:hAnsi="Calibri"/>
                <w:sz w:val="19"/>
                <w:szCs w:val="19"/>
              </w:rPr>
              <w:t xml:space="preserve">2</w:t>
            </w:r>
          </w:p>
        </w:tc>
        <w:tc>
          <w:tcPr>
            <w:tcW w:type="dxa" w:w="5593"/>
            <w:tcMar>
              <w:top w:type="dxa" w:w="70"/>
              <w:left w:type="dxa" w:w="110"/>
              <w:bottom w:type="dxa" w:w="70"/>
              <w:right w:type="dxa" w:w="110"/>
            </w:tcMar>
          </w:tcPr>
          <w:p>
            <w:pPr>
              <w:spacing w:after="0" w:line="250"/>
            </w:pPr>
            <w:r>
              <w:rPr>
                <w:rFonts w:ascii="Calibri" w:cs="Calibri" w:eastAsia="Calibri" w:hAnsi="Calibri"/>
                <w:sz w:val="19"/>
                <w:szCs w:val="19"/>
              </w:rPr>
              <w:t xml:space="preserve">Empty shelf raises a task, full shelf does not</w:t>
            </w:r>
          </w:p>
        </w:tc>
      </w:tr>
      <w:tr>
        <w:tc>
          <w:tcPr>
            <w:tcW w:type="dxa" w:w="234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Markdown</w:t>
            </w:r>
          </w:p>
        </w:tc>
        <w:tc>
          <w:tcPr>
            <w:tcW w:type="dxa" w:w="1082"/>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3</w:t>
            </w:r>
          </w:p>
        </w:tc>
        <w:tc>
          <w:tcPr>
            <w:tcW w:type="dxa" w:w="5593"/>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Uplift monotonicity, waste triggers a proposal, non-perishables never do</w:t>
            </w:r>
          </w:p>
        </w:tc>
      </w:tr>
      <w:tr>
        <w:tc>
          <w:tcPr>
            <w:tcW w:type="dxa" w:w="2345"/>
            <w:tcMar>
              <w:top w:type="dxa" w:w="70"/>
              <w:left w:type="dxa" w:w="110"/>
              <w:bottom w:type="dxa" w:w="70"/>
              <w:right w:type="dxa" w:w="110"/>
            </w:tcMar>
          </w:tcPr>
          <w:p>
            <w:pPr>
              <w:spacing w:after="0" w:line="250"/>
            </w:pPr>
            <w:r>
              <w:rPr>
                <w:rFonts w:ascii="Calibri" w:cs="Calibri" w:eastAsia="Calibri" w:hAnsi="Calibri"/>
                <w:sz w:val="19"/>
                <w:szCs w:val="19"/>
              </w:rPr>
              <w:t xml:space="preserve">Affinity</w:t>
            </w:r>
          </w:p>
        </w:tc>
        <w:tc>
          <w:tcPr>
            <w:tcW w:type="dxa" w:w="1082"/>
            <w:tcMar>
              <w:top w:type="dxa" w:w="70"/>
              <w:left w:type="dxa" w:w="110"/>
              <w:bottom w:type="dxa" w:w="70"/>
              <w:right w:type="dxa" w:w="110"/>
            </w:tcMar>
          </w:tcPr>
          <w:p>
            <w:pPr>
              <w:spacing w:after="0" w:line="250"/>
              <w:jc w:val="right"/>
            </w:pPr>
            <w:r>
              <w:rPr>
                <w:rFonts w:ascii="Calibri" w:cs="Calibri" w:eastAsia="Calibri" w:hAnsi="Calibri"/>
                <w:sz w:val="19"/>
                <w:szCs w:val="19"/>
              </w:rPr>
              <w:t xml:space="preserve">1</w:t>
            </w:r>
          </w:p>
        </w:tc>
        <w:tc>
          <w:tcPr>
            <w:tcW w:type="dxa" w:w="5593"/>
            <w:tcMar>
              <w:top w:type="dxa" w:w="70"/>
              <w:left w:type="dxa" w:w="110"/>
              <w:bottom w:type="dxa" w:w="70"/>
              <w:right w:type="dxa" w:w="110"/>
            </w:tcMar>
          </w:tcPr>
          <w:p>
            <w:pPr>
              <w:spacing w:after="0" w:line="250"/>
            </w:pPr>
            <w:r>
              <w:rPr>
                <w:rFonts w:ascii="Calibri" w:cs="Calibri" w:eastAsia="Calibri" w:hAnsi="Calibri"/>
                <w:sz w:val="19"/>
                <w:szCs w:val="19"/>
              </w:rPr>
              <w:t xml:space="preserve">Co-occurring pair mined with lift above 1</w:t>
            </w:r>
          </w:p>
        </w:tc>
      </w:tr>
      <w:tr>
        <w:tc>
          <w:tcPr>
            <w:tcW w:type="dxa" w:w="234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Personalisation</w:t>
            </w:r>
          </w:p>
        </w:tc>
        <w:tc>
          <w:tcPr>
            <w:tcW w:type="dxa" w:w="1082"/>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2</w:t>
            </w:r>
          </w:p>
        </w:tc>
        <w:tc>
          <w:tcPr>
            <w:tcW w:type="dxa" w:w="5593"/>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Consent gating, routine cadence offers</w:t>
            </w:r>
          </w:p>
        </w:tc>
      </w:tr>
      <w:tr>
        <w:tc>
          <w:tcPr>
            <w:tcW w:type="dxa" w:w="2345"/>
            <w:tcMar>
              <w:top w:type="dxa" w:w="70"/>
              <w:left w:type="dxa" w:w="110"/>
              <w:bottom w:type="dxa" w:w="70"/>
              <w:right w:type="dxa" w:w="110"/>
            </w:tcMar>
          </w:tcPr>
          <w:p>
            <w:pPr>
              <w:spacing w:after="0" w:line="250"/>
            </w:pPr>
            <w:r>
              <w:rPr>
                <w:rFonts w:ascii="Calibri" w:cs="Calibri" w:eastAsia="Calibri" w:hAnsi="Calibri"/>
                <w:sz w:val="19"/>
                <w:szCs w:val="19"/>
              </w:rPr>
              <w:t xml:space="preserve">Cold chain</w:t>
            </w:r>
          </w:p>
        </w:tc>
        <w:tc>
          <w:tcPr>
            <w:tcW w:type="dxa" w:w="1082"/>
            <w:tcMar>
              <w:top w:type="dxa" w:w="70"/>
              <w:left w:type="dxa" w:w="110"/>
              <w:bottom w:type="dxa" w:w="70"/>
              <w:right w:type="dxa" w:w="110"/>
            </w:tcMar>
          </w:tcPr>
          <w:p>
            <w:pPr>
              <w:spacing w:after="0" w:line="250"/>
              <w:jc w:val="right"/>
            </w:pPr>
            <w:r>
              <w:rPr>
                <w:rFonts w:ascii="Calibri" w:cs="Calibri" w:eastAsia="Calibri" w:hAnsi="Calibri"/>
                <w:sz w:val="19"/>
                <w:szCs w:val="19"/>
              </w:rPr>
              <w:t xml:space="preserve">2</w:t>
            </w:r>
          </w:p>
        </w:tc>
        <w:tc>
          <w:tcPr>
            <w:tcW w:type="dxa" w:w="5593"/>
            <w:tcMar>
              <w:top w:type="dxa" w:w="70"/>
              <w:left w:type="dxa" w:w="110"/>
              <w:bottom w:type="dxa" w:w="70"/>
              <w:right w:type="dxa" w:w="110"/>
            </w:tcMar>
          </w:tcPr>
          <w:p>
            <w:pPr>
              <w:spacing w:after="0" w:line="250"/>
            </w:pPr>
            <w:r>
              <w:rPr>
                <w:rFonts w:ascii="Calibri" w:cs="Calibri" w:eastAsia="Calibri" w:hAnsi="Calibri"/>
                <w:sz w:val="19"/>
                <w:szCs w:val="19"/>
              </w:rPr>
              <w:t xml:space="preserve">Sustained excursion alerts; stock counted once, not per snapshot</w:t>
            </w:r>
          </w:p>
        </w:tc>
      </w:tr>
      <w:tr>
        <w:tc>
          <w:tcPr>
            <w:tcW w:type="dxa" w:w="2345"/>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Insight feed</w:t>
            </w:r>
          </w:p>
        </w:tc>
        <w:tc>
          <w:tcPr>
            <w:tcW w:type="dxa" w:w="1082"/>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2</w:t>
            </w:r>
          </w:p>
        </w:tc>
        <w:tc>
          <w:tcPr>
            <w:tcW w:type="dxa" w:w="5593"/>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Ranking by impact and confidence, cabinet de-duplication</w:t>
            </w:r>
          </w:p>
        </w:tc>
      </w:tr>
    </w:tbl>
    <w:p>
      <w:pPr>
        <w:spacing w:after="160"/>
      </w:pPr>
      <w:r>
        <w:t xml:space="preserve"/>
      </w:r>
    </w:p>
    <w:p>
      <w:pPr>
        <w:spacing w:after="140" w:line="276"/>
      </w:pPr>
      <w:r>
        <w:rPr>
          <w:rFonts w:ascii="Calibri" w:cs="Calibri" w:eastAsia="Calibri" w:hAnsi="Calibri"/>
          <w:sz w:val="21"/>
          <w:szCs w:val="21"/>
        </w:rPr>
        <w:t xml:space="preserve">Several of these tests exist specifically to pin down bugs described in section 10, so a regression would be caught rather than rediscovered.</w:t>
      </w:r>
    </w:p>
    <w:p>
      <w:pPr>
        <w:pStyle w:val="Heading2"/>
        <w:spacing w:after="120" w:before="260"/>
      </w:pPr>
      <w:r>
        <w:rPr>
          <w:rFonts w:ascii="Calibri" w:cs="Calibri" w:eastAsia="Calibri" w:hAnsi="Calibri"/>
          <w:b/>
          <w:bCs/>
          <w:color w:val="454545"/>
          <w:sz w:val="24"/>
          <w:szCs w:val="24"/>
        </w:rPr>
        <w:t xml:space="preserve">11.3 Verification performed</w:t>
      </w:r>
    </w:p>
    <w:p>
      <w:pPr>
        <w:pStyle w:val="ListParagraph"/>
        <w:numPr>
          <w:ilvl w:val="0"/>
          <w:numId w:val="2"/>
        </w:numPr>
        <w:spacing w:after="90" w:line="276"/>
      </w:pPr>
      <w:r>
        <w:rPr>
          <w:rFonts w:ascii="Calibri" w:cs="Calibri" w:eastAsia="Calibri" w:hAnsi="Calibri"/>
          <w:sz w:val="21"/>
          <w:szCs w:val="21"/>
        </w:rPr>
        <w:t xml:space="preserve">Full pipeline run from the original spreadsheets to a deployed database, from a clean state</w:t>
      </w:r>
    </w:p>
    <w:p>
      <w:pPr>
        <w:pStyle w:val="ListParagraph"/>
        <w:numPr>
          <w:ilvl w:val="0"/>
          <w:numId w:val="2"/>
        </w:numPr>
        <w:spacing w:after="90" w:line="276"/>
      </w:pPr>
      <w:r>
        <w:rPr>
          <w:rFonts w:ascii="Calibri" w:cs="Calibri" w:eastAsia="Calibri" w:hAnsi="Calibri"/>
          <w:sz w:val="21"/>
          <w:szCs w:val="21"/>
        </w:rPr>
        <w:t xml:space="preserve">Extraction reconciled against SAP's own printed totals</w:t>
      </w:r>
    </w:p>
    <w:p>
      <w:pPr>
        <w:pStyle w:val="ListParagraph"/>
        <w:numPr>
          <w:ilvl w:val="0"/>
          <w:numId w:val="2"/>
        </w:numPr>
        <w:spacing w:after="90" w:line="276"/>
      </w:pPr>
      <w:r>
        <w:rPr>
          <w:rFonts w:ascii="Calibri" w:cs="Calibri" w:eastAsia="Calibri" w:hAnsi="Calibri"/>
          <w:sz w:val="21"/>
          <w:szCs w:val="21"/>
        </w:rPr>
        <w:t xml:space="preserve">Both services started with zero warnings</w:t>
      </w:r>
    </w:p>
    <w:p>
      <w:pPr>
        <w:pStyle w:val="ListParagraph"/>
        <w:numPr>
          <w:ilvl w:val="0"/>
          <w:numId w:val="2"/>
        </w:numPr>
        <w:spacing w:after="90" w:line="276"/>
      </w:pPr>
      <w:r>
        <w:rPr>
          <w:rFonts w:ascii="Calibri" w:cs="Calibri" w:eastAsia="Calibri" w:hAnsi="Calibri"/>
          <w:sz w:val="21"/>
          <w:szCs w:val="21"/>
        </w:rPr>
        <w:t xml:space="preserve">Annotations confirmed present in both OData metadata documents</w:t>
      </w:r>
    </w:p>
    <w:p>
      <w:pPr>
        <w:pStyle w:val="ListParagraph"/>
        <w:numPr>
          <w:ilvl w:val="0"/>
          <w:numId w:val="2"/>
        </w:numPr>
        <w:spacing w:after="90" w:line="276"/>
      </w:pPr>
      <w:r>
        <w:rPr>
          <w:rFonts w:ascii="Calibri" w:cs="Calibri" w:eastAsia="Calibri" w:hAnsi="Calibri"/>
          <w:sz w:val="21"/>
          <w:szCs w:val="21"/>
        </w:rPr>
        <w:t xml:space="preserve">All three unbound actions exercised over HTTP with real responses inspected</w:t>
      </w:r>
    </w:p>
    <w:p>
      <w:pPr>
        <w:pStyle w:val="ListParagraph"/>
        <w:numPr>
          <w:ilvl w:val="0"/>
          <w:numId w:val="2"/>
        </w:numPr>
        <w:spacing w:after="90" w:line="276"/>
      </w:pPr>
      <w:r>
        <w:rPr>
          <w:rFonts w:ascii="Calibri" w:cs="Calibri" w:eastAsia="Calibri" w:hAnsi="Calibri"/>
          <w:sz w:val="21"/>
          <w:szCs w:val="21"/>
        </w:rPr>
        <w:t xml:space="preserve">State transitions verified including the 409 conflict path</w:t>
      </w:r>
    </w:p>
    <w:p>
      <w:pPr>
        <w:pStyle w:val="ListParagraph"/>
        <w:numPr>
          <w:ilvl w:val="0"/>
          <w:numId w:val="2"/>
        </w:numPr>
        <w:spacing w:after="90" w:line="276"/>
      </w:pPr>
      <w:r>
        <w:rPr>
          <w:rFonts w:ascii="Calibri" w:cs="Calibri" w:eastAsia="Calibri" w:hAnsi="Calibri"/>
          <w:sz w:val="21"/>
          <w:szCs w:val="21"/>
        </w:rPr>
        <w:t xml:space="preserve">Command centre rendered in a real browser in both themes, with no console errors and no horizontal overflow</w:t>
      </w:r>
    </w:p>
    <w:p>
      <w:pPr>
        <w:pStyle w:val="ListParagraph"/>
        <w:numPr>
          <w:ilvl w:val="0"/>
          <w:numId w:val="2"/>
        </w:numPr>
        <w:spacing w:after="90" w:line="276"/>
      </w:pPr>
      <w:r>
        <w:rPr>
          <w:rFonts w:ascii="Calibri" w:cs="Calibri" w:eastAsia="Calibri" w:hAnsi="Calibri"/>
          <w:sz w:val="21"/>
          <w:szCs w:val="21"/>
        </w:rPr>
        <w:t xml:space="preserve">Production HANA build executed and artifacts counted</w:t>
      </w:r>
    </w:p>
    <w:p>
      <w:pPr>
        <w:pStyle w:val="ListParagraph"/>
        <w:numPr>
          <w:ilvl w:val="0"/>
          <w:numId w:val="2"/>
        </w:numPr>
        <w:spacing w:after="90" w:line="276"/>
      </w:pPr>
      <w:r>
        <w:rPr>
          <w:rFonts w:ascii="Calibri" w:cs="Calibri" w:eastAsia="Calibri" w:hAnsi="Calibri"/>
          <w:sz w:val="21"/>
          <w:szCs w:val="21"/>
        </w:rPr>
        <w:t xml:space="preserve">Fiori elements applications diagnosed to root cause</w:t>
      </w:r>
    </w:p>
    <w:p>
      <w:r>
        <w:br w:type="page"/>
      </w:r>
    </w:p>
    <w:p>
      <w:pPr>
        <w:pStyle w:val="Heading1"/>
        <w:spacing w:after="160" w:before="360"/>
      </w:pPr>
      <w:r>
        <w:rPr>
          <w:rFonts w:ascii="Calibri" w:cs="Calibri" w:eastAsia="Calibri" w:hAnsi="Calibri"/>
          <w:b/>
          <w:bCs/>
          <w:color w:val="454545"/>
          <w:sz w:val="30"/>
          <w:szCs w:val="30"/>
        </w:rPr>
        <w:t xml:space="preserve">12. Recommendations and Next Steps</w:t>
      </w:r>
    </w:p>
    <w:p>
      <w:pPr>
        <w:pBdr>
          <w:bottom w:val="single" w:color="454545" w:sz="6"/>
        </w:pBdr>
        <w:spacing w:after="200" w:before="60"/>
      </w:pPr>
      <w:r>
        <w:rPr>
          <w:sz w:val="2"/>
          <w:szCs w:val="2"/>
        </w:rPr>
        <w:t xml:space="preserve"/>
      </w:r>
    </w:p>
    <w:p>
      <w:pPr>
        <w:pStyle w:val="Heading2"/>
        <w:spacing w:after="120" w:before="260"/>
      </w:pPr>
      <w:r>
        <w:rPr>
          <w:rFonts w:ascii="Calibri" w:cs="Calibri" w:eastAsia="Calibri" w:hAnsi="Calibri"/>
          <w:b/>
          <w:bCs/>
          <w:color w:val="454545"/>
          <w:sz w:val="24"/>
          <w:szCs w:val="24"/>
        </w:rPr>
        <w:t xml:space="preserve">12.1 Decision needed: the Fiori elements applications</w:t>
      </w:r>
    </w:p>
    <w:p>
      <w:pPr>
        <w:spacing w:after="140" w:line="276"/>
      </w:pPr>
      <w:r>
        <w:rPr>
          <w:rFonts w:ascii="Calibri" w:cs="Calibri" w:eastAsia="Calibri" w:hAnsi="Calibri"/>
          <w:sz w:val="21"/>
          <w:szCs w:val="21"/>
        </w:rPr>
        <w:t xml:space="preserve">Given the constraint established in section 10.4, there are three ways forward.</w:t>
      </w:r>
    </w:p>
    <w:p>
      <w:pPr>
        <w:pStyle w:val="Heading3"/>
        <w:spacing w:after="100" w:before="200"/>
      </w:pPr>
      <w:r>
        <w:rPr>
          <w:rFonts w:ascii="Calibri" w:cs="Calibri" w:eastAsia="Calibri" w:hAnsi="Calibri"/>
          <w:b/>
          <w:bCs/>
          <w:color w:val="2E2E2E"/>
          <w:sz w:val="22"/>
          <w:szCs w:val="22"/>
        </w:rPr>
        <w:t xml:space="preserve">Option A: leave them as they are and document the requirement</w:t>
      </w:r>
    </w:p>
    <w:p>
      <w:pPr>
        <w:spacing w:after="140" w:line="276"/>
      </w:pPr>
      <w:r>
        <w:rPr>
          <w:rFonts w:ascii="Calibri" w:cs="Calibri" w:eastAsia="Calibri" w:hAnsi="Calibri"/>
          <w:sz w:val="21"/>
          <w:szCs w:val="21"/>
        </w:rPr>
        <w:t xml:space="preserve">No further work. They will render on any machine with internet access, in Business Application Studio and on BTP, and stay blank anywhere else. Appropriate if the demo audience will always have connectivity and the "genuine SAP Fiori elements" label matters for credibility.</w:t>
      </w:r>
    </w:p>
    <w:p>
      <w:pPr>
        <w:pStyle w:val="Heading3"/>
        <w:spacing w:after="100" w:before="200"/>
      </w:pPr>
      <w:r>
        <w:rPr>
          <w:rFonts w:ascii="Calibri" w:cs="Calibri" w:eastAsia="Calibri" w:hAnsi="Calibri"/>
          <w:b/>
          <w:bCs/>
          <w:color w:val="2E2E2E"/>
          <w:sz w:val="22"/>
          <w:szCs w:val="22"/>
        </w:rPr>
        <w:t xml:space="preserve">Option B: rebuild the eight scenario views using the command centre approach</w:t>
      </w:r>
    </w:p>
    <w:p>
      <w:pPr>
        <w:spacing w:after="140" w:line="276"/>
      </w:pPr>
      <w:r>
        <w:rPr>
          <w:rFonts w:ascii="Calibri" w:cs="Calibri" w:eastAsia="Calibri" w:hAnsi="Calibri"/>
          <w:sz w:val="21"/>
          <w:szCs w:val="21"/>
        </w:rPr>
        <w:t xml:space="preserve">Roughly a day of work. Each scenario becomes a self-contained page in the same style as the command centre, reading the same OData services, working everywhere including air-gapped. The cost is that they are no longer Fiori elements applications, so the annotation work stops being load-bearing and the SAP-standard look has to be approximated by hand.</w:t>
      </w:r>
    </w:p>
    <w:p>
      <w:pPr>
        <w:pStyle w:val="Heading3"/>
        <w:spacing w:after="100" w:before="200"/>
      </w:pPr>
      <w:r>
        <w:rPr>
          <w:rFonts w:ascii="Calibri" w:cs="Calibri" w:eastAsia="Calibri" w:hAnsi="Calibri"/>
          <w:b/>
          <w:bCs/>
          <w:color w:val="2E2E2E"/>
          <w:sz w:val="22"/>
          <w:szCs w:val="22"/>
        </w:rPr>
        <w:t xml:space="preserve">Option C: keep both</w:t>
      </w:r>
    </w:p>
    <w:p>
      <w:pPr>
        <w:spacing w:after="140" w:line="276"/>
      </w:pPr>
      <w:r>
        <w:rPr>
          <w:rFonts w:ascii="Calibri" w:cs="Calibri" w:eastAsia="Calibri" w:hAnsi="Calibri"/>
          <w:sz w:val="21"/>
          <w:szCs w:val="21"/>
        </w:rPr>
        <w:t xml:space="preserve">Retain the Fiori elements applications for BTP deployment, where they are the right answer and where the annotations do real work, and add self-contained equivalents for local and offline demonstration. The launchpad already distinguishes the two, so this is mostly additive.</w:t>
      </w:r>
    </w:p>
    <w:p>
      <w:pPr>
        <w:spacing w:after="140" w:line="276"/>
      </w:pPr>
      <w:r>
        <w:rPr>
          <w:rFonts w:ascii="Calibri" w:cs="Calibri" w:eastAsia="Calibri" w:hAnsi="Calibri"/>
          <w:sz w:val="21"/>
          <w:szCs w:val="21"/>
        </w:rPr>
        <w:t xml:space="preserve">Our recommendation is Option C, weighted towards building the offline versions first. The reasoning is that the annotation layer is genuinely valuable when deployed to BTP, where Fiori elements gives variant management, personalisation and the standard SAP interaction model for free, and throwing that away would be a real loss. But a dashboard that renders a blank page in the room where you are presenting is worth nothing, and the command centre has already proved that pattern works here. Building the offline views does not invalidate the Fiori elements work; it covers the case the CDN cannot.</w:t>
      </w:r>
    </w:p>
    <w:p>
      <w:pPr>
        <w:spacing w:after="140" w:line="276"/>
      </w:pPr>
      <w:r>
        <w:rPr>
          <w:rFonts w:ascii="Calibri" w:cs="Calibri" w:eastAsia="Calibri" w:hAnsi="Calibri"/>
          <w:sz w:val="21"/>
          <w:szCs w:val="21"/>
        </w:rPr>
        <w:t xml:space="preserve">If time is short, Option B alone is defensible. Option A is only defensible if connectivity is guaranteed.</w:t>
      </w:r>
    </w:p>
    <w:p>
      <w:pPr>
        <w:pStyle w:val="Heading2"/>
        <w:spacing w:after="120" w:before="260"/>
      </w:pPr>
      <w:r>
        <w:rPr>
          <w:rFonts w:ascii="Calibri" w:cs="Calibri" w:eastAsia="Calibri" w:hAnsi="Calibri"/>
          <w:b/>
          <w:bCs/>
          <w:color w:val="454545"/>
          <w:sz w:val="24"/>
          <w:szCs w:val="24"/>
        </w:rPr>
        <w:t xml:space="preserve">12.2 Other things worth doing</w:t>
      </w:r>
    </w:p>
    <w:p>
      <w:pPr>
        <w:pStyle w:val="ListParagraph"/>
        <w:numPr>
          <w:ilvl w:val="0"/>
          <w:numId w:val="2"/>
        </w:numPr>
        <w:spacing w:after="90" w:line="276"/>
      </w:pPr>
      <w:r>
        <w:rPr>
          <w:rFonts w:ascii="Calibri" w:cs="Calibri" w:eastAsia="Calibri" w:hAnsi="Calibri"/>
          <w:sz w:val="21"/>
          <w:szCs w:val="21"/>
        </w:rPr>
        <w:t xml:space="preserve">Deploy to a real HANA Cloud instance. Everything is prepared but unproven against an actual container, and that is the one claim in this report that rests on generated artifacts rather than an executed deployment.</w:t>
      </w:r>
    </w:p>
    <w:p>
      <w:pPr>
        <w:pStyle w:val="ListParagraph"/>
        <w:numPr>
          <w:ilvl w:val="0"/>
          <w:numId w:val="2"/>
        </w:numPr>
        <w:spacing w:after="90" w:line="276"/>
      </w:pPr>
      <w:r>
        <w:rPr>
          <w:rFonts w:ascii="Calibri" w:cs="Calibri" w:eastAsia="Calibri" w:hAnsi="Calibri"/>
          <w:sz w:val="21"/>
          <w:szCs w:val="21"/>
        </w:rPr>
        <w:t xml:space="preserve">Improve SKU-hour forecast accuracy. The store-day figure is fine; the hourly figure is not. Croston's method or a similar intermittent-demand model would be the obvious next thing to try, and the backtest harness to evaluate it fairly already exists.</w:t>
      </w:r>
    </w:p>
    <w:p>
      <w:pPr>
        <w:pStyle w:val="ListParagraph"/>
        <w:numPr>
          <w:ilvl w:val="0"/>
          <w:numId w:val="2"/>
        </w:numPr>
        <w:spacing w:after="90" w:line="276"/>
      </w:pPr>
      <w:r>
        <w:rPr>
          <w:rFonts w:ascii="Calibri" w:cs="Calibri" w:eastAsia="Calibri" w:hAnsi="Calibri"/>
          <w:sz w:val="21"/>
          <w:szCs w:val="21"/>
        </w:rPr>
        <w:t xml:space="preserve">Feed actuals back into DemandForecasts.actualQty once hours elapse, so accuracy can be tracked continuously rather than only at backtest time. The column is modelled and currently unpopulated.</w:t>
      </w:r>
    </w:p>
    <w:p>
      <w:pPr>
        <w:pStyle w:val="ListParagraph"/>
        <w:numPr>
          <w:ilvl w:val="0"/>
          <w:numId w:val="2"/>
        </w:numPr>
        <w:spacing w:after="90" w:line="276"/>
      </w:pPr>
      <w:r>
        <w:rPr>
          <w:rFonts w:ascii="Calibri" w:cs="Calibri" w:eastAsia="Calibri" w:hAnsi="Calibri"/>
          <w:sz w:val="21"/>
          <w:szCs w:val="21"/>
        </w:rPr>
        <w:t xml:space="preserve">Wire the store attribute in the XSUAA profile to real identity provider attributes, so a store manager only sees their own stores.</w:t>
      </w:r>
    </w:p>
    <w:p>
      <w:pPr>
        <w:pStyle w:val="ListParagraph"/>
        <w:numPr>
          <w:ilvl w:val="0"/>
          <w:numId w:val="2"/>
        </w:numPr>
        <w:spacing w:after="90" w:line="276"/>
      </w:pPr>
      <w:r>
        <w:rPr>
          <w:rFonts w:ascii="Calibri" w:cs="Calibri" w:eastAsia="Calibri" w:hAnsi="Calibri"/>
          <w:sz w:val="21"/>
          <w:szCs w:val="21"/>
        </w:rPr>
        <w:t xml:space="preserve">Revisit the deposit return finding with the business. If deposits are three of the four highest-volume lines and none of them can be tagged, that is an operational problem worth solving rather than an alert worth acknowledging repeatedly.</w:t>
      </w:r>
    </w:p>
    <w:p>
      <w:pPr>
        <w:pStyle w:val="Heading2"/>
        <w:spacing w:after="120" w:before="260"/>
      </w:pPr>
      <w:r>
        <w:rPr>
          <w:rFonts w:ascii="Calibri" w:cs="Calibri" w:eastAsia="Calibri" w:hAnsi="Calibri"/>
          <w:b/>
          <w:bCs/>
          <w:color w:val="454545"/>
          <w:sz w:val="24"/>
          <w:szCs w:val="24"/>
        </w:rPr>
        <w:t xml:space="preserve">12.3 What we would not change</w:t>
      </w:r>
    </w:p>
    <w:p>
      <w:pPr>
        <w:spacing w:after="140" w:line="276"/>
      </w:pPr>
      <w:r>
        <w:rPr>
          <w:rFonts w:ascii="Calibri" w:cs="Calibri" w:eastAsia="Calibri" w:hAnsi="Calibri"/>
          <w:sz w:val="21"/>
          <w:szCs w:val="21"/>
        </w:rPr>
        <w:t xml:space="preserve">The decision to share one implementation of the engines between the pipeline and the live service has paid for itself several times over. Every bug in section 10 was fixed once. The decision to keep the Walldorf figures untouched and derive everything else from measurements of them means the demo can honestly say which numbers are real, which matters more than it might appear when someone in the room asks.</w:t>
      </w:r>
    </w:p>
    <w:p>
      <w:r>
        <w:br w:type="page"/>
      </w:r>
    </w:p>
    <w:p>
      <w:pPr>
        <w:pStyle w:val="Heading1"/>
        <w:spacing w:after="160" w:before="360"/>
      </w:pPr>
      <w:r>
        <w:rPr>
          <w:rFonts w:ascii="Calibri" w:cs="Calibri" w:eastAsia="Calibri" w:hAnsi="Calibri"/>
          <w:b/>
          <w:bCs/>
          <w:color w:val="454545"/>
          <w:sz w:val="30"/>
          <w:szCs w:val="30"/>
        </w:rPr>
        <w:t xml:space="preserve">Appendix A: Repository Contents</w:t>
      </w:r>
    </w:p>
    <w:p>
      <w:pPr>
        <w:pBdr>
          <w:bottom w:val="single" w:color="454545" w:sz="6"/>
        </w:pBdr>
        <w:spacing w:after="200" w:before="60"/>
      </w:pPr>
      <w:r>
        <w:rPr>
          <w:sz w:val="2"/>
          <w:szCs w:val="2"/>
        </w:rPr>
        <w:t xml:space="preserve"/>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706"/>
        <w:gridCol w:w="6314"/>
      </w:tblGrid>
      <w:tr>
        <w:trPr>
          <w:tblHeader/>
        </w:trPr>
        <w:tc>
          <w:tcPr>
            <w:tcW w:type="dxa" w:w="2706"/>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Path</w:t>
            </w:r>
          </w:p>
        </w:tc>
        <w:tc>
          <w:tcPr>
            <w:tcW w:type="dxa" w:w="6314"/>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Contents</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db/schema.cds</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Operational data model: stores, terminals, articles, sales, inventory, telemetry</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db/ai-schema.cds</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Scenario output model: forecasts, alerts, tasks, recommendations, insight feed</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db/common.cds</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Shared recordKey aspect</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db/data/</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25 seed CSV files, the deployable dataset</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srv/analytics-service.cds</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Read-only analytical service and its aggregate views</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srv/ai-service.cds</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AI service definition, actions and return types</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srv/ai-service.js</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Service implementation wiring engines to actions</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srv/lib/engines/</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The eight engines as pure functions</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srv/lib/stats.js</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Shared numeric helpers</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srv/lib/csv.js</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Dependency-free RFC 4180 reader and writer</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srv/annotations/</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Fiori elements UI definitions</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srv/annotations.cds</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Index that pulls the subfolder into the model</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app/command-center/</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The self-contained AI Command Centre</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app/index.html</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Launchpad</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app/*/webapp/</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Eight Fiori elements applications</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tools/etl_sap_export.py</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Stage one: extraction from the SAP workbooks</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tools/synthesize_dataset.py</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Stage two: store network synthesis</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tools/generate_ai_outputs.js</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Stage three: engine scoring</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test/engines.test.js</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23 unit tests</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data/source/</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The original SAP exports, unmodified</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data/canonical/</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Extracted tidy CSVs and the reconciliation manifest</w:t>
            </w:r>
          </w:p>
        </w:tc>
      </w:tr>
      <w:tr>
        <w:tc>
          <w:tcPr>
            <w:tcW w:type="dxa" w:w="2706"/>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mta.yaml, xs-security.json</w:t>
            </w:r>
          </w:p>
        </w:tc>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Cloud Foundry deployment and security profile</w:t>
            </w:r>
          </w:p>
        </w:tc>
      </w:tr>
      <w:tr>
        <w:tc>
          <w:tcPr>
            <w:tcW w:type="dxa" w:w="2706"/>
            <w:tcMar>
              <w:top w:type="dxa" w:w="70"/>
              <w:left w:type="dxa" w:w="110"/>
              <w:bottom w:type="dxa" w:w="70"/>
              <w:right w:type="dxa" w:w="110"/>
            </w:tcMar>
          </w:tcPr>
          <w:p>
            <w:pPr>
              <w:spacing w:after="0" w:line="250"/>
            </w:pPr>
            <w:r>
              <w:rPr>
                <w:rFonts w:ascii="Calibri" w:cs="Calibri" w:eastAsia="Calibri" w:hAnsi="Calibri"/>
                <w:sz w:val="19"/>
                <w:szCs w:val="19"/>
              </w:rPr>
              <w:t xml:space="preserve">docs/</w:t>
            </w:r>
          </w:p>
        </w:tc>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Data model reference and HANA deployment walkthrough</w:t>
            </w:r>
          </w:p>
        </w:tc>
      </w:tr>
    </w:tbl>
    <w:p>
      <w:pPr>
        <w:spacing w:after="200"/>
      </w:pPr>
      <w:r>
        <w:t xml:space="preserve"/>
      </w:r>
    </w:p>
    <w:p>
      <w:pPr>
        <w:pStyle w:val="Heading2"/>
        <w:spacing w:after="120" w:before="260"/>
      </w:pPr>
      <w:r>
        <w:rPr>
          <w:rFonts w:ascii="Calibri" w:cs="Calibri" w:eastAsia="Calibri" w:hAnsi="Calibri"/>
          <w:b/>
          <w:bCs/>
          <w:color w:val="454545"/>
          <w:sz w:val="24"/>
          <w:szCs w:val="24"/>
        </w:rPr>
        <w:t xml:space="preserve">Code volume</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6314"/>
        <w:gridCol w:w="2706"/>
      </w:tblGrid>
      <w:tr>
        <w:trPr>
          <w:tblHeader/>
        </w:trPr>
        <w:tc>
          <w:tcPr>
            <w:tcW w:type="dxa" w:w="6314"/>
            <w:shd w:fill="454545"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Area</w:t>
            </w:r>
          </w:p>
        </w:tc>
        <w:tc>
          <w:tcPr>
            <w:tcW w:type="dxa" w:w="2706"/>
            <w:shd w:fill="454545"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Lines</w:t>
            </w:r>
          </w:p>
        </w:tc>
      </w:tr>
      <w:tr>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CDS models, services and annotations</w:t>
            </w:r>
          </w:p>
        </w:tc>
        <w:tc>
          <w:tcPr>
            <w:tcW w:type="dxa" w:w="2706"/>
            <w:tcMar>
              <w:top w:type="dxa" w:w="70"/>
              <w:left w:type="dxa" w:w="110"/>
              <w:bottom w:type="dxa" w:w="70"/>
              <w:right w:type="dxa" w:w="110"/>
            </w:tcMar>
          </w:tcPr>
          <w:p>
            <w:pPr>
              <w:spacing w:after="0" w:line="250"/>
              <w:jc w:val="right"/>
            </w:pPr>
            <w:r>
              <w:rPr>
                <w:rFonts w:ascii="Calibri" w:cs="Calibri" w:eastAsia="Calibri" w:hAnsi="Calibri"/>
                <w:sz w:val="19"/>
                <w:szCs w:val="19"/>
              </w:rPr>
              <w:t xml:space="preserve">1,476</w:t>
            </w:r>
          </w:p>
        </w:tc>
      </w:tr>
      <w:tr>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AI engines and shared helpers (JavaScript)</w:t>
            </w:r>
          </w:p>
        </w:tc>
        <w:tc>
          <w:tcPr>
            <w:tcW w:type="dxa" w:w="2706"/>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1,792</w:t>
            </w:r>
          </w:p>
        </w:tc>
      </w:tr>
      <w:tr>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Pipeline tools (Python)</w:t>
            </w:r>
          </w:p>
        </w:tc>
        <w:tc>
          <w:tcPr>
            <w:tcW w:type="dxa" w:w="2706"/>
            <w:tcMar>
              <w:top w:type="dxa" w:w="70"/>
              <w:left w:type="dxa" w:w="110"/>
              <w:bottom w:type="dxa" w:w="70"/>
              <w:right w:type="dxa" w:w="110"/>
            </w:tcMar>
          </w:tcPr>
          <w:p>
            <w:pPr>
              <w:spacing w:after="0" w:line="250"/>
              <w:jc w:val="right"/>
            </w:pPr>
            <w:r>
              <w:rPr>
                <w:rFonts w:ascii="Calibri" w:cs="Calibri" w:eastAsia="Calibri" w:hAnsi="Calibri"/>
                <w:sz w:val="19"/>
                <w:szCs w:val="19"/>
              </w:rPr>
              <w:t xml:space="preserve">1,632</w:t>
            </w:r>
          </w:p>
        </w:tc>
      </w:tr>
      <w:tr>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AI Command Centre (HTML, CSS, JavaScript)</w:t>
            </w:r>
          </w:p>
        </w:tc>
        <w:tc>
          <w:tcPr>
            <w:tcW w:type="dxa" w:w="2706"/>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1,043</w:t>
            </w:r>
          </w:p>
        </w:tc>
      </w:tr>
      <w:tr>
        <w:tc>
          <w:tcPr>
            <w:tcW w:type="dxa" w:w="6314"/>
            <w:tcMar>
              <w:top w:type="dxa" w:w="70"/>
              <w:left w:type="dxa" w:w="110"/>
              <w:bottom w:type="dxa" w:w="70"/>
              <w:right w:type="dxa" w:w="110"/>
            </w:tcMar>
          </w:tcPr>
          <w:p>
            <w:pPr>
              <w:spacing w:after="0" w:line="250"/>
            </w:pPr>
            <w:r>
              <w:rPr>
                <w:rFonts w:ascii="Calibri" w:cs="Calibri" w:eastAsia="Calibri" w:hAnsi="Calibri"/>
                <w:sz w:val="19"/>
                <w:szCs w:val="19"/>
              </w:rPr>
              <w:t xml:space="preserve">Unit tests</w:t>
            </w:r>
          </w:p>
        </w:tc>
        <w:tc>
          <w:tcPr>
            <w:tcW w:type="dxa" w:w="2706"/>
            <w:tcMar>
              <w:top w:type="dxa" w:w="70"/>
              <w:left w:type="dxa" w:w="110"/>
              <w:bottom w:type="dxa" w:w="70"/>
              <w:right w:type="dxa" w:w="110"/>
            </w:tcMar>
          </w:tcPr>
          <w:p>
            <w:pPr>
              <w:spacing w:after="0" w:line="250"/>
              <w:jc w:val="right"/>
            </w:pPr>
            <w:r>
              <w:rPr>
                <w:rFonts w:ascii="Calibri" w:cs="Calibri" w:eastAsia="Calibri" w:hAnsi="Calibri"/>
                <w:sz w:val="19"/>
                <w:szCs w:val="19"/>
              </w:rPr>
              <w:t xml:space="preserve">449</w:t>
            </w:r>
          </w:p>
        </w:tc>
      </w:tr>
      <w:tr>
        <w:tc>
          <w:tcPr>
            <w:tcW w:type="dxa" w:w="6314"/>
            <w:shd w:fill="F4F4F4"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Service implementation</w:t>
            </w:r>
          </w:p>
        </w:tc>
        <w:tc>
          <w:tcPr>
            <w:tcW w:type="dxa" w:w="2706"/>
            <w:shd w:fill="F4F4F4"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374</w:t>
            </w:r>
          </w:p>
        </w:tc>
      </w:tr>
    </w:tbl>
    <w:p>
      <w:pPr>
        <w:spacing w:after="200"/>
      </w:pPr>
      <w:r>
        <w:t xml:space="preserve"/>
      </w:r>
    </w:p>
    <w:p>
      <w:pPr>
        <w:pStyle w:val="Heading2"/>
        <w:spacing w:after="120" w:before="260"/>
      </w:pPr>
      <w:r>
        <w:rPr>
          <w:rFonts w:ascii="Calibri" w:cs="Calibri" w:eastAsia="Calibri" w:hAnsi="Calibri"/>
          <w:b/>
          <w:bCs/>
          <w:color w:val="454545"/>
          <w:sz w:val="24"/>
          <w:szCs w:val="24"/>
        </w:rPr>
        <w:t xml:space="preserve">Running it</w:t>
      </w:r>
    </w:p>
    <w:p>
      <w:pPr>
        <w:spacing w:after="140" w:line="276"/>
      </w:pPr>
      <w:r>
        <w:rPr>
          <w:rFonts w:ascii="Calibri" w:cs="Calibri" w:eastAsia="Calibri" w:hAnsi="Calibri"/>
          <w:sz w:val="21"/>
          <w:szCs w:val="21"/>
        </w:rPr>
        <w:t xml:space="preserve">npm install, then npm run deploy:local, then npm start. The launchpad is at http://localhost:4004/index.html. Development uses CAP mocked authentication; sign in as manager with password manager. To rebuild the dataset from the original spreadsheets, npm run pipeline.</w:t>
      </w:r>
    </w:p>
    <w:sectPr>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666666"/>
      <w:sz w:val="32"/>
      <w:szCs w:val="32"/>
    </w:rPr>
  </w:style>
  <w:style w:type="paragraph" w:styleId="Heading2">
    <w:name w:val="Heading 2"/>
    <w:basedOn w:val="Normal"/>
    <w:next w:val="Normal"/>
    <w:qFormat/>
    <w:rPr>
      <w:color w:val="666666"/>
      <w:sz w:val="26"/>
      <w:szCs w:val="26"/>
    </w:rPr>
  </w:style>
  <w:style w:type="paragraph" w:styleId="Heading3">
    <w:name w:val="Heading 3"/>
    <w:basedOn w:val="Normal"/>
    <w:next w:val="Normal"/>
    <w:qFormat/>
    <w:rPr>
      <w:color w:val="444444"/>
      <w:sz w:val="24"/>
      <w:szCs w:val="24"/>
    </w:rPr>
  </w:style>
  <w:style w:type="paragraph" w:styleId="Heading4">
    <w:name w:val="Heading 4"/>
    <w:basedOn w:val="Normal"/>
    <w:next w:val="Normal"/>
    <w:qFormat/>
    <w:rPr>
      <w:i/>
      <w:iCs/>
      <w:color w:val="666666"/>
    </w:rPr>
  </w:style>
  <w:style w:type="paragraph" w:styleId="Heading5">
    <w:name w:val="Heading 5"/>
    <w:basedOn w:val="Normal"/>
    <w:next w:val="Normal"/>
    <w:qFormat/>
    <w:rPr>
      <w:color w:val="666666"/>
    </w:rPr>
  </w:style>
  <w:style w:type="paragraph" w:styleId="Heading6">
    <w:name w:val="Heading 6"/>
    <w:basedOn w:val="Normal"/>
    <w:next w:val="Normal"/>
    <w:qFormat/>
    <w:rPr>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25252"/>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Retail AI — Technical Project Report</dc:title>
  <dc:creator>Divyansh Maurya</dc:creator>
  <dc:description>Technical project report covering the SAP Customer Checkout data amalgamation, AI scenarios and Fiori dashboards</dc:description>
  <cp:lastModifiedBy>Un-named</cp:lastModifiedBy>
  <cp:revision>1</cp:revision>
  <dcterms:created xsi:type="dcterms:W3CDTF">2026-07-29T07:16:22.247Z</dcterms:created>
  <dcterms:modified xsi:type="dcterms:W3CDTF">2026-07-29T07:16:22.247Z</dcterms:modified>
</cp:coreProperties>
</file>

<file path=docProps/custom.xml><?xml version="1.0" encoding="utf-8"?>
<Properties xmlns="http://schemas.openxmlformats.org/officeDocument/2006/custom-properties" xmlns:vt="http://schemas.openxmlformats.org/officeDocument/2006/docPropsVTypes"/>
</file>